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64F" w:rsidRDefault="00D31001" w:rsidP="00AA20CD">
      <w:pPr>
        <w:pStyle w:val="Pagedecouverture"/>
        <w:rPr>
          <w:noProof/>
        </w:rPr>
      </w:pPr>
      <w:bookmarkStart w:id="0" w:name="LW_BM_COVERPAGE"/>
      <w:bookmarkStart w:id="1" w:name="_Toc48289308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E7CA3D5377D4C538551EE71DEA85B37" style="width:450pt;height:366pt">
            <v:imagedata r:id="rId9" o:title=""/>
          </v:shape>
        </w:pict>
      </w:r>
    </w:p>
    <w:bookmarkEnd w:id="0"/>
    <w:p w:rsidR="0089464F" w:rsidRDefault="0089464F">
      <w:pPr>
        <w:rPr>
          <w:noProof/>
        </w:rPr>
        <w:sectPr w:rsidR="0089464F" w:rsidSect="00AA20C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89464F" w:rsidRDefault="00AA20CD">
      <w:pPr>
        <w:pStyle w:val="Heading1"/>
        <w:rPr>
          <w:rFonts w:ascii="Times New Roman" w:eastAsia="Times New Roman" w:hAnsi="Times New Roman" w:cs="Times New Roman"/>
          <w:noProof/>
          <w:sz w:val="24"/>
          <w:szCs w:val="24"/>
        </w:rPr>
      </w:pPr>
      <w:r>
        <w:rPr>
          <w:rFonts w:ascii="Times New Roman" w:hAnsi="Times New Roman"/>
          <w:noProof/>
          <w:sz w:val="24"/>
        </w:rPr>
        <w:lastRenderedPageBreak/>
        <w:t>Bilaga 3. Huvudsakliga ekonomiska trender inom euroområdet hittills</w:t>
      </w:r>
      <w:bookmarkEnd w:id="1"/>
    </w:p>
    <w:p w:rsidR="0089464F" w:rsidRDefault="00AA20CD">
      <w:pPr>
        <w:spacing w:line="240" w:lineRule="auto"/>
        <w:jc w:val="both"/>
        <w:rPr>
          <w:rFonts w:ascii="Times New Roman" w:eastAsia="Times New Roman" w:hAnsi="Times New Roman" w:cs="Times New Roman"/>
          <w:b/>
          <w:noProof/>
          <w:sz w:val="24"/>
          <w:szCs w:val="24"/>
        </w:rPr>
      </w:pPr>
      <w:r>
        <w:rPr>
          <w:rFonts w:ascii="Times New Roman" w:hAnsi="Times New Roman"/>
          <w:noProof/>
          <w:sz w:val="24"/>
        </w:rPr>
        <w:t xml:space="preserve">När euron infördes ledde det inledningsvis till en viss konvergens mellan de deltagande medlemsstaterna, i synnerhet när det gäller ekonomisk tillväxt och räntesatser. </w:t>
      </w:r>
    </w:p>
    <w:p w:rsidR="0089464F" w:rsidRDefault="00AA20CD">
      <w:pPr>
        <w:spacing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Krisen blottlade dock vissa betydande skillnader i fråga om konkurrenskraft, banksektorns styrka och de offentliga finansernas hållbarhet som hade uppstått under de föregående åren. Det ledde också till större klyftor i ekonomiska resultat. </w:t>
      </w:r>
    </w:p>
    <w:p w:rsidR="0089464F" w:rsidRDefault="00AA20CD">
      <w:pPr>
        <w:spacing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Under de senaste åren har det funnits vissa tecken på en trend mot minskande klyftor. Men det finns fortfarande markanta skillnader mellan medlemsstater och ett betydande arv efter krisen, och ännu märks ingen tydlig process mot förnyad konvergens. </w:t>
      </w:r>
    </w:p>
    <w:p w:rsidR="0089464F" w:rsidRDefault="00AA20CD">
      <w:pPr>
        <w:spacing w:line="240" w:lineRule="auto"/>
        <w:jc w:val="both"/>
        <w:rPr>
          <w:rFonts w:ascii="Times New Roman" w:eastAsia="Times New Roman" w:hAnsi="Times New Roman" w:cs="Times New Roman"/>
          <w:noProof/>
          <w:sz w:val="24"/>
          <w:szCs w:val="24"/>
        </w:rPr>
      </w:pPr>
      <w:r>
        <w:rPr>
          <w:rFonts w:ascii="Times New Roman" w:hAnsi="Times New Roman"/>
          <w:noProof/>
          <w:sz w:val="24"/>
        </w:rPr>
        <w:t>Medan väsentlig tillväxt uppstod under euroområdets första år märkte många medlemsstater av betydligt lägre levnadsstandarder under krisen. Exempelvis har Tysklands tillväxt tagit rejäl fart sedan dess medan Italiens BNP fortfarande är lägre än före krisen. Alla ekonomier i euroområdet har inte återhämtat sig i samma utsträckning.</w:t>
      </w:r>
      <w:r>
        <w:rPr>
          <w:rFonts w:ascii="Times New Roman" w:hAnsi="Times New Roman"/>
          <w:b/>
          <w:noProof/>
          <w:sz w:val="24"/>
        </w:rPr>
        <w:t xml:space="preserve"> </w:t>
      </w:r>
    </w:p>
    <w:p w:rsidR="0089464F" w:rsidRDefault="0089464F">
      <w:pPr>
        <w:rPr>
          <w:noProof/>
        </w:rPr>
      </w:pPr>
    </w:p>
    <w:p w:rsidR="0089464F" w:rsidRDefault="00AA20CD">
      <w:pPr>
        <w:spacing w:after="120" w:line="240" w:lineRule="auto"/>
        <w:jc w:val="both"/>
        <w:rPr>
          <w:rFonts w:ascii="Times New Roman" w:eastAsia="Times New Roman" w:hAnsi="Times New Roman" w:cs="Times New Roman"/>
          <w:noProof/>
          <w:sz w:val="24"/>
          <w:szCs w:val="24"/>
          <w:lang w:val="it-IT"/>
        </w:rPr>
      </w:pPr>
      <w:r>
        <w:rPr>
          <w:rFonts w:ascii="Times New Roman" w:hAnsi="Times New Roman"/>
          <w:b/>
          <w:noProof/>
          <w:sz w:val="24"/>
          <w:lang w:val="it-IT"/>
        </w:rPr>
        <w:t>Trender i BNP (i fasta priser) per capita</w:t>
      </w:r>
    </w:p>
    <w:p w:rsidR="0089464F" w:rsidRDefault="00AA20CD">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Index 1999 = 100 </w:t>
      </w:r>
    </w:p>
    <w:p w:rsidR="0089464F" w:rsidRDefault="00AA20CD">
      <w:pPr>
        <w:spacing w:line="240" w:lineRule="auto"/>
        <w:jc w:val="center"/>
        <w:rPr>
          <w:noProof/>
        </w:rPr>
      </w:pPr>
      <w:r>
        <w:rPr>
          <w:noProof/>
        </w:rPr>
        <w:t xml:space="preserve"> </w:t>
      </w:r>
      <w:r>
        <w:rPr>
          <w:noProof/>
          <w:lang w:val="en-GB" w:eastAsia="en-GB" w:bidi="ar-SA"/>
        </w:rPr>
        <w:drawing>
          <wp:inline distT="0" distB="0" distL="0" distR="0" wp14:anchorId="5432D77A" wp14:editId="3D8145A0">
            <wp:extent cx="3801734" cy="2660073"/>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7954" t="30339" r="22267" b="23154"/>
                    <a:stretch/>
                  </pic:blipFill>
                  <pic:spPr bwMode="auto">
                    <a:xfrm>
                      <a:off x="0" y="0"/>
                      <a:ext cx="3803258" cy="2661140"/>
                    </a:xfrm>
                    <a:prstGeom prst="rect">
                      <a:avLst/>
                    </a:prstGeom>
                    <a:noFill/>
                    <a:ln>
                      <a:noFill/>
                    </a:ln>
                    <a:extLst>
                      <a:ext uri="{53640926-AAD7-44D8-BBD7-CCE9431645EC}">
                        <a14:shadowObscured xmlns:a14="http://schemas.microsoft.com/office/drawing/2010/main"/>
                      </a:ext>
                    </a:extLst>
                  </pic:spPr>
                </pic:pic>
              </a:graphicData>
            </a:graphic>
          </wp:inline>
        </w:drawing>
      </w:r>
    </w:p>
    <w:p w:rsidR="0089464F" w:rsidRDefault="00AA20CD">
      <w:pPr>
        <w:spacing w:after="120" w:line="240" w:lineRule="auto"/>
        <w:jc w:val="both"/>
        <w:rPr>
          <w:rFonts w:ascii="Times New Roman" w:eastAsia="Times New Roman" w:hAnsi="Times New Roman" w:cs="Times New Roman"/>
          <w:i/>
          <w:noProof/>
          <w:sz w:val="24"/>
          <w:szCs w:val="24"/>
        </w:rPr>
      </w:pPr>
      <w:r>
        <w:rPr>
          <w:rFonts w:ascii="Times New Roman" w:hAnsi="Times New Roman"/>
          <w:i/>
          <w:noProof/>
          <w:sz w:val="24"/>
        </w:rPr>
        <w:t>Källa: EU-kommissionen</w:t>
      </w:r>
    </w:p>
    <w:p w:rsidR="0089464F" w:rsidRDefault="00AA20CD">
      <w:pPr>
        <w:spacing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En av de bakomliggande orsakerna till skillnaderna i ekonomiska resultat har att göra med investeringar. Efter en kraftig minskning under krisen tog det åratal för investeringarna att nå upp till samma nivå, och de har börjat stiga igen först under de senaste åren. Investeringsnivån är särskilt låg i de medlemsstater som drabbades av ekonomiska svårigheter under krisen. </w:t>
      </w:r>
    </w:p>
    <w:p w:rsidR="0089464F" w:rsidRDefault="00D3100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br w:type="column"/>
      </w:r>
      <w:bookmarkStart w:id="2" w:name="_GoBack"/>
      <w:bookmarkEnd w:id="2"/>
      <w:r w:rsidR="00AA20CD">
        <w:rPr>
          <w:rFonts w:ascii="Times New Roman" w:hAnsi="Times New Roman"/>
          <w:b/>
          <w:noProof/>
          <w:sz w:val="24"/>
        </w:rPr>
        <w:lastRenderedPageBreak/>
        <w:t xml:space="preserve">Trender i totala investeringar </w:t>
      </w:r>
    </w:p>
    <w:p w:rsidR="0089464F" w:rsidRDefault="00AA20CD">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Index 1999 = 100</w:t>
      </w:r>
    </w:p>
    <w:p w:rsidR="0089464F" w:rsidRDefault="0089464F">
      <w:pPr>
        <w:spacing w:after="0" w:line="240" w:lineRule="auto"/>
        <w:jc w:val="both"/>
        <w:rPr>
          <w:rFonts w:ascii="Times New Roman" w:eastAsia="Times New Roman" w:hAnsi="Times New Roman" w:cs="Times New Roman"/>
          <w:noProof/>
          <w:sz w:val="24"/>
          <w:szCs w:val="24"/>
        </w:rPr>
      </w:pPr>
    </w:p>
    <w:p w:rsidR="0089464F" w:rsidRDefault="00AA20CD">
      <w:pPr>
        <w:spacing w:after="0" w:line="240" w:lineRule="auto"/>
        <w:jc w:val="both"/>
        <w:rPr>
          <w:noProof/>
        </w:rPr>
      </w:pPr>
      <w:r>
        <w:rPr>
          <w:noProof/>
          <w:lang w:val="en-GB" w:eastAsia="en-GB" w:bidi="ar-SA"/>
        </w:rPr>
        <w:drawing>
          <wp:inline distT="0" distB="0" distL="0" distR="0" wp14:anchorId="2358F0F4" wp14:editId="262094B6">
            <wp:extent cx="3077570" cy="221323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9268" t="44112" r="55603" b="22156"/>
                    <a:stretch/>
                  </pic:blipFill>
                  <pic:spPr bwMode="auto">
                    <a:xfrm>
                      <a:off x="0" y="0"/>
                      <a:ext cx="3077639" cy="2213281"/>
                    </a:xfrm>
                    <a:prstGeom prst="rect">
                      <a:avLst/>
                    </a:prstGeom>
                    <a:noFill/>
                    <a:ln>
                      <a:noFill/>
                    </a:ln>
                    <a:extLst>
                      <a:ext uri="{53640926-AAD7-44D8-BBD7-CCE9431645EC}">
                        <a14:shadowObscured xmlns:a14="http://schemas.microsoft.com/office/drawing/2010/main"/>
                      </a:ext>
                    </a:extLst>
                  </pic:spPr>
                </pic:pic>
              </a:graphicData>
            </a:graphic>
          </wp:inline>
        </w:drawing>
      </w:r>
    </w:p>
    <w:p w:rsidR="0089464F" w:rsidRDefault="00AA20CD">
      <w:pPr>
        <w:spacing w:after="0" w:line="240" w:lineRule="auto"/>
        <w:jc w:val="both"/>
        <w:rPr>
          <w:rFonts w:ascii="Times New Roman" w:eastAsia="Times New Roman" w:hAnsi="Times New Roman" w:cs="Times New Roman"/>
          <w:i/>
          <w:noProof/>
          <w:sz w:val="24"/>
          <w:szCs w:val="24"/>
        </w:rPr>
      </w:pPr>
      <w:r>
        <w:rPr>
          <w:noProof/>
          <w:lang w:val="en-GB" w:eastAsia="en-GB" w:bidi="ar-SA"/>
        </w:rPr>
        <w:drawing>
          <wp:inline distT="0" distB="0" distL="0" distR="0" wp14:anchorId="4AF5DC50" wp14:editId="5511CCDE">
            <wp:extent cx="3336878" cy="24819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53814" t="44910" r="10010" b="19161"/>
                    <a:stretch/>
                  </pic:blipFill>
                  <pic:spPr bwMode="auto">
                    <a:xfrm>
                      <a:off x="0" y="0"/>
                      <a:ext cx="3336954" cy="2482033"/>
                    </a:xfrm>
                    <a:prstGeom prst="rect">
                      <a:avLst/>
                    </a:prstGeom>
                    <a:noFill/>
                    <a:ln>
                      <a:noFill/>
                    </a:ln>
                    <a:extLst>
                      <a:ext uri="{53640926-AAD7-44D8-BBD7-CCE9431645EC}">
                        <a14:shadowObscured xmlns:a14="http://schemas.microsoft.com/office/drawing/2010/main"/>
                      </a:ext>
                    </a:extLst>
                  </pic:spPr>
                </pic:pic>
              </a:graphicData>
            </a:graphic>
          </wp:inline>
        </w:drawing>
      </w:r>
    </w:p>
    <w:p w:rsidR="0089464F" w:rsidRDefault="00AA20CD">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Källa: EU-kommissionen</w:t>
      </w:r>
    </w:p>
    <w:p w:rsidR="0089464F" w:rsidRDefault="0089464F">
      <w:pPr>
        <w:spacing w:line="240" w:lineRule="auto"/>
        <w:jc w:val="both"/>
        <w:rPr>
          <w:rFonts w:ascii="Times New Roman" w:eastAsia="Times New Roman" w:hAnsi="Times New Roman" w:cs="Times New Roman"/>
          <w:b/>
          <w:noProof/>
          <w:sz w:val="24"/>
          <w:szCs w:val="24"/>
        </w:rPr>
      </w:pPr>
    </w:p>
    <w:p w:rsidR="0089464F" w:rsidRDefault="00AA20CD">
      <w:pPr>
        <w:spacing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Konkurrenskraften, uttryckt i arbetskostnader, skiljde sig kraftigt åt under de första åren med euron. Tyskland hade till exempel en särskilt gynnsam kostnadsutveckling, jämfört med Frankrike, Italien och andra. Spanien har gjort en kraftig korrigering av arbetskostnader sedan reformer genomförts som svar på krisen. </w:t>
      </w:r>
    </w:p>
    <w:p w:rsidR="0089464F" w:rsidRDefault="00AA20CD">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Trender i nominell enhetsarbetskostnad</w:t>
      </w:r>
    </w:p>
    <w:p w:rsidR="0089464F" w:rsidRDefault="00AA20CD">
      <w:pPr>
        <w:spacing w:after="0" w:line="240" w:lineRule="auto"/>
        <w:jc w:val="both"/>
        <w:rPr>
          <w:rFonts w:ascii="Times New Roman" w:eastAsia="Times New Roman" w:hAnsi="Times New Roman" w:cs="Times New Roman"/>
          <w:b/>
          <w:noProof/>
          <w:sz w:val="24"/>
          <w:szCs w:val="24"/>
        </w:rPr>
      </w:pPr>
      <w:r>
        <w:rPr>
          <w:rFonts w:ascii="Times New Roman" w:hAnsi="Times New Roman"/>
          <w:noProof/>
          <w:sz w:val="24"/>
        </w:rPr>
        <w:t>Index 100 = 1999</w:t>
      </w:r>
    </w:p>
    <w:p w:rsidR="0089464F" w:rsidRDefault="00AA20CD">
      <w:pPr>
        <w:spacing w:line="240" w:lineRule="auto"/>
        <w:jc w:val="center"/>
        <w:rPr>
          <w:noProof/>
        </w:rPr>
      </w:pPr>
      <w:r>
        <w:rPr>
          <w:noProof/>
        </w:rPr>
        <w:lastRenderedPageBreak/>
        <w:t xml:space="preserve"> </w:t>
      </w:r>
      <w:r>
        <w:rPr>
          <w:noProof/>
          <w:lang w:val="en-GB" w:eastAsia="en-GB" w:bidi="ar-SA"/>
        </w:rPr>
        <w:drawing>
          <wp:inline distT="0" distB="0" distL="0" distR="0" wp14:anchorId="26ED3864" wp14:editId="759922B3">
            <wp:extent cx="3384292" cy="2531660"/>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30794" t="33533" r="30639" b="27944"/>
                    <a:stretch/>
                  </pic:blipFill>
                  <pic:spPr bwMode="auto">
                    <a:xfrm>
                      <a:off x="0" y="0"/>
                      <a:ext cx="3384370" cy="2531718"/>
                    </a:xfrm>
                    <a:prstGeom prst="rect">
                      <a:avLst/>
                    </a:prstGeom>
                    <a:noFill/>
                    <a:ln>
                      <a:noFill/>
                    </a:ln>
                    <a:extLst>
                      <a:ext uri="{53640926-AAD7-44D8-BBD7-CCE9431645EC}">
                        <a14:shadowObscured xmlns:a14="http://schemas.microsoft.com/office/drawing/2010/main"/>
                      </a:ext>
                    </a:extLst>
                  </pic:spPr>
                </pic:pic>
              </a:graphicData>
            </a:graphic>
          </wp:inline>
        </w:drawing>
      </w:r>
    </w:p>
    <w:p w:rsidR="0089464F" w:rsidRDefault="00AA20CD">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Källa: EU-kommissionen</w:t>
      </w:r>
    </w:p>
    <w:p w:rsidR="0089464F" w:rsidRDefault="0089464F">
      <w:pPr>
        <w:spacing w:after="0" w:line="240" w:lineRule="auto"/>
        <w:jc w:val="both"/>
        <w:rPr>
          <w:rFonts w:ascii="Times New Roman" w:eastAsia="Times New Roman" w:hAnsi="Times New Roman" w:cs="Times New Roman"/>
          <w:i/>
          <w:noProof/>
          <w:sz w:val="24"/>
          <w:szCs w:val="24"/>
        </w:rPr>
      </w:pPr>
    </w:p>
    <w:p w:rsidR="0089464F" w:rsidRDefault="00AA20CD">
      <w:pPr>
        <w:spacing w:line="240" w:lineRule="auto"/>
        <w:jc w:val="both"/>
        <w:rPr>
          <w:rFonts w:ascii="Times New Roman" w:eastAsia="Times New Roman" w:hAnsi="Times New Roman" w:cs="Times New Roman"/>
          <w:noProof/>
          <w:sz w:val="24"/>
          <w:szCs w:val="24"/>
        </w:rPr>
      </w:pPr>
      <w:r>
        <w:rPr>
          <w:rFonts w:ascii="Times New Roman" w:hAnsi="Times New Roman"/>
          <w:noProof/>
          <w:sz w:val="24"/>
        </w:rPr>
        <w:t>När det gäller finansiella indikatorer har privatsektorns räntor konvergerat sedan 2012. Stora skillnader kvarstår dock, och företagens finansieringsvillkor beror fortfarande i mycket hög på deras nationalitet.</w:t>
      </w:r>
      <w:r>
        <w:rPr>
          <w:noProof/>
        </w:rPr>
        <w:t xml:space="preserve"> </w:t>
      </w:r>
      <w:r>
        <w:rPr>
          <w:rFonts w:ascii="Times New Roman" w:hAnsi="Times New Roman"/>
          <w:noProof/>
          <w:sz w:val="24"/>
        </w:rPr>
        <w:t>Dessutom ökade variationerna i utlåningsvolymer faktiskt fram till 2013 och började först därefter konvergera.</w:t>
      </w:r>
    </w:p>
    <w:p w:rsidR="0089464F" w:rsidRDefault="00AA20CD">
      <w:pPr>
        <w:spacing w:line="240" w:lineRule="auto"/>
        <w:jc w:val="both"/>
        <w:rPr>
          <w:rFonts w:ascii="Times New Roman" w:eastAsia="Times New Roman" w:hAnsi="Times New Roman" w:cs="Times New Roman"/>
          <w:b/>
          <w:noProof/>
          <w:sz w:val="24"/>
          <w:szCs w:val="24"/>
        </w:rPr>
      </w:pPr>
      <w:r>
        <w:rPr>
          <w:rFonts w:ascii="Times New Roman" w:hAnsi="Times New Roman"/>
          <w:b/>
          <w:noProof/>
          <w:sz w:val="24"/>
        </w:rPr>
        <w:t>Trender i räntorna för lån till icke-finansiella företag och lånebelopp till företag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5"/>
      </w:tblGrid>
      <w:tr w:rsidR="0089464F">
        <w:tc>
          <w:tcPr>
            <w:tcW w:w="4599" w:type="dxa"/>
          </w:tcPr>
          <w:p w:rsidR="0089464F" w:rsidRDefault="00AA20CD">
            <w:pPr>
              <w:jc w:val="both"/>
              <w:rPr>
                <w:rFonts w:ascii="Times New Roman" w:eastAsia="Times New Roman" w:hAnsi="Times New Roman" w:cs="Times New Roman"/>
                <w:noProof/>
                <w:sz w:val="24"/>
                <w:szCs w:val="24"/>
              </w:rPr>
            </w:pPr>
            <w:r>
              <w:rPr>
                <w:rFonts w:ascii="Times New Roman" w:hAnsi="Times New Roman"/>
                <w:noProof/>
                <w:sz w:val="24"/>
              </w:rPr>
              <w:t>Räntesats i %</w:t>
            </w:r>
          </w:p>
        </w:tc>
        <w:tc>
          <w:tcPr>
            <w:tcW w:w="4643" w:type="dxa"/>
          </w:tcPr>
          <w:p w:rsidR="0089464F" w:rsidRDefault="00AA20CD">
            <w:pPr>
              <w:jc w:val="both"/>
              <w:rPr>
                <w:rFonts w:ascii="Times New Roman" w:eastAsia="Times New Roman" w:hAnsi="Times New Roman" w:cs="Times New Roman"/>
                <w:noProof/>
                <w:sz w:val="24"/>
                <w:szCs w:val="24"/>
              </w:rPr>
            </w:pPr>
            <w:r>
              <w:rPr>
                <w:rFonts w:ascii="Times New Roman" w:hAnsi="Times New Roman"/>
                <w:noProof/>
                <w:sz w:val="24"/>
              </w:rPr>
              <w:t>Nominell lånevolym, årlig tillväxttakt</w:t>
            </w:r>
          </w:p>
        </w:tc>
      </w:tr>
      <w:tr w:rsidR="0089464F">
        <w:tc>
          <w:tcPr>
            <w:tcW w:w="4599" w:type="dxa"/>
          </w:tcPr>
          <w:p w:rsidR="0089464F" w:rsidRDefault="00AA20CD">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14:anchorId="0ED52D15" wp14:editId="232F4271">
                  <wp:extent cx="2950845"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0845" cy="2286000"/>
                          </a:xfrm>
                          <a:prstGeom prst="rect">
                            <a:avLst/>
                          </a:prstGeom>
                          <a:noFill/>
                        </pic:spPr>
                      </pic:pic>
                    </a:graphicData>
                  </a:graphic>
                </wp:inline>
              </w:drawing>
            </w:r>
          </w:p>
        </w:tc>
        <w:tc>
          <w:tcPr>
            <w:tcW w:w="4643" w:type="dxa"/>
          </w:tcPr>
          <w:p w:rsidR="0089464F" w:rsidRDefault="00AA20CD">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14:anchorId="6714AB49" wp14:editId="1EFBFF3D">
                  <wp:extent cx="2950845" cy="22618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845" cy="2261870"/>
                          </a:xfrm>
                          <a:prstGeom prst="rect">
                            <a:avLst/>
                          </a:prstGeom>
                          <a:noFill/>
                        </pic:spPr>
                      </pic:pic>
                    </a:graphicData>
                  </a:graphic>
                </wp:inline>
              </w:drawing>
            </w:r>
          </w:p>
        </w:tc>
      </w:tr>
      <w:tr w:rsidR="0089464F">
        <w:tc>
          <w:tcPr>
            <w:tcW w:w="4599" w:type="dxa"/>
          </w:tcPr>
          <w:p w:rsidR="0089464F" w:rsidRDefault="00AA20CD">
            <w:pPr>
              <w:jc w:val="both"/>
              <w:rPr>
                <w:rFonts w:ascii="Times New Roman" w:eastAsia="Times New Roman" w:hAnsi="Times New Roman" w:cs="Times New Roman"/>
                <w:i/>
                <w:noProof/>
                <w:sz w:val="24"/>
                <w:szCs w:val="24"/>
              </w:rPr>
            </w:pPr>
            <w:r>
              <w:rPr>
                <w:rFonts w:ascii="Times New Roman" w:hAnsi="Times New Roman"/>
                <w:i/>
                <w:noProof/>
                <w:sz w:val="24"/>
              </w:rPr>
              <w:t>Källa: Europeiska centralbanken</w:t>
            </w:r>
          </w:p>
        </w:tc>
        <w:tc>
          <w:tcPr>
            <w:tcW w:w="4643" w:type="dxa"/>
          </w:tcPr>
          <w:p w:rsidR="0089464F" w:rsidRDefault="00AA20CD">
            <w:pPr>
              <w:jc w:val="both"/>
              <w:rPr>
                <w:rFonts w:ascii="Times New Roman" w:eastAsia="Times New Roman" w:hAnsi="Times New Roman" w:cs="Times New Roman"/>
                <w:i/>
                <w:noProof/>
                <w:sz w:val="24"/>
                <w:szCs w:val="24"/>
              </w:rPr>
            </w:pPr>
            <w:r>
              <w:rPr>
                <w:rFonts w:ascii="Times New Roman" w:hAnsi="Times New Roman"/>
                <w:i/>
                <w:noProof/>
                <w:sz w:val="24"/>
              </w:rPr>
              <w:t>Källa: Europeiska centralbanken</w:t>
            </w:r>
          </w:p>
        </w:tc>
      </w:tr>
    </w:tbl>
    <w:p w:rsidR="0089464F" w:rsidRDefault="0089464F">
      <w:pPr>
        <w:spacing w:after="0" w:line="240" w:lineRule="auto"/>
        <w:jc w:val="both"/>
        <w:rPr>
          <w:rFonts w:ascii="Times New Roman" w:eastAsia="Times New Roman" w:hAnsi="Times New Roman" w:cs="Times New Roman"/>
          <w:noProof/>
          <w:sz w:val="24"/>
          <w:szCs w:val="24"/>
        </w:rPr>
      </w:pPr>
    </w:p>
    <w:p w:rsidR="0089464F" w:rsidRDefault="0089464F">
      <w:pPr>
        <w:spacing w:after="0" w:line="240" w:lineRule="auto"/>
        <w:jc w:val="both"/>
        <w:rPr>
          <w:rFonts w:ascii="Times New Roman" w:eastAsia="Times New Roman" w:hAnsi="Times New Roman" w:cs="Times New Roman"/>
          <w:i/>
          <w:noProof/>
          <w:sz w:val="24"/>
          <w:szCs w:val="24"/>
        </w:rPr>
      </w:pPr>
    </w:p>
    <w:p w:rsidR="0089464F" w:rsidRDefault="00AA20CD">
      <w:pPr>
        <w:spacing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Ökningen av nödlidande lån – lån som sannolikt inte kommer att återbetalas – i bankernas balansräkningar är både ett symptom på krisåren och en källa till sårbarhet. Dessa lån är mycket vanligare i de sydeuropeiska medlemsstaterna än i något annat land i euroområdet. </w:t>
      </w:r>
    </w:p>
    <w:p w:rsidR="0089464F" w:rsidRDefault="00AA20CD">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Trender i andelen nödlidande lån som andel av de totala bruttolånen</w:t>
      </w:r>
    </w:p>
    <w:p w:rsidR="0089464F" w:rsidRDefault="00AA20CD">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lastRenderedPageBreak/>
        <w:drawing>
          <wp:inline distT="0" distB="0" distL="0" distR="0" wp14:anchorId="447B9A55" wp14:editId="54DC7A2E">
            <wp:extent cx="10193655" cy="2804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3655" cy="2804160"/>
                    </a:xfrm>
                    <a:prstGeom prst="rect">
                      <a:avLst/>
                    </a:prstGeom>
                    <a:noFill/>
                  </pic:spPr>
                </pic:pic>
              </a:graphicData>
            </a:graphic>
          </wp:inline>
        </w:drawing>
      </w:r>
    </w:p>
    <w:p w:rsidR="0089464F" w:rsidRDefault="00AA20CD">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Källa: Världsbanken och Internationella valutafonden, senaste tillgängliga uppgifter</w:t>
      </w:r>
    </w:p>
    <w:p w:rsidR="0089464F" w:rsidRDefault="0089464F">
      <w:pPr>
        <w:spacing w:line="240" w:lineRule="auto"/>
        <w:jc w:val="both"/>
        <w:rPr>
          <w:rFonts w:ascii="Times New Roman" w:eastAsia="Times New Roman" w:hAnsi="Times New Roman" w:cs="Times New Roman"/>
          <w:b/>
          <w:noProof/>
          <w:sz w:val="24"/>
          <w:szCs w:val="24"/>
        </w:rPr>
      </w:pPr>
    </w:p>
    <w:p w:rsidR="0089464F" w:rsidRDefault="00AA20CD">
      <w:pPr>
        <w:spacing w:line="240" w:lineRule="auto"/>
        <w:jc w:val="both"/>
        <w:rPr>
          <w:rFonts w:ascii="Times New Roman" w:eastAsia="Times New Roman" w:hAnsi="Times New Roman" w:cs="Times New Roman"/>
          <w:noProof/>
          <w:sz w:val="24"/>
          <w:szCs w:val="24"/>
        </w:rPr>
      </w:pPr>
      <w:r>
        <w:rPr>
          <w:rFonts w:ascii="Times New Roman" w:hAnsi="Times New Roman"/>
          <w:noProof/>
          <w:sz w:val="24"/>
        </w:rPr>
        <w:t>Krisen ledde till en betydande ökning av den offentliga skulden. Denna trend har avstannat under de senaste åren och de offentliga skuldnivåerna har i genomsnitt börjat minska. De är dock fortfarande höga och endast ett fåtal medlemsstater har hittills uppnått en betydande minskning.</w:t>
      </w:r>
    </w:p>
    <w:p w:rsidR="0089464F" w:rsidRDefault="00AA20CD">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Trender i offentliga skulder</w:t>
      </w:r>
    </w:p>
    <w:p w:rsidR="0089464F" w:rsidRDefault="00AA20CD">
      <w:pPr>
        <w:spacing w:after="0" w:line="240" w:lineRule="auto"/>
        <w:rPr>
          <w:rFonts w:ascii="Times New Roman" w:eastAsia="Times New Roman" w:hAnsi="Times New Roman" w:cs="Times New Roman"/>
          <w:noProof/>
          <w:sz w:val="24"/>
          <w:szCs w:val="24"/>
        </w:rPr>
      </w:pPr>
      <w:r>
        <w:rPr>
          <w:rFonts w:ascii="Times New Roman" w:hAnsi="Times New Roman"/>
          <w:noProof/>
          <w:sz w:val="24"/>
        </w:rPr>
        <w:t>Den offentliga bruttoskulden i % av BNP</w:t>
      </w:r>
    </w:p>
    <w:p w:rsidR="0089464F" w:rsidRDefault="00AA20CD">
      <w:pPr>
        <w:spacing w:after="0" w:line="240" w:lineRule="auto"/>
        <w:jc w:val="both"/>
        <w:rPr>
          <w:rFonts w:ascii="Times New Roman" w:eastAsia="Times New Roman" w:hAnsi="Times New Roman" w:cs="Times New Roman"/>
          <w:noProof/>
          <w:sz w:val="24"/>
          <w:szCs w:val="24"/>
        </w:rPr>
      </w:pPr>
      <w:r>
        <w:rPr>
          <w:noProof/>
          <w:lang w:val="en-GB" w:eastAsia="en-GB" w:bidi="ar-SA"/>
        </w:rPr>
        <w:drawing>
          <wp:inline distT="0" distB="0" distL="0" distR="0" wp14:anchorId="2948259B" wp14:editId="4FD77E8E">
            <wp:extent cx="3274273" cy="2149522"/>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9866" t="45309" r="50969" b="20359"/>
                    <a:stretch/>
                  </pic:blipFill>
                  <pic:spPr bwMode="auto">
                    <a:xfrm>
                      <a:off x="0" y="0"/>
                      <a:ext cx="3275112" cy="21500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bidi="ar-SA"/>
        </w:rPr>
        <w:drawing>
          <wp:inline distT="0" distB="0" distL="0" distR="0" wp14:anchorId="191EDFDC" wp14:editId="507EBF55">
            <wp:extent cx="3227696" cy="214724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55160" t="46108" r="9562" b="22555"/>
                    <a:stretch/>
                  </pic:blipFill>
                  <pic:spPr bwMode="auto">
                    <a:xfrm>
                      <a:off x="0" y="0"/>
                      <a:ext cx="3227770" cy="21472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rPr>
        <w:t xml:space="preserve"> </w:t>
      </w:r>
    </w:p>
    <w:p w:rsidR="0089464F" w:rsidRDefault="0089464F">
      <w:pPr>
        <w:spacing w:after="0" w:line="240" w:lineRule="auto"/>
        <w:jc w:val="both"/>
        <w:rPr>
          <w:rFonts w:ascii="Times New Roman" w:eastAsia="Times New Roman" w:hAnsi="Times New Roman" w:cs="Times New Roman"/>
          <w:noProof/>
          <w:sz w:val="24"/>
          <w:szCs w:val="24"/>
        </w:rPr>
      </w:pPr>
    </w:p>
    <w:p w:rsidR="0089464F" w:rsidRDefault="00AA20CD">
      <w:pPr>
        <w:spacing w:line="240" w:lineRule="auto"/>
        <w:rPr>
          <w:rFonts w:ascii="Times New Roman" w:eastAsia="Times New Roman" w:hAnsi="Times New Roman" w:cs="Times New Roman"/>
          <w:i/>
          <w:noProof/>
          <w:sz w:val="24"/>
          <w:szCs w:val="24"/>
        </w:rPr>
      </w:pPr>
      <w:r>
        <w:rPr>
          <w:rFonts w:ascii="Times New Roman" w:hAnsi="Times New Roman"/>
          <w:i/>
          <w:noProof/>
          <w:sz w:val="24"/>
        </w:rPr>
        <w:t>Källa: EU-kommissionen</w:t>
      </w:r>
    </w:p>
    <w:p w:rsidR="0089464F" w:rsidRDefault="0089464F">
      <w:pPr>
        <w:spacing w:line="240" w:lineRule="auto"/>
        <w:jc w:val="both"/>
        <w:rPr>
          <w:rFonts w:ascii="Times New Roman" w:eastAsia="Times New Roman" w:hAnsi="Times New Roman" w:cs="Times New Roman"/>
          <w:b/>
          <w:noProof/>
          <w:sz w:val="24"/>
          <w:szCs w:val="24"/>
        </w:rPr>
      </w:pPr>
    </w:p>
    <w:p w:rsidR="0089464F" w:rsidRDefault="0089464F">
      <w:pPr>
        <w:spacing w:line="240" w:lineRule="auto"/>
        <w:jc w:val="both"/>
        <w:rPr>
          <w:rFonts w:ascii="Times New Roman" w:eastAsia="Times New Roman" w:hAnsi="Times New Roman" w:cs="Times New Roman"/>
          <w:b/>
          <w:noProof/>
          <w:sz w:val="24"/>
          <w:szCs w:val="24"/>
        </w:rPr>
      </w:pPr>
    </w:p>
    <w:p w:rsidR="0089464F" w:rsidRDefault="0089464F">
      <w:pPr>
        <w:rPr>
          <w:noProof/>
        </w:rPr>
      </w:pPr>
    </w:p>
    <w:p w:rsidR="0089464F" w:rsidRDefault="0089464F">
      <w:pPr>
        <w:spacing w:line="240" w:lineRule="auto"/>
        <w:jc w:val="both"/>
        <w:rPr>
          <w:rFonts w:ascii="Times New Roman" w:eastAsia="Times New Roman" w:hAnsi="Times New Roman" w:cs="Times New Roman"/>
          <w:b/>
          <w:noProof/>
          <w:sz w:val="24"/>
          <w:szCs w:val="24"/>
        </w:rPr>
      </w:pPr>
    </w:p>
    <w:sectPr w:rsidR="0089464F">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pgNumType w:start="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E18497" w15:done="0"/>
  <w15:commentEx w15:paraId="14F508F4" w15:done="0"/>
  <w15:commentEx w15:paraId="58BB2950" w15:done="0"/>
  <w15:commentEx w15:paraId="17653B2E" w15:done="0"/>
  <w15:commentEx w15:paraId="219C12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64F" w:rsidRDefault="00AA20CD">
      <w:pPr>
        <w:spacing w:after="0" w:line="240" w:lineRule="auto"/>
      </w:pPr>
      <w:r>
        <w:separator/>
      </w:r>
    </w:p>
  </w:endnote>
  <w:endnote w:type="continuationSeparator" w:id="0">
    <w:p w:rsidR="0089464F" w:rsidRDefault="00AA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0CD" w:rsidRPr="00AA20CD" w:rsidRDefault="00AA20CD" w:rsidP="00AA20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0CD" w:rsidRPr="00AA20CD" w:rsidRDefault="00AA20CD" w:rsidP="00AA20CD">
    <w:pPr>
      <w:pStyle w:val="FooterCoverPage"/>
      <w:rPr>
        <w:rFonts w:ascii="Arial" w:hAnsi="Arial" w:cs="Arial"/>
        <w:b/>
        <w:sz w:val="48"/>
      </w:rPr>
    </w:pPr>
    <w:r w:rsidRPr="00AA20CD">
      <w:rPr>
        <w:rFonts w:ascii="Arial" w:hAnsi="Arial" w:cs="Arial"/>
        <w:b/>
        <w:sz w:val="48"/>
      </w:rPr>
      <w:t>SV</w:t>
    </w:r>
    <w:r w:rsidRPr="00AA20CD">
      <w:rPr>
        <w:rFonts w:ascii="Arial" w:hAnsi="Arial" w:cs="Arial"/>
        <w:b/>
        <w:sz w:val="48"/>
      </w:rPr>
      <w:tab/>
    </w:r>
    <w:r w:rsidRPr="00AA20CD">
      <w:rPr>
        <w:rFonts w:ascii="Arial" w:hAnsi="Arial" w:cs="Arial"/>
        <w:b/>
        <w:sz w:val="48"/>
      </w:rPr>
      <w:tab/>
    </w:r>
    <w:r w:rsidR="00D31001">
      <w:fldChar w:fldCharType="begin"/>
    </w:r>
    <w:r w:rsidR="00D31001">
      <w:instrText xml:space="preserve"> DOCVARIABLE "LW_Confidence" \* MERGEFORMAT </w:instrText>
    </w:r>
    <w:r w:rsidR="00D31001">
      <w:fldChar w:fldCharType="separate"/>
    </w:r>
    <w:r>
      <w:t xml:space="preserve"> </w:t>
    </w:r>
    <w:r w:rsidR="00D31001">
      <w:fldChar w:fldCharType="end"/>
    </w:r>
    <w:r w:rsidRPr="00AA20CD">
      <w:tab/>
    </w:r>
    <w:r w:rsidRPr="00AA20CD">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0CD" w:rsidRPr="00AA20CD" w:rsidRDefault="00AA20CD" w:rsidP="00AA20C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4F" w:rsidRDefault="008946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72710"/>
      <w:docPartObj>
        <w:docPartGallery w:val="Page Numbers (Bottom of Page)"/>
        <w:docPartUnique/>
      </w:docPartObj>
    </w:sdtPr>
    <w:sdtEndPr>
      <w:rPr>
        <w:noProof/>
      </w:rPr>
    </w:sdtEndPr>
    <w:sdtContent>
      <w:p w:rsidR="0089464F" w:rsidRDefault="00AA20CD">
        <w:pPr>
          <w:pStyle w:val="Footer"/>
          <w:jc w:val="center"/>
        </w:pPr>
        <w:r>
          <w:fldChar w:fldCharType="begin"/>
        </w:r>
        <w:r>
          <w:instrText xml:space="preserve"> PAGE   \* MERGEFORMAT </w:instrText>
        </w:r>
        <w:r>
          <w:fldChar w:fldCharType="separate"/>
        </w:r>
        <w:r w:rsidR="00D31001">
          <w:rPr>
            <w:noProof/>
          </w:rPr>
          <w:t>2</w:t>
        </w:r>
        <w:r>
          <w:rPr>
            <w:noProof/>
          </w:rPr>
          <w:fldChar w:fldCharType="end"/>
        </w:r>
      </w:p>
    </w:sdtContent>
  </w:sdt>
  <w:p w:rsidR="0089464F" w:rsidRDefault="0089464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4F" w:rsidRDefault="008946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64F" w:rsidRDefault="00AA20CD">
      <w:pPr>
        <w:spacing w:after="0" w:line="240" w:lineRule="auto"/>
      </w:pPr>
      <w:r>
        <w:separator/>
      </w:r>
    </w:p>
  </w:footnote>
  <w:footnote w:type="continuationSeparator" w:id="0">
    <w:p w:rsidR="0089464F" w:rsidRDefault="00AA2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0CD" w:rsidRPr="00AA20CD" w:rsidRDefault="00AA20CD" w:rsidP="00AA20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0CD" w:rsidRPr="00AA20CD" w:rsidRDefault="00AA20CD" w:rsidP="00AA20C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0CD" w:rsidRPr="00AA20CD" w:rsidRDefault="00AA20CD" w:rsidP="00AA20C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4F" w:rsidRDefault="0089464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4F" w:rsidRDefault="008946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64F" w:rsidRDefault="008946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08ED"/>
    <w:multiLevelType w:val="hybridMultilevel"/>
    <w:tmpl w:val="A46AF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nsid w:val="089316E0"/>
    <w:multiLevelType w:val="hybridMultilevel"/>
    <w:tmpl w:val="66B6C746"/>
    <w:lvl w:ilvl="0" w:tplc="9E36EB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9E3F7D"/>
    <w:multiLevelType w:val="hybridMultilevel"/>
    <w:tmpl w:val="AE3A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F65431"/>
    <w:multiLevelType w:val="hybridMultilevel"/>
    <w:tmpl w:val="4558C28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8F10838"/>
    <w:multiLevelType w:val="hybridMultilevel"/>
    <w:tmpl w:val="E5D233E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22281C4F"/>
    <w:multiLevelType w:val="hybridMultilevel"/>
    <w:tmpl w:val="0C2418D8"/>
    <w:lvl w:ilvl="0" w:tplc="31249888">
      <w:numFmt w:val="bullet"/>
      <w:lvlText w:val="•"/>
      <w:lvlJc w:val="left"/>
      <w:pPr>
        <w:ind w:left="1080" w:hanging="720"/>
      </w:pPr>
      <w:rPr>
        <w:rFonts w:ascii="Times New Roman" w:eastAsia="Times New Roman" w:hAnsi="Times New Roman"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289C1548"/>
    <w:multiLevelType w:val="hybridMultilevel"/>
    <w:tmpl w:val="2CE2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D41042"/>
    <w:multiLevelType w:val="hybridMultilevel"/>
    <w:tmpl w:val="B00080DC"/>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7E5D12"/>
    <w:multiLevelType w:val="hybridMultilevel"/>
    <w:tmpl w:val="8D72C374"/>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EC3A40"/>
    <w:multiLevelType w:val="hybridMultilevel"/>
    <w:tmpl w:val="BEC06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3A136E9"/>
    <w:multiLevelType w:val="hybridMultilevel"/>
    <w:tmpl w:val="6C7436F2"/>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125589"/>
    <w:multiLevelType w:val="hybridMultilevel"/>
    <w:tmpl w:val="10448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42052D"/>
    <w:multiLevelType w:val="hybridMultilevel"/>
    <w:tmpl w:val="5ECAD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AD339A"/>
    <w:multiLevelType w:val="hybridMultilevel"/>
    <w:tmpl w:val="9DA2F80C"/>
    <w:lvl w:ilvl="0" w:tplc="9E36EB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0E0AB9"/>
    <w:multiLevelType w:val="hybridMultilevel"/>
    <w:tmpl w:val="4EAA295C"/>
    <w:lvl w:ilvl="0" w:tplc="080C0005">
      <w:start w:val="1"/>
      <w:numFmt w:val="bullet"/>
      <w:lvlText w:val=""/>
      <w:lvlJc w:val="left"/>
      <w:pPr>
        <w:ind w:left="720" w:hanging="360"/>
      </w:pPr>
      <w:rPr>
        <w:rFonts w:ascii="Wingdings" w:hAnsi="Wingdings" w:hint="default"/>
      </w:rPr>
    </w:lvl>
    <w:lvl w:ilvl="1" w:tplc="353E04B2">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58335E64"/>
    <w:multiLevelType w:val="hybridMultilevel"/>
    <w:tmpl w:val="FE4AF858"/>
    <w:lvl w:ilvl="0" w:tplc="9E36EB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6456E9"/>
    <w:multiLevelType w:val="hybridMultilevel"/>
    <w:tmpl w:val="A1CC8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C33CC8"/>
    <w:multiLevelType w:val="hybridMultilevel"/>
    <w:tmpl w:val="0F940E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7D1FED"/>
    <w:multiLevelType w:val="hybridMultilevel"/>
    <w:tmpl w:val="E9027C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C97F77"/>
    <w:multiLevelType w:val="hybridMultilevel"/>
    <w:tmpl w:val="A2EE0F94"/>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634FA5"/>
    <w:multiLevelType w:val="hybridMultilevel"/>
    <w:tmpl w:val="F58C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74533C"/>
    <w:multiLevelType w:val="hybridMultilevel"/>
    <w:tmpl w:val="B99E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957211"/>
    <w:multiLevelType w:val="hybridMultilevel"/>
    <w:tmpl w:val="9D2C2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E41773"/>
    <w:multiLevelType w:val="hybridMultilevel"/>
    <w:tmpl w:val="9772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0C155C"/>
    <w:multiLevelType w:val="hybridMultilevel"/>
    <w:tmpl w:val="3B048964"/>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E30BB1"/>
    <w:multiLevelType w:val="hybridMultilevel"/>
    <w:tmpl w:val="758E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6"/>
  </w:num>
  <w:num w:numId="4">
    <w:abstractNumId w:val="6"/>
  </w:num>
  <w:num w:numId="5">
    <w:abstractNumId w:val="0"/>
  </w:num>
  <w:num w:numId="6">
    <w:abstractNumId w:val="18"/>
  </w:num>
  <w:num w:numId="7">
    <w:abstractNumId w:val="2"/>
  </w:num>
  <w:num w:numId="8">
    <w:abstractNumId w:val="12"/>
  </w:num>
  <w:num w:numId="9">
    <w:abstractNumId w:val="9"/>
  </w:num>
  <w:num w:numId="10">
    <w:abstractNumId w:val="25"/>
  </w:num>
  <w:num w:numId="11">
    <w:abstractNumId w:val="15"/>
  </w:num>
  <w:num w:numId="12">
    <w:abstractNumId w:val="1"/>
  </w:num>
  <w:num w:numId="13">
    <w:abstractNumId w:val="13"/>
  </w:num>
  <w:num w:numId="14">
    <w:abstractNumId w:val="7"/>
  </w:num>
  <w:num w:numId="15">
    <w:abstractNumId w:val="8"/>
  </w:num>
  <w:num w:numId="16">
    <w:abstractNumId w:val="10"/>
  </w:num>
  <w:num w:numId="17">
    <w:abstractNumId w:val="24"/>
  </w:num>
  <w:num w:numId="18">
    <w:abstractNumId w:val="19"/>
  </w:num>
  <w:num w:numId="19">
    <w:abstractNumId w:val="20"/>
  </w:num>
  <w:num w:numId="20">
    <w:abstractNumId w:val="22"/>
  </w:num>
  <w:num w:numId="21">
    <w:abstractNumId w:val="4"/>
  </w:num>
  <w:num w:numId="22">
    <w:abstractNumId w:val="14"/>
  </w:num>
  <w:num w:numId="23">
    <w:abstractNumId w:val="3"/>
  </w:num>
  <w:num w:numId="24">
    <w:abstractNumId w:val="5"/>
  </w:num>
  <w:num w:numId="25">
    <w:abstractNumId w:val="2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movePersonalInformation/>
  <w:removeDateAndTime/>
  <w:hideSpellingErrors/>
  <w:hideGrammaticalErrors/>
  <w:defaultTabStop w:val="720"/>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till"/>
    <w:docVar w:name="LW_ANNEX_NBR_FIRST" w:val="3"/>
    <w:docVar w:name="LW_ANNEX_NBR_LAST" w:val="3"/>
    <w:docVar w:name="LW_CONFIDENCE" w:val=" "/>
    <w:docVar w:name="LW_CONST_RESTREINT_UE" w:val="RESTREINT UE/EU RESTRICTED"/>
    <w:docVar w:name="LW_CORRIGENDUM" w:val="&lt;UNUSED&gt;"/>
    <w:docVar w:name="LW_COVERPAGE_GUID" w:val="8E7CA3D5377D4C538551EE71DEA85B37"/>
    <w:docVar w:name="LW_CROSSREFERENCE" w:val="&lt;UNUSED&gt;"/>
    <w:docVar w:name="LW_DocType" w:val="NORMAL"/>
    <w:docVar w:name="LW_EMISSION" w:val="31.5.2017"/>
    <w:docVar w:name="LW_EMISSION_ISODATE" w:val="2017-05-31"/>
    <w:docVar w:name="LW_EMISSION_LOCATION" w:val="BRX"/>
    <w:docVar w:name="LW_EMISSION_PREFIX" w:val="Bryssel den "/>
    <w:docVar w:name="LW_EMISSION_SUFFIX" w:val=" "/>
    <w:docVar w:name="LW_ID_DOCTYPE_NONLW" w:val="CP-039"/>
    <w:docVar w:name="LW_LANGUE" w:val="SV"/>
    <w:docVar w:name="LW_MARKING" w:val="&lt;UNUSED&gt;"/>
    <w:docVar w:name="LW_NOM.INST" w:val="EUROPEISKA KOMMISSIONEN"/>
    <w:docVar w:name="LW_NOM.INST_JOINTDOC" w:val="&lt;EMPTY&gt;"/>
    <w:docVar w:name="LW_OBJETACTEPRINCIPAL.CP" w:val="OM EN FÖRDJUPAD EKONOMISK OCH MONETÄR UNION"/>
    <w:docVar w:name="LW_PART_NBR" w:val="1"/>
    <w:docVar w:name="LW_PART_NBR_TOTAL" w:val="1"/>
    <w:docVar w:name="LW_REF.INST.NEW" w:val="COM"/>
    <w:docVar w:name="LW_REF.INST.NEW_ADOPTED" w:val="final"/>
    <w:docVar w:name="LW_REF.INST.NEW_TEXT" w:val="(2017) 291"/>
    <w:docVar w:name="LW_REF.INTERNE" w:val="&lt;UNUSED&gt;"/>
    <w:docVar w:name="LW_SUPERTITRE" w:val="&lt;UNUSED&gt;"/>
    <w:docVar w:name="LW_TITRE.OBJ.CP" w:val="&lt;UNUSED&gt;"/>
    <w:docVar w:name="LW_TYPE.DOC.CP" w:val="BILAGA_x000b_"/>
    <w:docVar w:name="LW_TYPEACTEPRINCIPAL.CP" w:val="DISKUSSIONSUNDERLAG"/>
  </w:docVars>
  <w:rsids>
    <w:rsidRoot w:val="0089464F"/>
    <w:rsid w:val="0089464F"/>
    <w:rsid w:val="00AA20CD"/>
    <w:rsid w:val="00D31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L"/>
    <w:basedOn w:val="Normal"/>
    <w:link w:val="ListParagraphChar"/>
    <w:uiPriority w:val="34"/>
    <w:qFormat/>
    <w:pPr>
      <w:ind w:left="720"/>
      <w:contextualSpacing/>
    </w:p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o"/>
    <w:basedOn w:val="Normal"/>
    <w:link w:val="FootnoteTextChar"/>
    <w:unhideWhenUsed/>
    <w:qFormat/>
    <w:pPr>
      <w:spacing w:after="0" w:line="240" w:lineRule="auto"/>
    </w:pPr>
    <w:rPr>
      <w:sz w:val="20"/>
      <w:szCs w:val="20"/>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basedOn w:val="DefaultParagraphFont"/>
    <w:link w:val="FootnoteText"/>
    <w:rPr>
      <w:sz w:val="20"/>
      <w:szCs w:val="20"/>
    </w:rPr>
  </w:style>
  <w:style w:type="character" w:styleId="FootnoteReference">
    <w:name w:val="footnote reference"/>
    <w:aliases w:val="Footnote Reference Number,Footnote Reference_LVL6,Footnote Reference_LVL61,Footnote Reference_LVL62,Footnote Reference_LVL63,Footnote Reference_LVL64,Footnote Reference_LVL65,Footnote Reference1,Char1,Ref,de nota al pie, Char1,Ch"/>
    <w:basedOn w:val="DefaultParagraphFont"/>
    <w:link w:val="16Point"/>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Point">
    <w:name w:val="16 Point"/>
    <w:aliases w:val="Superscript 6 Point,Times 10 Point,Exposant 3 Point,Footnote reference number,Odwołanie przypisu,number,SUPERS,footnote ref,2001+ Fußnotenzeichen, Exposant 3 Point"/>
    <w:basedOn w:val="Normal"/>
    <w:link w:val="FootnoteReference"/>
    <w:uiPriority w:val="99"/>
    <w:pPr>
      <w:spacing w:after="160" w:line="240" w:lineRule="exact"/>
      <w:jc w:val="both"/>
    </w:pPr>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imes New Roman" w:hAnsi="Times New Roman" w:cs="Times New Roman"/>
      <w:color w:val="365F91" w:themeColor="accent1" w:themeShade="BF"/>
      <w:sz w:val="24"/>
      <w:szCs w:val="24"/>
    </w:rPr>
  </w:style>
  <w:style w:type="character" w:customStyle="1" w:styleId="FooterCoverPageChar">
    <w:name w:val="Footer Cover Page Char"/>
    <w:basedOn w:val="Heading1Char"/>
    <w:link w:val="FooterCoverPage"/>
    <w:rPr>
      <w:rFonts w:ascii="Times New Roman" w:eastAsia="Times New Roman" w:hAnsi="Times New Roman" w:cs="Times New Roman"/>
      <w:b w:val="0"/>
      <w:bCs w:val="0"/>
      <w:color w:val="365F91" w:themeColor="accent1" w:themeShade="BF"/>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imes New Roman" w:hAnsi="Times New Roman" w:cs="Times New Roman"/>
      <w:color w:val="365F91" w:themeColor="accent1" w:themeShade="BF"/>
      <w:sz w:val="24"/>
      <w:szCs w:val="24"/>
    </w:rPr>
  </w:style>
  <w:style w:type="character" w:customStyle="1" w:styleId="HeaderCoverPageChar">
    <w:name w:val="Header Cover Page Char"/>
    <w:basedOn w:val="Heading1Char"/>
    <w:link w:val="HeaderCoverPage"/>
    <w:rPr>
      <w:rFonts w:ascii="Times New Roman" w:eastAsia="Times New Roman" w:hAnsi="Times New Roman" w:cs="Times New Roman"/>
      <w:b w:val="0"/>
      <w:bCs w:val="0"/>
      <w:color w:val="365F91" w:themeColor="accent1" w:themeShade="B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L"/>
    <w:basedOn w:val="Normal"/>
    <w:link w:val="ListParagraphChar"/>
    <w:uiPriority w:val="34"/>
    <w:qFormat/>
    <w:pPr>
      <w:ind w:left="720"/>
      <w:contextualSpacing/>
    </w:p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o"/>
    <w:basedOn w:val="Normal"/>
    <w:link w:val="FootnoteTextChar"/>
    <w:unhideWhenUsed/>
    <w:qFormat/>
    <w:pPr>
      <w:spacing w:after="0" w:line="240" w:lineRule="auto"/>
    </w:pPr>
    <w:rPr>
      <w:sz w:val="20"/>
      <w:szCs w:val="20"/>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basedOn w:val="DefaultParagraphFont"/>
    <w:link w:val="FootnoteText"/>
    <w:rPr>
      <w:sz w:val="20"/>
      <w:szCs w:val="20"/>
    </w:rPr>
  </w:style>
  <w:style w:type="character" w:styleId="FootnoteReference">
    <w:name w:val="footnote reference"/>
    <w:aliases w:val="Footnote Reference Number,Footnote Reference_LVL6,Footnote Reference_LVL61,Footnote Reference_LVL62,Footnote Reference_LVL63,Footnote Reference_LVL64,Footnote Reference_LVL65,Footnote Reference1,Char1,Ref,de nota al pie, Char1,Ch"/>
    <w:basedOn w:val="DefaultParagraphFont"/>
    <w:link w:val="16Point"/>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Point">
    <w:name w:val="16 Point"/>
    <w:aliases w:val="Superscript 6 Point,Times 10 Point,Exposant 3 Point,Footnote reference number,Odwołanie przypisu,number,SUPERS,footnote ref,2001+ Fußnotenzeichen, Exposant 3 Point"/>
    <w:basedOn w:val="Normal"/>
    <w:link w:val="FootnoteReference"/>
    <w:uiPriority w:val="99"/>
    <w:pPr>
      <w:spacing w:after="160" w:line="240" w:lineRule="exact"/>
      <w:jc w:val="both"/>
    </w:pPr>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imes New Roman" w:hAnsi="Times New Roman" w:cs="Times New Roman"/>
      <w:color w:val="365F91" w:themeColor="accent1" w:themeShade="BF"/>
      <w:sz w:val="24"/>
      <w:szCs w:val="24"/>
    </w:rPr>
  </w:style>
  <w:style w:type="character" w:customStyle="1" w:styleId="FooterCoverPageChar">
    <w:name w:val="Footer Cover Page Char"/>
    <w:basedOn w:val="Heading1Char"/>
    <w:link w:val="FooterCoverPage"/>
    <w:rPr>
      <w:rFonts w:ascii="Times New Roman" w:eastAsia="Times New Roman" w:hAnsi="Times New Roman" w:cs="Times New Roman"/>
      <w:b w:val="0"/>
      <w:bCs w:val="0"/>
      <w:color w:val="365F91" w:themeColor="accent1" w:themeShade="BF"/>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imes New Roman" w:hAnsi="Times New Roman" w:cs="Times New Roman"/>
      <w:color w:val="365F91" w:themeColor="accent1" w:themeShade="BF"/>
      <w:sz w:val="24"/>
      <w:szCs w:val="24"/>
    </w:rPr>
  </w:style>
  <w:style w:type="character" w:customStyle="1" w:styleId="HeaderCoverPageChar">
    <w:name w:val="Header Cover Page Char"/>
    <w:basedOn w:val="Heading1Char"/>
    <w:link w:val="HeaderCoverPage"/>
    <w:rPr>
      <w:rFonts w:ascii="Times New Roman" w:eastAsia="Times New Roman" w:hAnsi="Times New Roman" w:cs="Times New Roman"/>
      <w:b w:val="0"/>
      <w:bCs w:val="0"/>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370237">
      <w:bodyDiv w:val="1"/>
      <w:marLeft w:val="0"/>
      <w:marRight w:val="0"/>
      <w:marTop w:val="0"/>
      <w:marBottom w:val="0"/>
      <w:divBdr>
        <w:top w:val="none" w:sz="0" w:space="0" w:color="auto"/>
        <w:left w:val="none" w:sz="0" w:space="0" w:color="auto"/>
        <w:bottom w:val="none" w:sz="0" w:space="0" w:color="auto"/>
        <w:right w:val="none" w:sz="0" w:space="0" w:color="auto"/>
      </w:divBdr>
    </w:div>
    <w:div w:id="1557473489">
      <w:bodyDiv w:val="1"/>
      <w:marLeft w:val="0"/>
      <w:marRight w:val="0"/>
      <w:marTop w:val="0"/>
      <w:marBottom w:val="0"/>
      <w:divBdr>
        <w:top w:val="none" w:sz="0" w:space="0" w:color="auto"/>
        <w:left w:val="none" w:sz="0" w:space="0" w:color="auto"/>
        <w:bottom w:val="none" w:sz="0" w:space="0" w:color="auto"/>
        <w:right w:val="none" w:sz="0" w:space="0" w:color="auto"/>
      </w:divBdr>
    </w:div>
    <w:div w:id="1569610256">
      <w:bodyDiv w:val="1"/>
      <w:marLeft w:val="0"/>
      <w:marRight w:val="0"/>
      <w:marTop w:val="0"/>
      <w:marBottom w:val="0"/>
      <w:divBdr>
        <w:top w:val="none" w:sz="0" w:space="0" w:color="auto"/>
        <w:left w:val="none" w:sz="0" w:space="0" w:color="auto"/>
        <w:bottom w:val="none" w:sz="0" w:space="0" w:color="auto"/>
        <w:right w:val="none" w:sz="0" w:space="0" w:color="auto"/>
      </w:divBdr>
    </w:div>
    <w:div w:id="20657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theme" Target="theme/theme1.xml"/><Relationship Id="rId11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D4866-6608-4EAC-A489-B83E7AF11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502</Words>
  <Characters>2850</Characters>
  <Application>Microsoft Office Word</Application>
  <DocSecurity>0</DocSecurity>
  <Lines>44</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2017-05-24T08:36:00Z</dcterms:created>
  <dcterms:modified xsi:type="dcterms:W3CDTF">2017-05-31T17:40:00Z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rst annex">
    <vt:lpwstr>3</vt:lpwstr>
  </property>
  <property fmtid="{D5CDD505-2E9C-101B-9397-08002B2CF9AE}" pid="3" name="Last annex">
    <vt:lpwstr>3</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lassification">
    <vt:lpwstr> </vt:lpwstr>
  </property>
</Properties>
</file>