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AB" w:rsidRDefault="00751FF8" w:rsidP="00B734BD">
      <w:pPr>
        <w:pStyle w:val="Pagedecouverture"/>
        <w:rPr>
          <w:noProof/>
        </w:rPr>
      </w:pPr>
      <w:bookmarkStart w:id="0" w:name="LW_BM_COVERPAGE"/>
      <w:bookmarkStart w:id="1" w:name="_Toc48289308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CB5BE6ADC2542C89D44F885E765BD90" style="width:450.6pt;height:340.15pt">
            <v:imagedata r:id="rId9" o:title=""/>
          </v:shape>
        </w:pict>
      </w:r>
    </w:p>
    <w:bookmarkEnd w:id="0"/>
    <w:p w:rsidR="008D41AB" w:rsidRDefault="008D41AB">
      <w:pPr>
        <w:rPr>
          <w:noProof/>
        </w:rPr>
        <w:sectPr w:rsidR="008D41AB" w:rsidSect="00B734BD">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8D41AB" w:rsidRDefault="00B734BD">
      <w:pPr>
        <w:pStyle w:val="Heading1"/>
        <w:rPr>
          <w:rFonts w:ascii="Times New Roman" w:eastAsia="Times New Roman" w:hAnsi="Times New Roman" w:cs="Times New Roman"/>
          <w:noProof/>
          <w:sz w:val="24"/>
          <w:szCs w:val="24"/>
        </w:rPr>
      </w:pPr>
      <w:r>
        <w:rPr>
          <w:rFonts w:ascii="Times New Roman" w:hAnsi="Times New Roman"/>
          <w:noProof/>
          <w:sz w:val="24"/>
        </w:rPr>
        <w:lastRenderedPageBreak/>
        <w:t>Příloha 3. Hlavní dosavadní hospodářské trendy v eurozóně</w:t>
      </w:r>
      <w:bookmarkEnd w:id="1"/>
    </w:p>
    <w:p w:rsidR="008D41AB" w:rsidRDefault="00B734BD">
      <w:pPr>
        <w:spacing w:line="240" w:lineRule="auto"/>
        <w:jc w:val="both"/>
        <w:rPr>
          <w:rFonts w:ascii="Times New Roman" w:eastAsia="Times New Roman" w:hAnsi="Times New Roman" w:cs="Times New Roman"/>
          <w:b/>
          <w:noProof/>
          <w:sz w:val="24"/>
          <w:szCs w:val="24"/>
        </w:rPr>
      </w:pPr>
      <w:r>
        <w:rPr>
          <w:rFonts w:ascii="Times New Roman" w:hAnsi="Times New Roman"/>
          <w:noProof/>
          <w:sz w:val="24"/>
        </w:rPr>
        <w:t xml:space="preserve">Zavedení eura původně vedlo k určité konvergenci mezi zúčastněnými členskými státy, zejména z hlediska hospodářského růstu a úrokových sazeb. </w:t>
      </w:r>
    </w:p>
    <w:p w:rsidR="008D41AB" w:rsidRDefault="00B734BD">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Krize však odhalila některé výrazné rozdíly, které se během předcházejících let nahromadily, pokud jde o konkurenceschopnost, sílu bankovního sektoru a udržitelnost veřejných financí. Výsledkem byly rovněž větší rozdíly v hospodářských výsledcích. </w:t>
      </w:r>
    </w:p>
    <w:p w:rsidR="008D41AB" w:rsidRDefault="00B734BD">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 posledních letech se objevily určité důkazy o tendenci k oslabování divergence. Přetrvávají však výrazné rozdíly mezi členskými státy a významné důsledky krize a intenzivní proces opětovné konvergence dosud není vidět. </w:t>
      </w:r>
    </w:p>
    <w:p w:rsidR="008D41AB" w:rsidRDefault="00B734BD">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I přes značný růst, který eurozóna v prvních svých letech zaznamenala, došlo během krize v mnoha členských státech k výraznému poklesu životní úrovně. Přestože například Německo od té doby vykázalo výrazný růst, HDP Itálie zůstává pod předkrizovou úrovní. Různé ekonomiky eurozóny se zotavily do různé míry.</w:t>
      </w:r>
      <w:r>
        <w:rPr>
          <w:rFonts w:ascii="Times New Roman" w:hAnsi="Times New Roman"/>
          <w:b/>
          <w:noProof/>
          <w:sz w:val="24"/>
        </w:rPr>
        <w:t xml:space="preserve"> </w:t>
      </w:r>
    </w:p>
    <w:p w:rsidR="008D41AB" w:rsidRDefault="008D41AB">
      <w:pPr>
        <w:rPr>
          <w:noProof/>
        </w:rPr>
      </w:pPr>
    </w:p>
    <w:p w:rsidR="008D41AB" w:rsidRDefault="00B734BD">
      <w:p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Vývoj reálného HDP na obyvatele</w:t>
      </w:r>
    </w:p>
    <w:p w:rsidR="008D41AB" w:rsidRDefault="00B734BD">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Index 1999=100 </w:t>
      </w:r>
    </w:p>
    <w:p w:rsidR="008D41AB" w:rsidRDefault="00B734BD">
      <w:pPr>
        <w:spacing w:line="240" w:lineRule="auto"/>
        <w:jc w:val="center"/>
        <w:rPr>
          <w:noProof/>
        </w:rPr>
      </w:pPr>
      <w:r>
        <w:rPr>
          <w:noProof/>
        </w:rPr>
        <w:t xml:space="preserve"> </w:t>
      </w:r>
      <w:r>
        <w:rPr>
          <w:noProof/>
          <w:lang w:val="en-GB" w:eastAsia="en-GB" w:bidi="ar-SA"/>
        </w:rPr>
        <w:drawing>
          <wp:inline distT="0" distB="0" distL="0" distR="0" wp14:anchorId="6FD3D172" wp14:editId="2C17023E">
            <wp:extent cx="3037205" cy="236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7205" cy="2361565"/>
                    </a:xfrm>
                    <a:prstGeom prst="rect">
                      <a:avLst/>
                    </a:prstGeom>
                    <a:noFill/>
                    <a:ln>
                      <a:noFill/>
                    </a:ln>
                  </pic:spPr>
                </pic:pic>
              </a:graphicData>
            </a:graphic>
          </wp:inline>
        </w:drawing>
      </w:r>
    </w:p>
    <w:p w:rsidR="008D41AB" w:rsidRDefault="00B734BD">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Zdroj: Evropská komise</w:t>
      </w:r>
    </w:p>
    <w:p w:rsidR="008D41AB" w:rsidRDefault="00B734BD">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Jedna z příčin rozdílů v hospodářské výkonnosti souvisí s úrovní investic. Po výrazném poklesu během krize trvalo léta, než se investice zotavily, a teprve v posledních letech začaly opět růst. Úroveň zůstává obzvláště nízká v těch členských státech, které se v době krize potýkaly s finančními problémy. </w:t>
      </w:r>
    </w:p>
    <w:p w:rsidR="008D41AB" w:rsidRDefault="00751FF8">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br w:type="column"/>
      </w:r>
      <w:bookmarkStart w:id="2" w:name="_GoBack"/>
      <w:bookmarkEnd w:id="2"/>
      <w:r w:rsidR="00B734BD">
        <w:rPr>
          <w:rFonts w:ascii="Times New Roman" w:hAnsi="Times New Roman"/>
          <w:b/>
          <w:noProof/>
          <w:sz w:val="24"/>
        </w:rPr>
        <w:lastRenderedPageBreak/>
        <w:t xml:space="preserve">Vývoj celkových investic </w:t>
      </w:r>
    </w:p>
    <w:p w:rsidR="008D41AB" w:rsidRDefault="00B734B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Index 1999=100</w:t>
      </w:r>
    </w:p>
    <w:p w:rsidR="008D41AB" w:rsidRDefault="008D41AB">
      <w:pPr>
        <w:spacing w:after="0" w:line="240" w:lineRule="auto"/>
        <w:jc w:val="both"/>
        <w:rPr>
          <w:rFonts w:ascii="Times New Roman" w:eastAsia="Times New Roman" w:hAnsi="Times New Roman" w:cs="Times New Roman"/>
          <w:noProof/>
          <w:sz w:val="24"/>
          <w:szCs w:val="24"/>
        </w:rPr>
      </w:pPr>
    </w:p>
    <w:p w:rsidR="008D41AB" w:rsidRDefault="00B734BD">
      <w:pPr>
        <w:spacing w:after="0" w:line="240" w:lineRule="auto"/>
        <w:jc w:val="both"/>
        <w:rPr>
          <w:noProof/>
        </w:rPr>
      </w:pPr>
      <w:r>
        <w:rPr>
          <w:noProof/>
          <w:lang w:val="en-GB" w:eastAsia="en-GB" w:bidi="ar-SA"/>
        </w:rPr>
        <w:drawing>
          <wp:inline distT="0" distB="0" distL="0" distR="0" wp14:anchorId="09BDD9B8" wp14:editId="53562F79">
            <wp:extent cx="3037205" cy="171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7205" cy="1717675"/>
                    </a:xfrm>
                    <a:prstGeom prst="rect">
                      <a:avLst/>
                    </a:prstGeom>
                    <a:noFill/>
                    <a:ln>
                      <a:noFill/>
                    </a:ln>
                  </pic:spPr>
                </pic:pic>
              </a:graphicData>
            </a:graphic>
          </wp:inline>
        </w:drawing>
      </w:r>
    </w:p>
    <w:p w:rsidR="008D41AB" w:rsidRDefault="00B734BD">
      <w:pPr>
        <w:spacing w:after="0" w:line="240" w:lineRule="auto"/>
        <w:jc w:val="both"/>
        <w:rPr>
          <w:rFonts w:ascii="Times New Roman" w:eastAsia="Times New Roman" w:hAnsi="Times New Roman" w:cs="Times New Roman"/>
          <w:i/>
          <w:noProof/>
          <w:sz w:val="24"/>
          <w:szCs w:val="24"/>
        </w:rPr>
      </w:pPr>
      <w:r>
        <w:rPr>
          <w:noProof/>
          <w:lang w:val="en-GB" w:eastAsia="en-GB" w:bidi="ar-SA"/>
        </w:rPr>
        <w:drawing>
          <wp:inline distT="0" distB="0" distL="0" distR="0" wp14:anchorId="2C6827AC" wp14:editId="32C6CED9">
            <wp:extent cx="3045460" cy="177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5460" cy="1772920"/>
                    </a:xfrm>
                    <a:prstGeom prst="rect">
                      <a:avLst/>
                    </a:prstGeom>
                    <a:noFill/>
                    <a:ln>
                      <a:noFill/>
                    </a:ln>
                  </pic:spPr>
                </pic:pic>
              </a:graphicData>
            </a:graphic>
          </wp:inline>
        </w:drawing>
      </w:r>
    </w:p>
    <w:p w:rsidR="008D41AB" w:rsidRDefault="00B734BD">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Zdroj: Evropská komise</w:t>
      </w:r>
    </w:p>
    <w:p w:rsidR="008D41AB" w:rsidRDefault="008D41AB">
      <w:pPr>
        <w:spacing w:line="240" w:lineRule="auto"/>
        <w:jc w:val="both"/>
        <w:rPr>
          <w:rFonts w:ascii="Times New Roman" w:eastAsia="Times New Roman" w:hAnsi="Times New Roman" w:cs="Times New Roman"/>
          <w:b/>
          <w:noProof/>
          <w:sz w:val="24"/>
          <w:szCs w:val="24"/>
        </w:rPr>
      </w:pPr>
    </w:p>
    <w:p w:rsidR="008D41AB" w:rsidRDefault="00B734BD">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Konkurenceschopnost, vyjádřená v nákladech práce, se v prvních letech po zavedení eura značně lišila. Například v Německu byl vývoj nákladů zvláště příznivý ve srovnání s Francií, Itálií a dalšími zeměmi. Španělsko zaznamenalo silnou korekci nákladů práce po zavedení reforem v reakci na krizi. </w:t>
      </w:r>
    </w:p>
    <w:p w:rsidR="008D41AB" w:rsidRDefault="00B734BD">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Vývoj nominálních jednotkových nákladů práce</w:t>
      </w:r>
    </w:p>
    <w:p w:rsidR="008D41AB" w:rsidRDefault="00B734BD">
      <w:pPr>
        <w:spacing w:after="0" w:line="240" w:lineRule="auto"/>
        <w:jc w:val="both"/>
        <w:rPr>
          <w:rFonts w:ascii="Times New Roman" w:eastAsia="Times New Roman" w:hAnsi="Times New Roman" w:cs="Times New Roman"/>
          <w:b/>
          <w:noProof/>
          <w:sz w:val="24"/>
          <w:szCs w:val="24"/>
        </w:rPr>
      </w:pPr>
      <w:r>
        <w:rPr>
          <w:rFonts w:ascii="Times New Roman" w:hAnsi="Times New Roman"/>
          <w:noProof/>
          <w:sz w:val="24"/>
        </w:rPr>
        <w:t>Index 100=1999</w:t>
      </w:r>
    </w:p>
    <w:p w:rsidR="008D41AB" w:rsidRDefault="00B734BD">
      <w:pPr>
        <w:spacing w:line="240" w:lineRule="auto"/>
        <w:jc w:val="center"/>
        <w:rPr>
          <w:noProof/>
        </w:rPr>
      </w:pPr>
      <w:r>
        <w:rPr>
          <w:noProof/>
        </w:rPr>
        <w:t xml:space="preserve"> </w:t>
      </w:r>
      <w:r>
        <w:rPr>
          <w:noProof/>
          <w:lang w:val="en-GB" w:eastAsia="en-GB" w:bidi="ar-SA"/>
        </w:rPr>
        <w:drawing>
          <wp:inline distT="0" distB="0" distL="0" distR="0" wp14:anchorId="0FFA1AC0" wp14:editId="08E0E8E8">
            <wp:extent cx="3005455" cy="17494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5455" cy="1749425"/>
                    </a:xfrm>
                    <a:prstGeom prst="rect">
                      <a:avLst/>
                    </a:prstGeom>
                    <a:noFill/>
                    <a:ln>
                      <a:noFill/>
                    </a:ln>
                  </pic:spPr>
                </pic:pic>
              </a:graphicData>
            </a:graphic>
          </wp:inline>
        </w:drawing>
      </w:r>
    </w:p>
    <w:p w:rsidR="008D41AB" w:rsidRDefault="00B734BD">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Zdroj: Evropská komise</w:t>
      </w:r>
    </w:p>
    <w:p w:rsidR="008D41AB" w:rsidRDefault="008D41AB">
      <w:pPr>
        <w:spacing w:after="0" w:line="240" w:lineRule="auto"/>
        <w:jc w:val="both"/>
        <w:rPr>
          <w:rFonts w:ascii="Times New Roman" w:eastAsia="Times New Roman" w:hAnsi="Times New Roman" w:cs="Times New Roman"/>
          <w:i/>
          <w:noProof/>
          <w:sz w:val="24"/>
          <w:szCs w:val="24"/>
        </w:rPr>
      </w:pPr>
    </w:p>
    <w:p w:rsidR="008D41AB" w:rsidRDefault="00B734BD">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Pokud jde o finanční ukazatele, úrokové sazby v soukromém sektoru se od roku 2012 sbližují. Přetrvávají však významné rozdíly a podmínky financování podniků stále značně závisí na jejich státní příslušnosti.</w:t>
      </w:r>
      <w:r>
        <w:rPr>
          <w:noProof/>
        </w:rPr>
        <w:t xml:space="preserve"> </w:t>
      </w:r>
      <w:r>
        <w:rPr>
          <w:rFonts w:ascii="Times New Roman" w:hAnsi="Times New Roman"/>
          <w:noProof/>
          <w:sz w:val="24"/>
        </w:rPr>
        <w:t>Rozdíly v objemech úvěrů se navíc až do roku 2013 zvyšovaly a teprve poté se začaly sbližovat.</w:t>
      </w:r>
    </w:p>
    <w:p w:rsidR="008D41AB" w:rsidRDefault="00B734BD">
      <w:pPr>
        <w:pageBreakBefore/>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lastRenderedPageBreak/>
        <w:t>Vývoj úrokových sazeb úvěrů pro nefinanční podniky a objemu úvěrů pro podniky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50"/>
      </w:tblGrid>
      <w:tr w:rsidR="008D41AB">
        <w:tc>
          <w:tcPr>
            <w:tcW w:w="4599" w:type="dxa"/>
          </w:tcPr>
          <w:p w:rsidR="008D41AB" w:rsidRDefault="00B734BD">
            <w:pPr>
              <w:jc w:val="both"/>
              <w:rPr>
                <w:rFonts w:ascii="Times New Roman" w:eastAsia="Times New Roman" w:hAnsi="Times New Roman" w:cs="Times New Roman"/>
                <w:noProof/>
                <w:sz w:val="24"/>
                <w:szCs w:val="24"/>
              </w:rPr>
            </w:pPr>
            <w:r>
              <w:rPr>
                <w:rFonts w:ascii="Times New Roman" w:hAnsi="Times New Roman"/>
                <w:noProof/>
                <w:sz w:val="24"/>
              </w:rPr>
              <w:t>Úrokové sazby v %</w:t>
            </w:r>
          </w:p>
        </w:tc>
        <w:tc>
          <w:tcPr>
            <w:tcW w:w="4643" w:type="dxa"/>
          </w:tcPr>
          <w:p w:rsidR="008D41AB" w:rsidRDefault="00B734BD">
            <w:pPr>
              <w:jc w:val="both"/>
              <w:rPr>
                <w:rFonts w:ascii="Times New Roman" w:eastAsia="Times New Roman" w:hAnsi="Times New Roman" w:cs="Times New Roman"/>
                <w:noProof/>
                <w:sz w:val="24"/>
                <w:szCs w:val="24"/>
              </w:rPr>
            </w:pPr>
            <w:r>
              <w:rPr>
                <w:rFonts w:ascii="Times New Roman" w:hAnsi="Times New Roman"/>
                <w:noProof/>
                <w:sz w:val="24"/>
              </w:rPr>
              <w:t>Pomyslný objem, meziroční míra růstu</w:t>
            </w:r>
          </w:p>
        </w:tc>
      </w:tr>
      <w:tr w:rsidR="008D41AB">
        <w:tc>
          <w:tcPr>
            <w:tcW w:w="4599" w:type="dxa"/>
          </w:tcPr>
          <w:p w:rsidR="008D41AB" w:rsidRDefault="00B734BD">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GB" w:eastAsia="en-GB" w:bidi="ar-SA"/>
              </w:rPr>
              <w:drawing>
                <wp:inline distT="0" distB="0" distL="0" distR="0" wp14:anchorId="3753C5C1" wp14:editId="23D63CCE">
                  <wp:extent cx="2950210" cy="22663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0210" cy="2266315"/>
                          </a:xfrm>
                          <a:prstGeom prst="rect">
                            <a:avLst/>
                          </a:prstGeom>
                          <a:noFill/>
                          <a:ln>
                            <a:noFill/>
                          </a:ln>
                        </pic:spPr>
                      </pic:pic>
                    </a:graphicData>
                  </a:graphic>
                </wp:inline>
              </w:drawing>
            </w:r>
          </w:p>
        </w:tc>
        <w:tc>
          <w:tcPr>
            <w:tcW w:w="4643" w:type="dxa"/>
          </w:tcPr>
          <w:p w:rsidR="008D41AB" w:rsidRDefault="00B734BD">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GB" w:eastAsia="en-GB" w:bidi="ar-SA"/>
              </w:rPr>
              <w:drawing>
                <wp:inline distT="0" distB="0" distL="0" distR="0" wp14:anchorId="6CE76D72" wp14:editId="055E9A9D">
                  <wp:extent cx="2957830" cy="22421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7830" cy="2242185"/>
                          </a:xfrm>
                          <a:prstGeom prst="rect">
                            <a:avLst/>
                          </a:prstGeom>
                          <a:noFill/>
                          <a:ln>
                            <a:noFill/>
                          </a:ln>
                        </pic:spPr>
                      </pic:pic>
                    </a:graphicData>
                  </a:graphic>
                </wp:inline>
              </w:drawing>
            </w:r>
          </w:p>
        </w:tc>
      </w:tr>
      <w:tr w:rsidR="008D41AB">
        <w:tc>
          <w:tcPr>
            <w:tcW w:w="4599" w:type="dxa"/>
          </w:tcPr>
          <w:p w:rsidR="008D41AB" w:rsidRDefault="00B734BD">
            <w:pPr>
              <w:jc w:val="both"/>
              <w:rPr>
                <w:rFonts w:ascii="Times New Roman" w:eastAsia="Times New Roman" w:hAnsi="Times New Roman" w:cs="Times New Roman"/>
                <w:i/>
                <w:noProof/>
                <w:sz w:val="24"/>
                <w:szCs w:val="24"/>
              </w:rPr>
            </w:pPr>
            <w:r>
              <w:rPr>
                <w:rFonts w:ascii="Times New Roman" w:hAnsi="Times New Roman"/>
                <w:i/>
                <w:noProof/>
                <w:sz w:val="24"/>
              </w:rPr>
              <w:t>Zdroj: Evropská centrální banka</w:t>
            </w:r>
          </w:p>
        </w:tc>
        <w:tc>
          <w:tcPr>
            <w:tcW w:w="4643" w:type="dxa"/>
          </w:tcPr>
          <w:p w:rsidR="008D41AB" w:rsidRDefault="00B734BD">
            <w:pPr>
              <w:jc w:val="both"/>
              <w:rPr>
                <w:rFonts w:ascii="Times New Roman" w:eastAsia="Times New Roman" w:hAnsi="Times New Roman" w:cs="Times New Roman"/>
                <w:i/>
                <w:noProof/>
                <w:sz w:val="24"/>
                <w:szCs w:val="24"/>
              </w:rPr>
            </w:pPr>
            <w:r>
              <w:rPr>
                <w:rFonts w:ascii="Times New Roman" w:hAnsi="Times New Roman"/>
                <w:i/>
                <w:noProof/>
                <w:sz w:val="24"/>
              </w:rPr>
              <w:t>Zdroj: Evropská centrální banka</w:t>
            </w:r>
          </w:p>
        </w:tc>
      </w:tr>
    </w:tbl>
    <w:p w:rsidR="008D41AB" w:rsidRDefault="008D41AB">
      <w:pPr>
        <w:spacing w:after="0" w:line="240" w:lineRule="auto"/>
        <w:jc w:val="both"/>
        <w:rPr>
          <w:rFonts w:ascii="Times New Roman" w:eastAsia="Times New Roman" w:hAnsi="Times New Roman" w:cs="Times New Roman"/>
          <w:noProof/>
          <w:sz w:val="24"/>
          <w:szCs w:val="24"/>
        </w:rPr>
      </w:pPr>
    </w:p>
    <w:p w:rsidR="008D41AB" w:rsidRDefault="008D41AB">
      <w:pPr>
        <w:spacing w:after="0" w:line="240" w:lineRule="auto"/>
        <w:jc w:val="both"/>
        <w:rPr>
          <w:rFonts w:ascii="Times New Roman" w:eastAsia="Times New Roman" w:hAnsi="Times New Roman" w:cs="Times New Roman"/>
          <w:i/>
          <w:noProof/>
          <w:sz w:val="24"/>
          <w:szCs w:val="24"/>
        </w:rPr>
      </w:pPr>
    </w:p>
    <w:p w:rsidR="008D41AB" w:rsidRDefault="00B734BD">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Příznakem krize i zdrojem zranitelnosti je nárůst problémových úvěrů (tj. úvěrů, u nichž nedodržení závazků již nastalo nebo je velmi blízko) v rozvahách bank. Takové úvěry jsou mnohem častější v jihoevropských členských státech než jinde v eurozóně. </w:t>
      </w:r>
    </w:p>
    <w:p w:rsidR="008D41AB" w:rsidRDefault="00B734BD">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Vývoj podílu problémových úvěrů na celkových hrubých úvěrech</w:t>
      </w:r>
    </w:p>
    <w:p w:rsidR="008D41AB" w:rsidRDefault="00B734BD">
      <w:pPr>
        <w:spacing w:after="0" w:line="240" w:lineRule="auto"/>
        <w:jc w:val="center"/>
        <w:rPr>
          <w:rFonts w:ascii="Times New Roman" w:eastAsia="Times New Roman" w:hAnsi="Times New Roman" w:cs="Times New Roman"/>
          <w:noProof/>
          <w:sz w:val="24"/>
          <w:szCs w:val="24"/>
        </w:rPr>
      </w:pPr>
      <w:r>
        <w:rPr>
          <w:noProof/>
          <w:lang w:val="en-GB" w:eastAsia="en-GB" w:bidi="ar-SA"/>
        </w:rPr>
        <w:drawing>
          <wp:inline distT="0" distB="0" distL="0" distR="0" wp14:anchorId="195E379A" wp14:editId="4E87DC1F">
            <wp:extent cx="10106660" cy="276059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06660" cy="2760599"/>
                    </a:xfrm>
                    <a:prstGeom prst="rect">
                      <a:avLst/>
                    </a:prstGeom>
                    <a:noFill/>
                    <a:ln>
                      <a:noFill/>
                    </a:ln>
                  </pic:spPr>
                </pic:pic>
              </a:graphicData>
            </a:graphic>
          </wp:inline>
        </w:drawing>
      </w:r>
    </w:p>
    <w:p w:rsidR="008D41AB" w:rsidRDefault="00B734BD">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Zdroj: Světová banka a Mezinárodní měnový fond, nejnovější dostupné údaje</w:t>
      </w:r>
    </w:p>
    <w:p w:rsidR="008D41AB" w:rsidRDefault="008D41AB">
      <w:pPr>
        <w:spacing w:line="240" w:lineRule="auto"/>
        <w:jc w:val="both"/>
        <w:rPr>
          <w:rFonts w:ascii="Times New Roman" w:eastAsia="Times New Roman" w:hAnsi="Times New Roman" w:cs="Times New Roman"/>
          <w:b/>
          <w:noProof/>
          <w:sz w:val="24"/>
          <w:szCs w:val="24"/>
        </w:rPr>
      </w:pPr>
    </w:p>
    <w:p w:rsidR="008D41AB" w:rsidRDefault="00B734BD">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Krize vedla k značnému růstu veřejného dluhu. Tento trend se v posledních letech zastavil a míry veřejného zadlužení začaly v průměru klesat. Stále jsou však vysoké a významného snížení zatím dosáhlo jen několik členských států.</w:t>
      </w:r>
    </w:p>
    <w:p w:rsidR="008D41AB" w:rsidRDefault="00B734BD">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Vývoj veřejného dluhu</w:t>
      </w:r>
    </w:p>
    <w:p w:rsidR="008D41AB" w:rsidRDefault="00B734BD">
      <w:pPr>
        <w:spacing w:after="0" w:line="240" w:lineRule="auto"/>
        <w:rPr>
          <w:rFonts w:ascii="Times New Roman" w:eastAsia="Times New Roman" w:hAnsi="Times New Roman" w:cs="Times New Roman"/>
          <w:noProof/>
          <w:sz w:val="24"/>
          <w:szCs w:val="24"/>
        </w:rPr>
      </w:pPr>
      <w:r>
        <w:rPr>
          <w:rFonts w:ascii="Times New Roman" w:hAnsi="Times New Roman"/>
          <w:noProof/>
          <w:sz w:val="24"/>
        </w:rPr>
        <w:t>Hrubý veřejný dluh jako % HDP</w:t>
      </w:r>
    </w:p>
    <w:p w:rsidR="008D41AB" w:rsidRDefault="00B734BD">
      <w:pPr>
        <w:spacing w:after="0" w:line="240" w:lineRule="auto"/>
        <w:jc w:val="both"/>
        <w:rPr>
          <w:rFonts w:ascii="Times New Roman" w:eastAsia="Times New Roman" w:hAnsi="Times New Roman" w:cs="Times New Roman"/>
          <w:noProof/>
          <w:sz w:val="24"/>
          <w:szCs w:val="24"/>
        </w:rPr>
      </w:pPr>
      <w:r>
        <w:rPr>
          <w:noProof/>
          <w:lang w:val="en-GB" w:eastAsia="en-GB" w:bidi="ar-SA"/>
        </w:rPr>
        <w:lastRenderedPageBreak/>
        <w:drawing>
          <wp:inline distT="0" distB="0" distL="0" distR="0" wp14:anchorId="4D146E8C" wp14:editId="23E1D02C">
            <wp:extent cx="3053080" cy="1987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3080" cy="1987550"/>
                    </a:xfrm>
                    <a:prstGeom prst="rect">
                      <a:avLst/>
                    </a:prstGeom>
                    <a:noFill/>
                    <a:ln>
                      <a:noFill/>
                    </a:ln>
                  </pic:spPr>
                </pic:pic>
              </a:graphicData>
            </a:graphic>
          </wp:inline>
        </w:drawing>
      </w:r>
      <w:r>
        <w:rPr>
          <w:rFonts w:ascii="Times New Roman" w:hAnsi="Times New Roman"/>
          <w:noProof/>
          <w:sz w:val="24"/>
        </w:rPr>
        <w:t xml:space="preserve"> </w:t>
      </w:r>
    </w:p>
    <w:p w:rsidR="008D41AB" w:rsidRDefault="00B734BD">
      <w:pPr>
        <w:spacing w:after="0" w:line="240" w:lineRule="auto"/>
        <w:jc w:val="both"/>
        <w:rPr>
          <w:rFonts w:ascii="Times New Roman" w:eastAsia="Times New Roman" w:hAnsi="Times New Roman" w:cs="Times New Roman"/>
          <w:noProof/>
          <w:sz w:val="24"/>
          <w:szCs w:val="24"/>
        </w:rPr>
      </w:pPr>
      <w:r>
        <w:rPr>
          <w:noProof/>
          <w:lang w:val="en-GB" w:eastAsia="en-GB" w:bidi="ar-SA"/>
        </w:rPr>
        <w:drawing>
          <wp:inline distT="0" distB="0" distL="0" distR="0" wp14:anchorId="28FBDD43" wp14:editId="61640C6F">
            <wp:extent cx="3029585" cy="2003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9585" cy="2003425"/>
                    </a:xfrm>
                    <a:prstGeom prst="rect">
                      <a:avLst/>
                    </a:prstGeom>
                    <a:noFill/>
                    <a:ln>
                      <a:noFill/>
                    </a:ln>
                  </pic:spPr>
                </pic:pic>
              </a:graphicData>
            </a:graphic>
          </wp:inline>
        </w:drawing>
      </w:r>
    </w:p>
    <w:p w:rsidR="008D41AB" w:rsidRDefault="00B734BD">
      <w:pPr>
        <w:spacing w:line="240" w:lineRule="auto"/>
        <w:rPr>
          <w:rFonts w:ascii="Times New Roman" w:eastAsia="Times New Roman" w:hAnsi="Times New Roman" w:cs="Times New Roman"/>
          <w:i/>
          <w:noProof/>
          <w:sz w:val="24"/>
          <w:szCs w:val="24"/>
        </w:rPr>
      </w:pPr>
      <w:r>
        <w:rPr>
          <w:rFonts w:ascii="Times New Roman" w:hAnsi="Times New Roman"/>
          <w:i/>
          <w:noProof/>
          <w:sz w:val="24"/>
        </w:rPr>
        <w:t>Zdroj: Evropská komise</w:t>
      </w:r>
    </w:p>
    <w:p w:rsidR="008D41AB" w:rsidRDefault="008D41AB">
      <w:pPr>
        <w:spacing w:line="240" w:lineRule="auto"/>
        <w:jc w:val="both"/>
        <w:rPr>
          <w:rFonts w:ascii="Times New Roman" w:eastAsia="Times New Roman" w:hAnsi="Times New Roman" w:cs="Times New Roman"/>
          <w:b/>
          <w:noProof/>
          <w:sz w:val="24"/>
          <w:szCs w:val="24"/>
        </w:rPr>
      </w:pPr>
    </w:p>
    <w:p w:rsidR="008D41AB" w:rsidRDefault="008D41AB">
      <w:pPr>
        <w:spacing w:line="240" w:lineRule="auto"/>
        <w:jc w:val="both"/>
        <w:rPr>
          <w:rFonts w:ascii="Times New Roman" w:eastAsia="Times New Roman" w:hAnsi="Times New Roman" w:cs="Times New Roman"/>
          <w:b/>
          <w:noProof/>
          <w:sz w:val="24"/>
          <w:szCs w:val="24"/>
        </w:rPr>
      </w:pPr>
    </w:p>
    <w:p w:rsidR="008D41AB" w:rsidRDefault="008D41AB">
      <w:pPr>
        <w:rPr>
          <w:noProof/>
        </w:rPr>
      </w:pPr>
    </w:p>
    <w:p w:rsidR="008D41AB" w:rsidRDefault="008D41AB">
      <w:pPr>
        <w:spacing w:line="240" w:lineRule="auto"/>
        <w:jc w:val="both"/>
        <w:rPr>
          <w:rFonts w:ascii="Times New Roman" w:eastAsia="Times New Roman" w:hAnsi="Times New Roman" w:cs="Times New Roman"/>
          <w:b/>
          <w:noProof/>
          <w:sz w:val="24"/>
          <w:szCs w:val="24"/>
        </w:rPr>
      </w:pPr>
    </w:p>
    <w:sectPr w:rsidR="008D41AB">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18497" w15:done="0"/>
  <w15:commentEx w15:paraId="14F508F4" w15:done="0"/>
  <w15:commentEx w15:paraId="58BB2950" w15:done="0"/>
  <w15:commentEx w15:paraId="17653B2E" w15:done="0"/>
  <w15:commentEx w15:paraId="219C12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AB" w:rsidRDefault="00B734BD">
      <w:pPr>
        <w:spacing w:after="0" w:line="240" w:lineRule="auto"/>
      </w:pPr>
      <w:r>
        <w:separator/>
      </w:r>
    </w:p>
  </w:endnote>
  <w:endnote w:type="continuationSeparator" w:id="0">
    <w:p w:rsidR="008D41AB" w:rsidRDefault="00B7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BD" w:rsidRPr="00B734BD" w:rsidRDefault="00B734BD" w:rsidP="00B73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BD" w:rsidRPr="00B734BD" w:rsidRDefault="00B734BD" w:rsidP="00B734BD">
    <w:pPr>
      <w:pStyle w:val="FooterCoverPage"/>
      <w:rPr>
        <w:rFonts w:ascii="Arial" w:hAnsi="Arial" w:cs="Arial"/>
        <w:b/>
        <w:sz w:val="48"/>
      </w:rPr>
    </w:pPr>
    <w:r w:rsidRPr="00B734BD">
      <w:rPr>
        <w:rFonts w:ascii="Arial" w:hAnsi="Arial" w:cs="Arial"/>
        <w:b/>
        <w:sz w:val="48"/>
      </w:rPr>
      <w:t>CS</w:t>
    </w:r>
    <w:r w:rsidRPr="00B734BD">
      <w:rPr>
        <w:rFonts w:ascii="Arial" w:hAnsi="Arial" w:cs="Arial"/>
        <w:b/>
        <w:sz w:val="48"/>
      </w:rPr>
      <w:tab/>
    </w:r>
    <w:r w:rsidRPr="00B734BD">
      <w:rPr>
        <w:rFonts w:ascii="Arial" w:hAnsi="Arial" w:cs="Arial"/>
        <w:b/>
        <w:sz w:val="48"/>
      </w:rPr>
      <w:tab/>
    </w:r>
    <w:r w:rsidR="00751FF8">
      <w:fldChar w:fldCharType="begin"/>
    </w:r>
    <w:r w:rsidR="00751FF8">
      <w:instrText xml:space="preserve"> DOCVARIABLE "LW_Confidence" \* MERGEFORMAT </w:instrText>
    </w:r>
    <w:r w:rsidR="00751FF8">
      <w:fldChar w:fldCharType="separate"/>
    </w:r>
    <w:r>
      <w:t xml:space="preserve"> </w:t>
    </w:r>
    <w:r w:rsidR="00751FF8">
      <w:fldChar w:fldCharType="end"/>
    </w:r>
    <w:r w:rsidRPr="00B734BD">
      <w:tab/>
    </w:r>
    <w:r w:rsidRPr="00B734BD">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BD" w:rsidRPr="00B734BD" w:rsidRDefault="00B734BD" w:rsidP="00B734BD">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AB" w:rsidRDefault="008D41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2710"/>
      <w:docPartObj>
        <w:docPartGallery w:val="Page Numbers (Bottom of Page)"/>
        <w:docPartUnique/>
      </w:docPartObj>
    </w:sdtPr>
    <w:sdtEndPr>
      <w:rPr>
        <w:noProof/>
      </w:rPr>
    </w:sdtEndPr>
    <w:sdtContent>
      <w:p w:rsidR="008D41AB" w:rsidRDefault="00B734BD">
        <w:pPr>
          <w:pStyle w:val="Footer"/>
          <w:jc w:val="center"/>
        </w:pPr>
        <w:r>
          <w:fldChar w:fldCharType="begin"/>
        </w:r>
        <w:r>
          <w:instrText xml:space="preserve"> PAGE   \* MERGEFORMAT </w:instrText>
        </w:r>
        <w:r>
          <w:fldChar w:fldCharType="separate"/>
        </w:r>
        <w:r w:rsidR="00751FF8">
          <w:rPr>
            <w:noProof/>
          </w:rPr>
          <w:t>2</w:t>
        </w:r>
        <w:r>
          <w:rPr>
            <w:noProof/>
          </w:rPr>
          <w:fldChar w:fldCharType="end"/>
        </w:r>
      </w:p>
    </w:sdtContent>
  </w:sdt>
  <w:p w:rsidR="008D41AB" w:rsidRDefault="008D41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AB" w:rsidRDefault="008D4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AB" w:rsidRDefault="00B734BD">
      <w:pPr>
        <w:spacing w:after="0" w:line="240" w:lineRule="auto"/>
      </w:pPr>
      <w:r>
        <w:separator/>
      </w:r>
    </w:p>
  </w:footnote>
  <w:footnote w:type="continuationSeparator" w:id="0">
    <w:p w:rsidR="008D41AB" w:rsidRDefault="00B73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BD" w:rsidRPr="00B734BD" w:rsidRDefault="00B734BD" w:rsidP="00B73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BD" w:rsidRPr="00B734BD" w:rsidRDefault="00B734BD" w:rsidP="00B734BD">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BD" w:rsidRPr="00B734BD" w:rsidRDefault="00B734BD" w:rsidP="00B734BD">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AB" w:rsidRDefault="008D41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AB" w:rsidRDefault="008D41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AB" w:rsidRDefault="008D4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8ED"/>
    <w:multiLevelType w:val="hybridMultilevel"/>
    <w:tmpl w:val="A46AF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89316E0"/>
    <w:multiLevelType w:val="hybridMultilevel"/>
    <w:tmpl w:val="66B6C746"/>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E3F7D"/>
    <w:multiLevelType w:val="hybridMultilevel"/>
    <w:tmpl w:val="AE3A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65431"/>
    <w:multiLevelType w:val="hybridMultilevel"/>
    <w:tmpl w:val="4558C2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8F10838"/>
    <w:multiLevelType w:val="hybridMultilevel"/>
    <w:tmpl w:val="E5D233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22281C4F"/>
    <w:multiLevelType w:val="hybridMultilevel"/>
    <w:tmpl w:val="0C2418D8"/>
    <w:lvl w:ilvl="0" w:tplc="31249888">
      <w:numFmt w:val="bullet"/>
      <w:lvlText w:val="•"/>
      <w:lvlJc w:val="left"/>
      <w:pPr>
        <w:ind w:left="1080" w:hanging="720"/>
      </w:pPr>
      <w:rPr>
        <w:rFonts w:ascii="Times New Roman" w:eastAsia="Times New Roman" w:hAnsi="Times New Roman"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89C1548"/>
    <w:multiLevelType w:val="hybridMultilevel"/>
    <w:tmpl w:val="2CE2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D41042"/>
    <w:multiLevelType w:val="hybridMultilevel"/>
    <w:tmpl w:val="B00080DC"/>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7E5D12"/>
    <w:multiLevelType w:val="hybridMultilevel"/>
    <w:tmpl w:val="8D72C37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C3A40"/>
    <w:multiLevelType w:val="hybridMultilevel"/>
    <w:tmpl w:val="BEC06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3A136E9"/>
    <w:multiLevelType w:val="hybridMultilevel"/>
    <w:tmpl w:val="6C7436F2"/>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125589"/>
    <w:multiLevelType w:val="hybridMultilevel"/>
    <w:tmpl w:val="1044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2052D"/>
    <w:multiLevelType w:val="hybridMultilevel"/>
    <w:tmpl w:val="5ECA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AD339A"/>
    <w:multiLevelType w:val="hybridMultilevel"/>
    <w:tmpl w:val="9DA2F80C"/>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0E0AB9"/>
    <w:multiLevelType w:val="hybridMultilevel"/>
    <w:tmpl w:val="4EAA295C"/>
    <w:lvl w:ilvl="0" w:tplc="080C0005">
      <w:start w:val="1"/>
      <w:numFmt w:val="bullet"/>
      <w:lvlText w:val=""/>
      <w:lvlJc w:val="left"/>
      <w:pPr>
        <w:ind w:left="720" w:hanging="360"/>
      </w:pPr>
      <w:rPr>
        <w:rFonts w:ascii="Wingdings" w:hAnsi="Wingdings" w:hint="default"/>
      </w:rPr>
    </w:lvl>
    <w:lvl w:ilvl="1" w:tplc="353E04B2">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8335E64"/>
    <w:multiLevelType w:val="hybridMultilevel"/>
    <w:tmpl w:val="FE4AF858"/>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6456E9"/>
    <w:multiLevelType w:val="hybridMultilevel"/>
    <w:tmpl w:val="A1CC8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33CC8"/>
    <w:multiLevelType w:val="hybridMultilevel"/>
    <w:tmpl w:val="0F940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7D1FED"/>
    <w:multiLevelType w:val="hybridMultilevel"/>
    <w:tmpl w:val="E9027C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C97F77"/>
    <w:multiLevelType w:val="hybridMultilevel"/>
    <w:tmpl w:val="A2EE0F9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634FA5"/>
    <w:multiLevelType w:val="hybridMultilevel"/>
    <w:tmpl w:val="F58C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4533C"/>
    <w:multiLevelType w:val="hybridMultilevel"/>
    <w:tmpl w:val="B99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957211"/>
    <w:multiLevelType w:val="hybridMultilevel"/>
    <w:tmpl w:val="9D2C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41773"/>
    <w:multiLevelType w:val="hybridMultilevel"/>
    <w:tmpl w:val="9772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0C155C"/>
    <w:multiLevelType w:val="hybridMultilevel"/>
    <w:tmpl w:val="3B04896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30BB1"/>
    <w:multiLevelType w:val="hybridMultilevel"/>
    <w:tmpl w:val="758E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6"/>
  </w:num>
  <w:num w:numId="5">
    <w:abstractNumId w:val="0"/>
  </w:num>
  <w:num w:numId="6">
    <w:abstractNumId w:val="18"/>
  </w:num>
  <w:num w:numId="7">
    <w:abstractNumId w:val="2"/>
  </w:num>
  <w:num w:numId="8">
    <w:abstractNumId w:val="12"/>
  </w:num>
  <w:num w:numId="9">
    <w:abstractNumId w:val="9"/>
  </w:num>
  <w:num w:numId="10">
    <w:abstractNumId w:val="25"/>
  </w:num>
  <w:num w:numId="11">
    <w:abstractNumId w:val="15"/>
  </w:num>
  <w:num w:numId="12">
    <w:abstractNumId w:val="1"/>
  </w:num>
  <w:num w:numId="13">
    <w:abstractNumId w:val="13"/>
  </w:num>
  <w:num w:numId="14">
    <w:abstractNumId w:val="7"/>
  </w:num>
  <w:num w:numId="15">
    <w:abstractNumId w:val="8"/>
  </w:num>
  <w:num w:numId="16">
    <w:abstractNumId w:val="10"/>
  </w:num>
  <w:num w:numId="17">
    <w:abstractNumId w:val="24"/>
  </w:num>
  <w:num w:numId="18">
    <w:abstractNumId w:val="19"/>
  </w:num>
  <w:num w:numId="19">
    <w:abstractNumId w:val="20"/>
  </w:num>
  <w:num w:numId="20">
    <w:abstractNumId w:val="22"/>
  </w:num>
  <w:num w:numId="21">
    <w:abstractNumId w:val="4"/>
  </w:num>
  <w:num w:numId="22">
    <w:abstractNumId w:val="14"/>
  </w:num>
  <w:num w:numId="23">
    <w:abstractNumId w:val="3"/>
  </w:num>
  <w:num w:numId="24">
    <w:abstractNumId w:val="5"/>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hideGrammaticalErrors/>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t;UNUSED&gt;"/>
    <w:docVar w:name="LW_ANNEX_NBR_FIRST" w:val="3"/>
    <w:docVar w:name="LW_ANNEX_NBR_LAST" w:val="3"/>
    <w:docVar w:name="LW_CONFIDENCE" w:val=" "/>
    <w:docVar w:name="LW_CONST_RESTREINT_UE" w:val="RESTREINT UE/EU RESTRICTED"/>
    <w:docVar w:name="LW_CORRIGENDUM" w:val="&lt;UNUSED&gt;"/>
    <w:docVar w:name="LW_COVERPAGE_GUID" w:val="4CB5BE6ADC2542C89D44F885E765BD90"/>
    <w:docVar w:name="LW_CROSSREFERENCE" w:val="&lt;UNUSED&gt;"/>
    <w:docVar w:name="LW_DocType" w:val="NORMAL"/>
    <w:docVar w:name="LW_EMISSION" w:val="31.5.2017"/>
    <w:docVar w:name="LW_EMISSION_ISODATE" w:val="2017-05-31"/>
    <w:docVar w:name="LW_EMISSION_LOCATION" w:val="BRX"/>
    <w:docVar w:name="LW_EMISSION_PREFIX" w:val="V Bruselu dne "/>
    <w:docVar w:name="LW_EMISSION_SUFFIX" w:val=" "/>
    <w:docVar w:name="LW_ID_DOCTYPE_NONLW" w:val="CP-039"/>
    <w:docVar w:name="LW_LANGUE" w:val="CS"/>
    <w:docVar w:name="LW_MARKING" w:val="&lt;UNUSED&gt;"/>
    <w:docVar w:name="LW_NOM.INST" w:val="EVROPSKÁ KOMISE"/>
    <w:docVar w:name="LW_NOM.INST_JOINTDOC" w:val="&lt;EMPTY&gt;"/>
    <w:docVar w:name="LW_OBJETACTEPRINCIPAL.CP" w:val="O PROHLOUBENÍ HOSPODÁ\u344?SKÉ A M\u282?NOVÉ UNIE"/>
    <w:docVar w:name="LW_PART_NBR" w:val="1"/>
    <w:docVar w:name="LW_PART_NBR_TOTAL" w:val="1"/>
    <w:docVar w:name="LW_REF.INST.NEW" w:val="COM"/>
    <w:docVar w:name="LW_REF.INST.NEW_ADOPTED" w:val="final"/>
    <w:docVar w:name="LW_REF.INST.NEW_TEXT" w:val="(2017) 291"/>
    <w:docVar w:name="LW_REF.INTERNE" w:val="&lt;UNUSED&gt;"/>
    <w:docVar w:name="LW_SUPERTITRE" w:val="&lt;UNUSED&gt;"/>
    <w:docVar w:name="LW_TITRE.OBJ.CP" w:val="&lt;UNUSED&gt;"/>
    <w:docVar w:name="LW_TYPE.DOC.CP" w:val="P\u344?ÍLOHA_x000b_"/>
    <w:docVar w:name="LW_TYPEACTEPRINCIPAL.CP" w:val="DISKUSNÍHO DOKUMENTU"/>
  </w:docVars>
  <w:rsids>
    <w:rsidRoot w:val="008D41AB"/>
    <w:rsid w:val="00751FF8"/>
    <w:rsid w:val="008D41AB"/>
    <w:rsid w:val="00B734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L"/>
    <w:basedOn w:val="Normal"/>
    <w:link w:val="ListParagraphChar"/>
    <w:uiPriority w:val="34"/>
    <w:qFormat/>
    <w:pPr>
      <w:ind w:left="720"/>
      <w:contextualSpacing/>
    </w:p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o"/>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Reference1,Char1,Ref,de nota al pie, Char1,Ch"/>
    <w:basedOn w:val="DefaultParagraphFont"/>
    <w:link w:val="16Poi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L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
    <w:name w:val="16 Point"/>
    <w:aliases w:val="Superscript 6 Point,Times 10 Point,Exposant 3 Point,Footnote reference number,Odwołanie przypisu,number,SUPERS,footnote ref,2001+ Fußnotenzeichen, Exposant 3 Point"/>
    <w:basedOn w:val="Normal"/>
    <w:link w:val="FootnoteReference"/>
    <w:uiPriority w:val="99"/>
    <w:pPr>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365F91" w:themeColor="accent1" w:themeShade="BF"/>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365F91" w:themeColor="accent1" w:themeShade="BF"/>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L"/>
    <w:basedOn w:val="Normal"/>
    <w:link w:val="ListParagraphChar"/>
    <w:uiPriority w:val="34"/>
    <w:qFormat/>
    <w:pPr>
      <w:ind w:left="720"/>
      <w:contextualSpacing/>
    </w:p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o"/>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Reference1,Char1,Ref,de nota al pie, Char1,Ch"/>
    <w:basedOn w:val="DefaultParagraphFont"/>
    <w:link w:val="16Poi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L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
    <w:name w:val="16 Point"/>
    <w:aliases w:val="Superscript 6 Point,Times 10 Point,Exposant 3 Point,Footnote reference number,Odwołanie przypisu,number,SUPERS,footnote ref,2001+ Fußnotenzeichen, Exposant 3 Point"/>
    <w:basedOn w:val="Normal"/>
    <w:link w:val="FootnoteReference"/>
    <w:uiPriority w:val="99"/>
    <w:pPr>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365F91" w:themeColor="accent1" w:themeShade="BF"/>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365F91" w:themeColor="accent1" w:themeShade="BF"/>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0237">
      <w:bodyDiv w:val="1"/>
      <w:marLeft w:val="0"/>
      <w:marRight w:val="0"/>
      <w:marTop w:val="0"/>
      <w:marBottom w:val="0"/>
      <w:divBdr>
        <w:top w:val="none" w:sz="0" w:space="0" w:color="auto"/>
        <w:left w:val="none" w:sz="0" w:space="0" w:color="auto"/>
        <w:bottom w:val="none" w:sz="0" w:space="0" w:color="auto"/>
        <w:right w:val="none" w:sz="0" w:space="0" w:color="auto"/>
      </w:divBdr>
    </w:div>
    <w:div w:id="1557473489">
      <w:bodyDiv w:val="1"/>
      <w:marLeft w:val="0"/>
      <w:marRight w:val="0"/>
      <w:marTop w:val="0"/>
      <w:marBottom w:val="0"/>
      <w:divBdr>
        <w:top w:val="none" w:sz="0" w:space="0" w:color="auto"/>
        <w:left w:val="none" w:sz="0" w:space="0" w:color="auto"/>
        <w:bottom w:val="none" w:sz="0" w:space="0" w:color="auto"/>
        <w:right w:val="none" w:sz="0" w:space="0" w:color="auto"/>
      </w:divBdr>
    </w:div>
    <w:div w:id="1569610256">
      <w:bodyDiv w:val="1"/>
      <w:marLeft w:val="0"/>
      <w:marRight w:val="0"/>
      <w:marTop w:val="0"/>
      <w:marBottom w:val="0"/>
      <w:divBdr>
        <w:top w:val="none" w:sz="0" w:space="0" w:color="auto"/>
        <w:left w:val="none" w:sz="0" w:space="0" w:color="auto"/>
        <w:bottom w:val="none" w:sz="0" w:space="0" w:color="auto"/>
        <w:right w:val="none" w:sz="0" w:space="0" w:color="auto"/>
      </w:divBdr>
    </w:div>
    <w:div w:id="20657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theme" Target="theme/theme1.xml"/><Relationship Id="rId11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0F02-B008-493D-867A-BC59764D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454</Words>
  <Characters>2577</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2017-05-24T08:36:00Z</dcterms:created>
  <dcterms:modified xsi:type="dcterms:W3CDTF">2017-05-31T17:40:00Z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3</vt:lpwstr>
  </property>
  <property fmtid="{D5CDD505-2E9C-101B-9397-08002B2CF9AE}" pid="3" name="Last annex">
    <vt:lpwstr>3</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