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F4F" w:rsidRDefault="007B5290" w:rsidP="008F6D8A">
      <w:pPr>
        <w:pStyle w:val="Pagedecouverture"/>
        <w:rPr>
          <w:noProof/>
        </w:rPr>
      </w:pPr>
      <w:bookmarkStart w:id="0" w:name="LW_BM_COVERPAGE"/>
      <w:bookmarkStart w:id="1" w:name="_Toc482893084"/>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FA36B1527A04B3CB39B7C74E0DC1919" style="width:450.6pt;height:366.2pt">
            <v:imagedata r:id="rId9" o:title=""/>
          </v:shape>
        </w:pict>
      </w:r>
    </w:p>
    <w:bookmarkEnd w:id="0"/>
    <w:p w:rsidR="00BE5F4F" w:rsidRDefault="00BE5F4F">
      <w:pPr>
        <w:rPr>
          <w:noProof/>
        </w:rPr>
        <w:sectPr w:rsidR="00BE5F4F" w:rsidSect="008F6D8A">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rsidR="00BE5F4F" w:rsidRDefault="008F6D8A">
      <w:pPr>
        <w:pStyle w:val="Heading1"/>
        <w:rPr>
          <w:rFonts w:ascii="Times New Roman" w:eastAsia="Times New Roman" w:hAnsi="Times New Roman" w:cs="Times New Roman"/>
          <w:noProof/>
          <w:sz w:val="24"/>
          <w:szCs w:val="24"/>
        </w:rPr>
      </w:pPr>
      <w:r>
        <w:rPr>
          <w:rFonts w:ascii="Times New Roman" w:hAnsi="Times New Roman"/>
          <w:noProof/>
          <w:sz w:val="24"/>
        </w:rPr>
        <w:lastRenderedPageBreak/>
        <w:t>Anness 3. Xejriet ekonomiċi ewlenin fi ħdan iż-żona tal-euro s’issa</w:t>
      </w:r>
      <w:bookmarkEnd w:id="1"/>
    </w:p>
    <w:p w:rsidR="00BE5F4F" w:rsidRDefault="008F6D8A">
      <w:pPr>
        <w:spacing w:line="240" w:lineRule="auto"/>
        <w:jc w:val="both"/>
        <w:rPr>
          <w:rFonts w:ascii="Times New Roman" w:eastAsia="Times New Roman" w:hAnsi="Times New Roman" w:cs="Times New Roman"/>
          <w:b/>
          <w:noProof/>
          <w:sz w:val="24"/>
          <w:szCs w:val="24"/>
        </w:rPr>
      </w:pPr>
      <w:r>
        <w:rPr>
          <w:rFonts w:ascii="Times New Roman" w:hAnsi="Times New Roman"/>
          <w:noProof/>
          <w:sz w:val="24"/>
        </w:rPr>
        <w:t xml:space="preserve">L-introduzzjoni tal-euro inizjalment wasslet għal xi konverġenza bejn l-Istati Membri parteċipanti, b’mod partikolari f'termini ta’ tkabbir ekonomiku u r-rati tal-interessi. </w:t>
      </w:r>
    </w:p>
    <w:p w:rsidR="00BE5F4F" w:rsidRDefault="008F6D8A">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Madankollu, il-kriżi kixfet xi differenzi sinifikanti li kienu akkumulaw matul is-snin preċedenti f’termini ta’ kompetittività, is-saħħa tas-settur bankarju u s-sostenibbiltà tal-finanzi pubbliċi. Irriżultat ukoll f’diverġenza ikbar f’eżiti ekonomiċi. </w:t>
      </w:r>
    </w:p>
    <w:p w:rsidR="00BE5F4F" w:rsidRDefault="008F6D8A">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Fi snin riċenti, kien hemm xi evidenza ta’ tendenza attwali ta’ tnaqqis fid-diverġenzi. Madankollu, għad hemm differenzi akuti bejn l-Istati Membri u marki importanti mill-kriżi u għadu mhux viżibbli proċess b’saħħtu ta’ konverġenza ġdida. </w:t>
      </w:r>
    </w:p>
    <w:p w:rsidR="00BE5F4F" w:rsidRDefault="008F6D8A">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Filwaqt li kien hemm tkabbir sinifikanti matul l-ewwel snin taż-żona tal-euro, ħafna Stati Membri raw tnaqqis sinifikanti fl-istandards tal-ħajja tul il-kriżi. Pereżempju, filwaqt li t-tkabbir fil-Ġermanja żdied b’mod qawwi minn dak iż-żmien, il-PDG tal-Italja għadu taħt il-livelli ta’ qabel il-kriżi. Mhux l-ekonomiji kollha tal-euro irkupraw sal-istess punt.</w:t>
      </w:r>
      <w:r>
        <w:rPr>
          <w:rFonts w:ascii="Times New Roman" w:hAnsi="Times New Roman"/>
          <w:b/>
          <w:noProof/>
          <w:sz w:val="24"/>
        </w:rPr>
        <w:t xml:space="preserve"> </w:t>
      </w:r>
    </w:p>
    <w:p w:rsidR="00BE5F4F" w:rsidRDefault="00BE5F4F">
      <w:pPr>
        <w:rPr>
          <w:noProof/>
        </w:rPr>
      </w:pPr>
    </w:p>
    <w:p w:rsidR="00BE5F4F" w:rsidRDefault="008F6D8A">
      <w:pPr>
        <w:spacing w:after="120" w:line="240" w:lineRule="auto"/>
        <w:jc w:val="both"/>
        <w:rPr>
          <w:rFonts w:ascii="Times New Roman" w:eastAsia="Times New Roman" w:hAnsi="Times New Roman" w:cs="Times New Roman"/>
          <w:noProof/>
          <w:sz w:val="24"/>
          <w:szCs w:val="24"/>
        </w:rPr>
      </w:pPr>
      <w:r>
        <w:rPr>
          <w:rFonts w:ascii="Times New Roman" w:hAnsi="Times New Roman"/>
          <w:b/>
          <w:noProof/>
          <w:sz w:val="24"/>
        </w:rPr>
        <w:t>Xejriet f’PDG reali per capita</w:t>
      </w:r>
    </w:p>
    <w:p w:rsidR="00BE5F4F" w:rsidRDefault="008F6D8A">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Indiċi 1999=100 </w:t>
      </w:r>
    </w:p>
    <w:p w:rsidR="00BE5F4F" w:rsidRDefault="008F6D8A">
      <w:pPr>
        <w:spacing w:line="240" w:lineRule="auto"/>
        <w:jc w:val="center"/>
        <w:rPr>
          <w:noProof/>
        </w:rPr>
      </w:pPr>
      <w:r>
        <w:rPr>
          <w:noProof/>
        </w:rPr>
        <w:t xml:space="preserve"> </w:t>
      </w:r>
      <w:r>
        <w:rPr>
          <w:noProof/>
          <w:lang w:val="en-GB" w:eastAsia="en-GB" w:bidi="ar-SA"/>
        </w:rPr>
        <w:drawing>
          <wp:inline distT="0" distB="0" distL="0" distR="0" wp14:anchorId="6B1BDC0B" wp14:editId="26D594AC">
            <wp:extent cx="3048000" cy="2383790"/>
            <wp:effectExtent l="0" t="0" r="0" b="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0" cy="2383790"/>
                    </a:xfrm>
                    <a:prstGeom prst="rect">
                      <a:avLst/>
                    </a:prstGeom>
                    <a:noFill/>
                  </pic:spPr>
                </pic:pic>
              </a:graphicData>
            </a:graphic>
          </wp:inline>
        </w:drawing>
      </w:r>
    </w:p>
    <w:p w:rsidR="00BE5F4F" w:rsidRDefault="008F6D8A">
      <w:pPr>
        <w:spacing w:after="120" w:line="240" w:lineRule="auto"/>
        <w:jc w:val="both"/>
        <w:rPr>
          <w:rFonts w:ascii="Times New Roman" w:eastAsia="Times New Roman" w:hAnsi="Times New Roman" w:cs="Times New Roman"/>
          <w:i/>
          <w:noProof/>
          <w:sz w:val="24"/>
          <w:szCs w:val="24"/>
        </w:rPr>
      </w:pPr>
      <w:r>
        <w:rPr>
          <w:rFonts w:ascii="Times New Roman" w:hAnsi="Times New Roman"/>
          <w:i/>
          <w:noProof/>
          <w:sz w:val="24"/>
        </w:rPr>
        <w:t>Sors: Il-Kummissjoni Ewropea</w:t>
      </w:r>
    </w:p>
    <w:p w:rsidR="00BE5F4F" w:rsidRDefault="008F6D8A">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Waħda mir-raġunijiet sottostanti għad-diverġenza fil-prestazzjoni ekonomika hija marbuta mal-livelli ta’ investiment. Wara tnaqqis sinifikanti matul il-kriżi, l-investiment ħa s-snin biex jirkupra u beda biss jerġa’ jiżdied f’dawn l-aħħar snin. Għadu partikularment baxx fl-Istati Membri li sabu ruħhom f’diffikultajiet finanzjarji matul il-kriżi. </w:t>
      </w:r>
    </w:p>
    <w:p w:rsidR="00BE5F4F" w:rsidRDefault="007B5290">
      <w:pPr>
        <w:spacing w:after="0" w:line="240" w:lineRule="auto"/>
        <w:jc w:val="both"/>
        <w:rPr>
          <w:rFonts w:ascii="Times New Roman" w:eastAsia="Times New Roman" w:hAnsi="Times New Roman" w:cs="Times New Roman"/>
          <w:b/>
          <w:noProof/>
          <w:sz w:val="24"/>
          <w:szCs w:val="24"/>
        </w:rPr>
      </w:pPr>
      <w:r>
        <w:rPr>
          <w:rFonts w:ascii="Times New Roman" w:hAnsi="Times New Roman"/>
          <w:b/>
          <w:noProof/>
          <w:sz w:val="24"/>
        </w:rPr>
        <w:br w:type="column"/>
      </w:r>
      <w:bookmarkStart w:id="2" w:name="_GoBack"/>
      <w:bookmarkEnd w:id="2"/>
      <w:r w:rsidR="008F6D8A">
        <w:rPr>
          <w:rFonts w:ascii="Times New Roman" w:hAnsi="Times New Roman"/>
          <w:b/>
          <w:noProof/>
          <w:sz w:val="24"/>
        </w:rPr>
        <w:lastRenderedPageBreak/>
        <w:t xml:space="preserve">Xejriet fl-investiment totali </w:t>
      </w:r>
    </w:p>
    <w:p w:rsidR="00BE5F4F" w:rsidRDefault="008F6D8A">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Indiċi 1999=100</w:t>
      </w:r>
    </w:p>
    <w:p w:rsidR="00BE5F4F" w:rsidRDefault="00BE5F4F">
      <w:pPr>
        <w:spacing w:after="0" w:line="240" w:lineRule="auto"/>
        <w:jc w:val="both"/>
        <w:rPr>
          <w:rFonts w:ascii="Times New Roman" w:eastAsia="Times New Roman" w:hAnsi="Times New Roman" w:cs="Times New Roman"/>
          <w:noProof/>
          <w:sz w:val="24"/>
          <w:szCs w:val="24"/>
        </w:rPr>
      </w:pPr>
    </w:p>
    <w:p w:rsidR="00BE5F4F" w:rsidRDefault="008F6D8A">
      <w:pPr>
        <w:spacing w:after="0" w:line="240" w:lineRule="auto"/>
        <w:jc w:val="both"/>
        <w:rPr>
          <w:noProof/>
        </w:rPr>
      </w:pPr>
      <w:r>
        <w:rPr>
          <w:noProof/>
          <w:lang w:val="en-GB" w:eastAsia="en-GB" w:bidi="ar-SA"/>
        </w:rPr>
        <w:drawing>
          <wp:inline distT="0" distB="0" distL="0" distR="0" wp14:anchorId="6AB55BEE" wp14:editId="4A94A44F">
            <wp:extent cx="3005455" cy="1737360"/>
            <wp:effectExtent l="0" t="0" r="4445" b="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05455" cy="1737360"/>
                    </a:xfrm>
                    <a:prstGeom prst="rect">
                      <a:avLst/>
                    </a:prstGeom>
                    <a:noFill/>
                  </pic:spPr>
                </pic:pic>
              </a:graphicData>
            </a:graphic>
          </wp:inline>
        </w:drawing>
      </w:r>
    </w:p>
    <w:p w:rsidR="00BE5F4F" w:rsidRDefault="008F6D8A">
      <w:pPr>
        <w:spacing w:after="0" w:line="240" w:lineRule="auto"/>
        <w:jc w:val="both"/>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lang w:val="en-GB" w:eastAsia="en-GB" w:bidi="ar-SA"/>
        </w:rPr>
        <w:drawing>
          <wp:inline distT="0" distB="0" distL="0" distR="0" wp14:anchorId="4370454A" wp14:editId="451EF283">
            <wp:extent cx="3011805" cy="1774190"/>
            <wp:effectExtent l="0" t="0" r="0" b="0"/>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11805" cy="1774190"/>
                    </a:xfrm>
                    <a:prstGeom prst="rect">
                      <a:avLst/>
                    </a:prstGeom>
                    <a:noFill/>
                  </pic:spPr>
                </pic:pic>
              </a:graphicData>
            </a:graphic>
          </wp:inline>
        </w:drawing>
      </w:r>
    </w:p>
    <w:p w:rsidR="00BE5F4F" w:rsidRDefault="008F6D8A">
      <w:pPr>
        <w:spacing w:after="0" w:line="240" w:lineRule="auto"/>
        <w:jc w:val="both"/>
        <w:rPr>
          <w:rFonts w:ascii="Times New Roman" w:eastAsia="Times New Roman" w:hAnsi="Times New Roman" w:cs="Times New Roman"/>
          <w:i/>
          <w:noProof/>
          <w:sz w:val="24"/>
          <w:szCs w:val="24"/>
        </w:rPr>
      </w:pPr>
      <w:r>
        <w:rPr>
          <w:rFonts w:ascii="Times New Roman" w:hAnsi="Times New Roman"/>
          <w:i/>
          <w:noProof/>
          <w:sz w:val="24"/>
        </w:rPr>
        <w:t>Sors: Il-Kummissjoni Ewropea</w:t>
      </w:r>
    </w:p>
    <w:p w:rsidR="00BE5F4F" w:rsidRDefault="00BE5F4F">
      <w:pPr>
        <w:spacing w:line="240" w:lineRule="auto"/>
        <w:jc w:val="both"/>
        <w:rPr>
          <w:rFonts w:ascii="Times New Roman" w:eastAsia="Times New Roman" w:hAnsi="Times New Roman" w:cs="Times New Roman"/>
          <w:b/>
          <w:noProof/>
          <w:sz w:val="24"/>
          <w:szCs w:val="24"/>
        </w:rPr>
      </w:pPr>
    </w:p>
    <w:p w:rsidR="00BE5F4F" w:rsidRDefault="008F6D8A">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Il-kompetittività, meta espressa f’termini ta’ kostijiet tax-xogħol, iddiverġiet b’mod wiesa’ fl-ewwel snin tal-euro. Pereżempju, il-Ġermanja esperjenzat żviluppi fil-kostijiet partikularment favorevoli meta mqabbla ma’ Franza, l-Italja u oħrajn. Spanja stabbiliet korrezzjoni qawwija tal-kostijiet tax-xogħol wara l-introduzzjoni ta’ riformi b’reazzjoni għall-kriżi. </w:t>
      </w:r>
    </w:p>
    <w:p w:rsidR="00BE5F4F" w:rsidRDefault="008F6D8A">
      <w:pPr>
        <w:spacing w:after="0" w:line="240" w:lineRule="auto"/>
        <w:jc w:val="both"/>
        <w:rPr>
          <w:rFonts w:ascii="Times New Roman" w:eastAsia="Times New Roman" w:hAnsi="Times New Roman" w:cs="Times New Roman"/>
          <w:noProof/>
          <w:sz w:val="24"/>
          <w:szCs w:val="24"/>
        </w:rPr>
      </w:pPr>
      <w:r>
        <w:rPr>
          <w:rFonts w:ascii="Times New Roman" w:hAnsi="Times New Roman"/>
          <w:b/>
          <w:noProof/>
          <w:sz w:val="24"/>
        </w:rPr>
        <w:t>Xejriet fil-kostijiet ta’ unità tax-xogħol nominali</w:t>
      </w:r>
    </w:p>
    <w:p w:rsidR="00BE5F4F" w:rsidRDefault="008F6D8A">
      <w:pPr>
        <w:spacing w:after="0" w:line="240" w:lineRule="auto"/>
        <w:jc w:val="both"/>
        <w:rPr>
          <w:rFonts w:ascii="Times New Roman" w:eastAsia="Times New Roman" w:hAnsi="Times New Roman" w:cs="Times New Roman"/>
          <w:b/>
          <w:noProof/>
          <w:sz w:val="24"/>
          <w:szCs w:val="24"/>
        </w:rPr>
      </w:pPr>
      <w:r>
        <w:rPr>
          <w:rFonts w:ascii="Times New Roman" w:hAnsi="Times New Roman"/>
          <w:noProof/>
          <w:sz w:val="24"/>
        </w:rPr>
        <w:t>Indiċi 100=1999</w:t>
      </w:r>
    </w:p>
    <w:p w:rsidR="00BE5F4F" w:rsidRDefault="008F6D8A">
      <w:pPr>
        <w:spacing w:line="240" w:lineRule="auto"/>
        <w:jc w:val="center"/>
        <w:rPr>
          <w:noProof/>
        </w:rPr>
      </w:pPr>
      <w:r>
        <w:rPr>
          <w:noProof/>
        </w:rPr>
        <w:t xml:space="preserve"> </w:t>
      </w:r>
      <w:r>
        <w:rPr>
          <w:noProof/>
          <w:lang w:val="en-GB" w:eastAsia="en-GB" w:bidi="ar-SA"/>
        </w:rPr>
        <w:drawing>
          <wp:inline distT="0" distB="0" distL="0" distR="0" wp14:anchorId="4F4A6222" wp14:editId="73A38452">
            <wp:extent cx="3005455" cy="1767840"/>
            <wp:effectExtent l="0" t="0" r="0" b="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05455" cy="1767840"/>
                    </a:xfrm>
                    <a:prstGeom prst="rect">
                      <a:avLst/>
                    </a:prstGeom>
                    <a:noFill/>
                  </pic:spPr>
                </pic:pic>
              </a:graphicData>
            </a:graphic>
          </wp:inline>
        </w:drawing>
      </w:r>
    </w:p>
    <w:p w:rsidR="00BE5F4F" w:rsidRDefault="008F6D8A">
      <w:pPr>
        <w:spacing w:after="0" w:line="240" w:lineRule="auto"/>
        <w:jc w:val="both"/>
        <w:rPr>
          <w:rFonts w:ascii="Times New Roman" w:eastAsia="Times New Roman" w:hAnsi="Times New Roman" w:cs="Times New Roman"/>
          <w:i/>
          <w:noProof/>
          <w:sz w:val="24"/>
          <w:szCs w:val="24"/>
        </w:rPr>
      </w:pPr>
      <w:r>
        <w:rPr>
          <w:rFonts w:ascii="Times New Roman" w:hAnsi="Times New Roman"/>
          <w:i/>
          <w:noProof/>
          <w:sz w:val="24"/>
        </w:rPr>
        <w:t>Sors: Il-Kummissjoni Ewropea</w:t>
      </w:r>
    </w:p>
    <w:p w:rsidR="00BE5F4F" w:rsidRDefault="00BE5F4F">
      <w:pPr>
        <w:spacing w:after="0" w:line="240" w:lineRule="auto"/>
        <w:jc w:val="both"/>
        <w:rPr>
          <w:rFonts w:ascii="Times New Roman" w:eastAsia="Times New Roman" w:hAnsi="Times New Roman" w:cs="Times New Roman"/>
          <w:i/>
          <w:noProof/>
          <w:sz w:val="24"/>
          <w:szCs w:val="24"/>
        </w:rPr>
      </w:pPr>
    </w:p>
    <w:p w:rsidR="00BE5F4F" w:rsidRDefault="008F6D8A">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F’termini ta’ indikaturi finanzjarji, ir-rati tal-imgħax fis-settur privat ikkonverġew sa mill-2012. Madankollu, għad hemm differenzi sinifikanti u l-kundizzjonijiet ta’ finanzjament ta’ ditti għadhom jiddependu kważi għalkollox fuq in-nazzjonalità tagħhom.</w:t>
      </w:r>
      <w:r>
        <w:rPr>
          <w:noProof/>
        </w:rPr>
        <w:t xml:space="preserve"> </w:t>
      </w:r>
      <w:r>
        <w:rPr>
          <w:rFonts w:ascii="Times New Roman" w:hAnsi="Times New Roman"/>
          <w:noProof/>
          <w:sz w:val="24"/>
        </w:rPr>
        <w:t>Barra minn hekk, varjazzjonijiet fil-volumi ta’ self fil-fatt żdiedu sal-2013 u bdew biss jikkonverġu minn dak iż-żmien.</w:t>
      </w:r>
    </w:p>
    <w:p w:rsidR="00BE5F4F" w:rsidRDefault="008F6D8A">
      <w:pPr>
        <w:spacing w:line="240" w:lineRule="auto"/>
        <w:jc w:val="both"/>
        <w:rPr>
          <w:rFonts w:ascii="Times New Roman" w:eastAsia="Times New Roman" w:hAnsi="Times New Roman" w:cs="Times New Roman"/>
          <w:b/>
          <w:noProof/>
          <w:sz w:val="24"/>
          <w:szCs w:val="24"/>
        </w:rPr>
      </w:pPr>
      <w:r>
        <w:rPr>
          <w:rFonts w:ascii="Times New Roman" w:hAnsi="Times New Roman"/>
          <w:b/>
          <w:noProof/>
          <w:sz w:val="24"/>
        </w:rPr>
        <w:lastRenderedPageBreak/>
        <w:t>Xejriet fir-rata tal-imgħax ta’ self lil korporazzjonijiet mhux finanzjarji u l-ammont ta’ self lil intrapriżi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BE5F4F">
        <w:tc>
          <w:tcPr>
            <w:tcW w:w="4599" w:type="dxa"/>
          </w:tcPr>
          <w:p w:rsidR="00BE5F4F" w:rsidRDefault="008F6D8A">
            <w:pPr>
              <w:jc w:val="both"/>
              <w:rPr>
                <w:rFonts w:ascii="Times New Roman" w:eastAsia="Times New Roman" w:hAnsi="Times New Roman" w:cs="Times New Roman"/>
                <w:noProof/>
                <w:sz w:val="24"/>
                <w:szCs w:val="24"/>
              </w:rPr>
            </w:pPr>
            <w:r>
              <w:rPr>
                <w:rFonts w:ascii="Times New Roman" w:hAnsi="Times New Roman"/>
                <w:noProof/>
                <w:sz w:val="24"/>
              </w:rPr>
              <w:t>Rati ta’ imgħax f’%</w:t>
            </w:r>
          </w:p>
        </w:tc>
        <w:tc>
          <w:tcPr>
            <w:tcW w:w="4643" w:type="dxa"/>
          </w:tcPr>
          <w:p w:rsidR="00BE5F4F" w:rsidRDefault="008F6D8A">
            <w:pPr>
              <w:jc w:val="both"/>
              <w:rPr>
                <w:rFonts w:ascii="Times New Roman" w:eastAsia="Times New Roman" w:hAnsi="Times New Roman" w:cs="Times New Roman"/>
                <w:noProof/>
                <w:sz w:val="24"/>
                <w:szCs w:val="24"/>
              </w:rPr>
            </w:pPr>
            <w:r>
              <w:rPr>
                <w:rFonts w:ascii="Times New Roman" w:hAnsi="Times New Roman"/>
                <w:noProof/>
                <w:sz w:val="24"/>
              </w:rPr>
              <w:t>Stokk nozzjonali, rata ta’ tkabbir sena wara sena</w:t>
            </w:r>
          </w:p>
        </w:tc>
      </w:tr>
      <w:tr w:rsidR="00BE5F4F">
        <w:tc>
          <w:tcPr>
            <w:tcW w:w="4599" w:type="dxa"/>
          </w:tcPr>
          <w:p w:rsidR="00BE5F4F" w:rsidRDefault="008F6D8A">
            <w:pPr>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en-GB" w:eastAsia="en-GB" w:bidi="ar-SA"/>
              </w:rPr>
              <w:drawing>
                <wp:inline distT="0" distB="0" distL="0" distR="0" wp14:anchorId="6318330D" wp14:editId="326B5DE7">
                  <wp:extent cx="2956560" cy="2194560"/>
                  <wp:effectExtent l="0" t="0" r="0" b="0"/>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56560" cy="2194560"/>
                          </a:xfrm>
                          <a:prstGeom prst="rect">
                            <a:avLst/>
                          </a:prstGeom>
                          <a:noFill/>
                        </pic:spPr>
                      </pic:pic>
                    </a:graphicData>
                  </a:graphic>
                </wp:inline>
              </w:drawing>
            </w:r>
          </w:p>
        </w:tc>
        <w:tc>
          <w:tcPr>
            <w:tcW w:w="4643" w:type="dxa"/>
          </w:tcPr>
          <w:p w:rsidR="00BE5F4F" w:rsidRDefault="008F6D8A">
            <w:pPr>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en-GB" w:eastAsia="en-GB" w:bidi="ar-SA"/>
              </w:rPr>
              <w:drawing>
                <wp:inline distT="0" distB="0" distL="0" distR="0" wp14:anchorId="5BFE3B23" wp14:editId="432F8DD9">
                  <wp:extent cx="2956560" cy="2212975"/>
                  <wp:effectExtent l="0" t="0" r="0" b="0"/>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56560" cy="2212975"/>
                          </a:xfrm>
                          <a:prstGeom prst="rect">
                            <a:avLst/>
                          </a:prstGeom>
                          <a:noFill/>
                        </pic:spPr>
                      </pic:pic>
                    </a:graphicData>
                  </a:graphic>
                </wp:inline>
              </w:drawing>
            </w:r>
          </w:p>
        </w:tc>
      </w:tr>
      <w:tr w:rsidR="00BE5F4F">
        <w:tc>
          <w:tcPr>
            <w:tcW w:w="4599" w:type="dxa"/>
          </w:tcPr>
          <w:p w:rsidR="00BE5F4F" w:rsidRDefault="008F6D8A">
            <w:pPr>
              <w:jc w:val="both"/>
              <w:rPr>
                <w:rFonts w:ascii="Times New Roman" w:eastAsia="Times New Roman" w:hAnsi="Times New Roman" w:cs="Times New Roman"/>
                <w:i/>
                <w:noProof/>
                <w:sz w:val="24"/>
                <w:szCs w:val="24"/>
              </w:rPr>
            </w:pPr>
            <w:r>
              <w:rPr>
                <w:rFonts w:ascii="Times New Roman" w:hAnsi="Times New Roman"/>
                <w:i/>
                <w:noProof/>
                <w:sz w:val="24"/>
              </w:rPr>
              <w:t>Sors: Il-Bank Ċentrali Ewropew</w:t>
            </w:r>
          </w:p>
        </w:tc>
        <w:tc>
          <w:tcPr>
            <w:tcW w:w="4643" w:type="dxa"/>
          </w:tcPr>
          <w:p w:rsidR="00BE5F4F" w:rsidRDefault="008F6D8A">
            <w:pPr>
              <w:jc w:val="both"/>
              <w:rPr>
                <w:rFonts w:ascii="Times New Roman" w:eastAsia="Times New Roman" w:hAnsi="Times New Roman" w:cs="Times New Roman"/>
                <w:i/>
                <w:noProof/>
                <w:sz w:val="24"/>
                <w:szCs w:val="24"/>
              </w:rPr>
            </w:pPr>
            <w:r>
              <w:rPr>
                <w:rFonts w:ascii="Times New Roman" w:hAnsi="Times New Roman"/>
                <w:i/>
                <w:noProof/>
                <w:sz w:val="24"/>
              </w:rPr>
              <w:t>Sors: Il-Bank Ċentrali Ewropew</w:t>
            </w:r>
          </w:p>
        </w:tc>
      </w:tr>
    </w:tbl>
    <w:p w:rsidR="00BE5F4F" w:rsidRDefault="00BE5F4F">
      <w:pPr>
        <w:spacing w:after="0" w:line="240" w:lineRule="auto"/>
        <w:jc w:val="both"/>
        <w:rPr>
          <w:rFonts w:ascii="Times New Roman" w:eastAsia="Times New Roman" w:hAnsi="Times New Roman" w:cs="Times New Roman"/>
          <w:noProof/>
          <w:sz w:val="24"/>
          <w:szCs w:val="24"/>
        </w:rPr>
      </w:pPr>
    </w:p>
    <w:p w:rsidR="00BE5F4F" w:rsidRDefault="00BE5F4F">
      <w:pPr>
        <w:spacing w:after="0" w:line="240" w:lineRule="auto"/>
        <w:jc w:val="both"/>
        <w:rPr>
          <w:rFonts w:ascii="Times New Roman" w:eastAsia="Times New Roman" w:hAnsi="Times New Roman" w:cs="Times New Roman"/>
          <w:i/>
          <w:noProof/>
          <w:sz w:val="24"/>
          <w:szCs w:val="24"/>
        </w:rPr>
      </w:pPr>
    </w:p>
    <w:p w:rsidR="00BE5F4F" w:rsidRDefault="008F6D8A">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Iż-żieda ta’ selfiet improduttivi – selfiet li jkunu inadempjenti jew viċin – fil-karta tal-bilanċ tal-banek huwa kemm sintomu tas-snin tal-kriżi kif ukoll sors ta’ vulnerabbiltà. Dawn is-selfiet huma ħafna aktar prevalenti fi Stati Membri Ewropej tan-nofsinhar milli fil-bqija taż-żona tal-euro. </w:t>
      </w:r>
    </w:p>
    <w:p w:rsidR="00BE5F4F" w:rsidRDefault="008F6D8A">
      <w:pPr>
        <w:spacing w:after="0" w:line="240" w:lineRule="auto"/>
        <w:jc w:val="both"/>
        <w:rPr>
          <w:rFonts w:ascii="Times New Roman" w:eastAsia="Times New Roman" w:hAnsi="Times New Roman" w:cs="Times New Roman"/>
          <w:b/>
          <w:noProof/>
          <w:sz w:val="24"/>
          <w:szCs w:val="24"/>
        </w:rPr>
      </w:pPr>
      <w:r>
        <w:rPr>
          <w:rFonts w:ascii="Times New Roman" w:hAnsi="Times New Roman"/>
          <w:b/>
          <w:noProof/>
          <w:sz w:val="24"/>
        </w:rPr>
        <w:t>Xejriet fis-sehem tas-selfiet improduttivi bħala proporzjon tat-total gross ta’ selfiet.</w:t>
      </w:r>
    </w:p>
    <w:p w:rsidR="00BE5F4F" w:rsidRDefault="008F6D8A">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en-GB" w:eastAsia="en-GB" w:bidi="ar-SA"/>
        </w:rPr>
        <w:drawing>
          <wp:inline distT="0" distB="0" distL="0" distR="0" wp14:anchorId="12619966" wp14:editId="4546902F">
            <wp:extent cx="10193655" cy="28041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193655" cy="2804160"/>
                    </a:xfrm>
                    <a:prstGeom prst="rect">
                      <a:avLst/>
                    </a:prstGeom>
                    <a:noFill/>
                  </pic:spPr>
                </pic:pic>
              </a:graphicData>
            </a:graphic>
          </wp:inline>
        </w:drawing>
      </w:r>
    </w:p>
    <w:p w:rsidR="00BE5F4F" w:rsidRDefault="008F6D8A">
      <w:pPr>
        <w:spacing w:after="0" w:line="240" w:lineRule="auto"/>
        <w:jc w:val="both"/>
        <w:rPr>
          <w:rFonts w:ascii="Times New Roman" w:eastAsia="Times New Roman" w:hAnsi="Times New Roman" w:cs="Times New Roman"/>
          <w:i/>
          <w:noProof/>
          <w:sz w:val="24"/>
          <w:szCs w:val="24"/>
        </w:rPr>
      </w:pPr>
      <w:r>
        <w:rPr>
          <w:rFonts w:ascii="Times New Roman" w:hAnsi="Times New Roman"/>
          <w:i/>
          <w:noProof/>
          <w:sz w:val="24"/>
        </w:rPr>
        <w:t>Sors: Il-Bank Dinji u l-Fond Monetarju Internazzjonali, l-aħħar dejta disponibbli</w:t>
      </w:r>
    </w:p>
    <w:p w:rsidR="00BE5F4F" w:rsidRDefault="00BE5F4F">
      <w:pPr>
        <w:spacing w:line="240" w:lineRule="auto"/>
        <w:jc w:val="both"/>
        <w:rPr>
          <w:rFonts w:ascii="Times New Roman" w:eastAsia="Times New Roman" w:hAnsi="Times New Roman" w:cs="Times New Roman"/>
          <w:b/>
          <w:noProof/>
          <w:sz w:val="24"/>
          <w:szCs w:val="24"/>
        </w:rPr>
      </w:pPr>
    </w:p>
    <w:p w:rsidR="00BE5F4F" w:rsidRDefault="008F6D8A">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Il-kriżi wasslet għal żieda sinifikanti fid-dejn pubbliku. Din ix-xejra waqfet fi snin riċenti u l-livelli ta’ dejn pubbliku bdew jonqsu bħala medja. Madankollu, għadhom għoljin u għadd żgħir biss ta’ Stati Membri kiseb tnaqqis sinifikanti s’issa.</w:t>
      </w:r>
    </w:p>
    <w:p w:rsidR="00BE5F4F" w:rsidRDefault="008F6D8A">
      <w:pPr>
        <w:spacing w:after="0" w:line="240" w:lineRule="auto"/>
        <w:jc w:val="both"/>
        <w:rPr>
          <w:rFonts w:ascii="Times New Roman" w:eastAsia="Times New Roman" w:hAnsi="Times New Roman" w:cs="Times New Roman"/>
          <w:b/>
          <w:noProof/>
          <w:sz w:val="24"/>
          <w:szCs w:val="24"/>
        </w:rPr>
      </w:pPr>
      <w:r>
        <w:rPr>
          <w:rFonts w:ascii="Times New Roman" w:hAnsi="Times New Roman"/>
          <w:b/>
          <w:noProof/>
          <w:sz w:val="24"/>
        </w:rPr>
        <w:t>Xejriet fid-dejn pubbliku</w:t>
      </w:r>
    </w:p>
    <w:p w:rsidR="00BE5F4F" w:rsidRDefault="008F6D8A">
      <w:pPr>
        <w:spacing w:after="0" w:line="240" w:lineRule="auto"/>
        <w:rPr>
          <w:rFonts w:ascii="Times New Roman" w:eastAsia="Times New Roman" w:hAnsi="Times New Roman" w:cs="Times New Roman"/>
          <w:noProof/>
          <w:sz w:val="24"/>
          <w:szCs w:val="24"/>
        </w:rPr>
      </w:pPr>
      <w:r>
        <w:rPr>
          <w:rFonts w:ascii="Times New Roman" w:hAnsi="Times New Roman"/>
          <w:noProof/>
          <w:sz w:val="24"/>
        </w:rPr>
        <w:t>Id-dejn ġenerali gross tal-gvern, bħala % tal-PDG</w:t>
      </w:r>
    </w:p>
    <w:p w:rsidR="00BE5F4F" w:rsidRDefault="008F6D8A">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lang w:val="en-GB" w:eastAsia="en-GB" w:bidi="ar-SA"/>
        </w:rPr>
        <w:lastRenderedPageBreak/>
        <w:drawing>
          <wp:inline distT="0" distB="0" distL="0" distR="0" wp14:anchorId="3F162268" wp14:editId="4F32C69F">
            <wp:extent cx="3030220" cy="2011680"/>
            <wp:effectExtent l="0" t="0" r="0" b="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30220" cy="2011680"/>
                    </a:xfrm>
                    <a:prstGeom prst="rect">
                      <a:avLst/>
                    </a:prstGeom>
                    <a:noFill/>
                  </pic:spPr>
                </pic:pic>
              </a:graphicData>
            </a:graphic>
          </wp:inline>
        </w:drawing>
      </w:r>
      <w:r>
        <w:rPr>
          <w:rFonts w:ascii="Times New Roman" w:hAnsi="Times New Roman"/>
          <w:noProof/>
          <w:sz w:val="24"/>
        </w:rPr>
        <w:t xml:space="preserve"> </w:t>
      </w:r>
    </w:p>
    <w:p w:rsidR="00BE5F4F" w:rsidRDefault="008F6D8A">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en-GB" w:eastAsia="en-GB" w:bidi="ar-SA"/>
        </w:rPr>
        <w:drawing>
          <wp:inline distT="0" distB="0" distL="0" distR="0" wp14:anchorId="69FAAF9B" wp14:editId="512FB216">
            <wp:extent cx="3023870" cy="2023745"/>
            <wp:effectExtent l="0" t="0" r="0" b="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23870" cy="2023745"/>
                    </a:xfrm>
                    <a:prstGeom prst="rect">
                      <a:avLst/>
                    </a:prstGeom>
                    <a:noFill/>
                  </pic:spPr>
                </pic:pic>
              </a:graphicData>
            </a:graphic>
          </wp:inline>
        </w:drawing>
      </w:r>
    </w:p>
    <w:p w:rsidR="00BE5F4F" w:rsidRDefault="008F6D8A">
      <w:pPr>
        <w:spacing w:line="240" w:lineRule="auto"/>
        <w:rPr>
          <w:rFonts w:ascii="Times New Roman" w:eastAsia="Times New Roman" w:hAnsi="Times New Roman" w:cs="Times New Roman"/>
          <w:i/>
          <w:noProof/>
          <w:sz w:val="24"/>
          <w:szCs w:val="24"/>
        </w:rPr>
      </w:pPr>
      <w:r>
        <w:rPr>
          <w:rFonts w:ascii="Times New Roman" w:hAnsi="Times New Roman"/>
          <w:i/>
          <w:noProof/>
          <w:sz w:val="24"/>
        </w:rPr>
        <w:t>Sors: Il-Kummissjoni Ewropea</w:t>
      </w:r>
    </w:p>
    <w:p w:rsidR="00BE5F4F" w:rsidRDefault="00BE5F4F">
      <w:pPr>
        <w:spacing w:line="240" w:lineRule="auto"/>
        <w:jc w:val="both"/>
        <w:rPr>
          <w:rFonts w:ascii="Times New Roman" w:eastAsia="Times New Roman" w:hAnsi="Times New Roman" w:cs="Times New Roman"/>
          <w:b/>
          <w:noProof/>
          <w:sz w:val="24"/>
          <w:szCs w:val="24"/>
        </w:rPr>
      </w:pPr>
    </w:p>
    <w:p w:rsidR="00BE5F4F" w:rsidRDefault="00BE5F4F">
      <w:pPr>
        <w:spacing w:line="240" w:lineRule="auto"/>
        <w:jc w:val="both"/>
        <w:rPr>
          <w:rFonts w:ascii="Times New Roman" w:eastAsia="Times New Roman" w:hAnsi="Times New Roman" w:cs="Times New Roman"/>
          <w:b/>
          <w:noProof/>
          <w:sz w:val="24"/>
          <w:szCs w:val="24"/>
        </w:rPr>
      </w:pPr>
    </w:p>
    <w:p w:rsidR="00BE5F4F" w:rsidRDefault="00BE5F4F">
      <w:pPr>
        <w:rPr>
          <w:noProof/>
        </w:rPr>
      </w:pPr>
    </w:p>
    <w:p w:rsidR="00BE5F4F" w:rsidRDefault="00BE5F4F">
      <w:pPr>
        <w:spacing w:line="240" w:lineRule="auto"/>
        <w:jc w:val="both"/>
        <w:rPr>
          <w:rFonts w:ascii="Times New Roman" w:eastAsia="Times New Roman" w:hAnsi="Times New Roman" w:cs="Times New Roman"/>
          <w:b/>
          <w:noProof/>
          <w:sz w:val="24"/>
          <w:szCs w:val="24"/>
        </w:rPr>
      </w:pPr>
    </w:p>
    <w:sectPr w:rsidR="00BE5F4F">
      <w:headerReference w:type="even" r:id="rId25"/>
      <w:headerReference w:type="default" r:id="rId26"/>
      <w:footerReference w:type="even" r:id="rId27"/>
      <w:footerReference w:type="default" r:id="rId28"/>
      <w:headerReference w:type="first" r:id="rId29"/>
      <w:footerReference w:type="first" r:id="rId30"/>
      <w:pgSz w:w="11906" w:h="16838"/>
      <w:pgMar w:top="1417" w:right="1417" w:bottom="1417" w:left="1417" w:header="708" w:footer="708" w:gutter="0"/>
      <w:pgNumType w:start="2"/>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FE18497" w15:done="0"/>
  <w15:commentEx w15:paraId="14F508F4" w15:done="0"/>
  <w15:commentEx w15:paraId="58BB2950" w15:done="0"/>
  <w15:commentEx w15:paraId="17653B2E" w15:done="0"/>
  <w15:commentEx w15:paraId="219C129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F4F" w:rsidRDefault="008F6D8A">
      <w:pPr>
        <w:spacing w:after="0" w:line="240" w:lineRule="auto"/>
      </w:pPr>
      <w:r>
        <w:separator/>
      </w:r>
    </w:p>
  </w:endnote>
  <w:endnote w:type="continuationSeparator" w:id="0">
    <w:p w:rsidR="00BE5F4F" w:rsidRDefault="008F6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D8A" w:rsidRPr="008F6D8A" w:rsidRDefault="008F6D8A" w:rsidP="008F6D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D8A" w:rsidRPr="008F6D8A" w:rsidRDefault="008F6D8A" w:rsidP="008F6D8A">
    <w:pPr>
      <w:pStyle w:val="FooterCoverPage"/>
      <w:rPr>
        <w:rFonts w:ascii="Arial" w:hAnsi="Arial" w:cs="Arial"/>
        <w:b/>
        <w:sz w:val="48"/>
      </w:rPr>
    </w:pPr>
    <w:r w:rsidRPr="008F6D8A">
      <w:rPr>
        <w:rFonts w:ascii="Arial" w:hAnsi="Arial" w:cs="Arial"/>
        <w:b/>
        <w:sz w:val="48"/>
      </w:rPr>
      <w:t>MT</w:t>
    </w:r>
    <w:r w:rsidRPr="008F6D8A">
      <w:rPr>
        <w:rFonts w:ascii="Arial" w:hAnsi="Arial" w:cs="Arial"/>
        <w:b/>
        <w:sz w:val="48"/>
      </w:rPr>
      <w:tab/>
    </w:r>
    <w:r w:rsidRPr="008F6D8A">
      <w:rPr>
        <w:rFonts w:ascii="Arial" w:hAnsi="Arial" w:cs="Arial"/>
        <w:b/>
        <w:sz w:val="48"/>
      </w:rPr>
      <w:tab/>
    </w:r>
    <w:r w:rsidR="007B5290">
      <w:fldChar w:fldCharType="begin"/>
    </w:r>
    <w:r w:rsidR="007B5290">
      <w:instrText xml:space="preserve"> DOCVARIABLE "LW_Confidence" \* MERGEFORMAT </w:instrText>
    </w:r>
    <w:r w:rsidR="007B5290">
      <w:fldChar w:fldCharType="separate"/>
    </w:r>
    <w:r>
      <w:t xml:space="preserve"> </w:t>
    </w:r>
    <w:r w:rsidR="007B5290">
      <w:fldChar w:fldCharType="end"/>
    </w:r>
    <w:r w:rsidRPr="008F6D8A">
      <w:tab/>
    </w:r>
    <w:r w:rsidRPr="008F6D8A">
      <w:rPr>
        <w:rFonts w:ascii="Arial" w:hAnsi="Arial" w:cs="Arial"/>
        <w:b/>
        <w:sz w:val="48"/>
      </w:rPr>
      <w:t>MT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D8A" w:rsidRPr="008F6D8A" w:rsidRDefault="008F6D8A" w:rsidP="008F6D8A">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F4F" w:rsidRDefault="00BE5F4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72710"/>
      <w:docPartObj>
        <w:docPartGallery w:val="Page Numbers (Bottom of Page)"/>
        <w:docPartUnique/>
      </w:docPartObj>
    </w:sdtPr>
    <w:sdtEndPr>
      <w:rPr>
        <w:noProof/>
      </w:rPr>
    </w:sdtEndPr>
    <w:sdtContent>
      <w:p w:rsidR="00BE5F4F" w:rsidRDefault="008F6D8A">
        <w:pPr>
          <w:pStyle w:val="Footer"/>
          <w:jc w:val="center"/>
        </w:pPr>
        <w:r>
          <w:fldChar w:fldCharType="begin"/>
        </w:r>
        <w:r>
          <w:instrText xml:space="preserve"> PAGE   \* MERGEFORMAT </w:instrText>
        </w:r>
        <w:r>
          <w:fldChar w:fldCharType="separate"/>
        </w:r>
        <w:r w:rsidR="007B5290">
          <w:rPr>
            <w:noProof/>
          </w:rPr>
          <w:t>2</w:t>
        </w:r>
        <w:r>
          <w:rPr>
            <w:noProof/>
          </w:rPr>
          <w:fldChar w:fldCharType="end"/>
        </w:r>
      </w:p>
    </w:sdtContent>
  </w:sdt>
  <w:p w:rsidR="00BE5F4F" w:rsidRDefault="00BE5F4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F4F" w:rsidRDefault="00BE5F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F4F" w:rsidRDefault="008F6D8A">
      <w:pPr>
        <w:spacing w:after="0" w:line="240" w:lineRule="auto"/>
      </w:pPr>
      <w:r>
        <w:separator/>
      </w:r>
    </w:p>
  </w:footnote>
  <w:footnote w:type="continuationSeparator" w:id="0">
    <w:p w:rsidR="00BE5F4F" w:rsidRDefault="008F6D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D8A" w:rsidRPr="008F6D8A" w:rsidRDefault="008F6D8A" w:rsidP="008F6D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D8A" w:rsidRPr="008F6D8A" w:rsidRDefault="008F6D8A" w:rsidP="008F6D8A">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D8A" w:rsidRPr="008F6D8A" w:rsidRDefault="008F6D8A" w:rsidP="008F6D8A">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F4F" w:rsidRDefault="00BE5F4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F4F" w:rsidRDefault="00BE5F4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F4F" w:rsidRDefault="00BE5F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208ED"/>
    <w:multiLevelType w:val="hybridMultilevel"/>
    <w:tmpl w:val="A46AF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
    <w:nsid w:val="089316E0"/>
    <w:multiLevelType w:val="hybridMultilevel"/>
    <w:tmpl w:val="66B6C746"/>
    <w:lvl w:ilvl="0" w:tplc="9E36EBD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9E3F7D"/>
    <w:multiLevelType w:val="hybridMultilevel"/>
    <w:tmpl w:val="AE3A5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F65431"/>
    <w:multiLevelType w:val="hybridMultilevel"/>
    <w:tmpl w:val="4558C28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8F10838"/>
    <w:multiLevelType w:val="hybridMultilevel"/>
    <w:tmpl w:val="E5D233E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nsid w:val="22281C4F"/>
    <w:multiLevelType w:val="hybridMultilevel"/>
    <w:tmpl w:val="0C2418D8"/>
    <w:lvl w:ilvl="0" w:tplc="31249888">
      <w:numFmt w:val="bullet"/>
      <w:lvlText w:val="•"/>
      <w:lvlJc w:val="left"/>
      <w:pPr>
        <w:ind w:left="1080" w:hanging="720"/>
      </w:pPr>
      <w:rPr>
        <w:rFonts w:ascii="Times New Roman" w:eastAsia="Times New Roman" w:hAnsi="Times New Roman" w:cs="Times New Roman" w:hint="default"/>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289C1548"/>
    <w:multiLevelType w:val="hybridMultilevel"/>
    <w:tmpl w:val="2CE24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D41042"/>
    <w:multiLevelType w:val="hybridMultilevel"/>
    <w:tmpl w:val="B00080DC"/>
    <w:lvl w:ilvl="0" w:tplc="4B0A435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D7E5D12"/>
    <w:multiLevelType w:val="hybridMultilevel"/>
    <w:tmpl w:val="8D72C374"/>
    <w:lvl w:ilvl="0" w:tplc="4B0A435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EC3A40"/>
    <w:multiLevelType w:val="hybridMultilevel"/>
    <w:tmpl w:val="BEC06A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43A136E9"/>
    <w:multiLevelType w:val="hybridMultilevel"/>
    <w:tmpl w:val="6C7436F2"/>
    <w:lvl w:ilvl="0" w:tplc="4B0A435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6125589"/>
    <w:multiLevelType w:val="hybridMultilevel"/>
    <w:tmpl w:val="10448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742052D"/>
    <w:multiLevelType w:val="hybridMultilevel"/>
    <w:tmpl w:val="5ECAD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0AD339A"/>
    <w:multiLevelType w:val="hybridMultilevel"/>
    <w:tmpl w:val="9DA2F80C"/>
    <w:lvl w:ilvl="0" w:tplc="9E36EBD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30E0AB9"/>
    <w:multiLevelType w:val="hybridMultilevel"/>
    <w:tmpl w:val="4EAA295C"/>
    <w:lvl w:ilvl="0" w:tplc="080C0005">
      <w:start w:val="1"/>
      <w:numFmt w:val="bullet"/>
      <w:lvlText w:val=""/>
      <w:lvlJc w:val="left"/>
      <w:pPr>
        <w:ind w:left="720" w:hanging="360"/>
      </w:pPr>
      <w:rPr>
        <w:rFonts w:ascii="Wingdings" w:hAnsi="Wingdings" w:hint="default"/>
      </w:rPr>
    </w:lvl>
    <w:lvl w:ilvl="1" w:tplc="353E04B2">
      <w:numFmt w:val="bullet"/>
      <w:lvlText w:val="-"/>
      <w:lvlJc w:val="left"/>
      <w:pPr>
        <w:ind w:left="1440" w:hanging="360"/>
      </w:pPr>
      <w:rPr>
        <w:rFonts w:ascii="Times New Roman" w:eastAsia="Times New Roman" w:hAnsi="Times New Roman"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58335E64"/>
    <w:multiLevelType w:val="hybridMultilevel"/>
    <w:tmpl w:val="FE4AF858"/>
    <w:lvl w:ilvl="0" w:tplc="9E36EBD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B6456E9"/>
    <w:multiLevelType w:val="hybridMultilevel"/>
    <w:tmpl w:val="A1CC8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DC33CC8"/>
    <w:multiLevelType w:val="hybridMultilevel"/>
    <w:tmpl w:val="0F940E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E7D1FED"/>
    <w:multiLevelType w:val="hybridMultilevel"/>
    <w:tmpl w:val="E9027C4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2C97F77"/>
    <w:multiLevelType w:val="hybridMultilevel"/>
    <w:tmpl w:val="A2EE0F94"/>
    <w:lvl w:ilvl="0" w:tplc="4B0A435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5634FA5"/>
    <w:multiLevelType w:val="hybridMultilevel"/>
    <w:tmpl w:val="F58CC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574533C"/>
    <w:multiLevelType w:val="hybridMultilevel"/>
    <w:tmpl w:val="B99E6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C957211"/>
    <w:multiLevelType w:val="hybridMultilevel"/>
    <w:tmpl w:val="9D2C2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DE41773"/>
    <w:multiLevelType w:val="hybridMultilevel"/>
    <w:tmpl w:val="97726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E0C155C"/>
    <w:multiLevelType w:val="hybridMultilevel"/>
    <w:tmpl w:val="3B048964"/>
    <w:lvl w:ilvl="0" w:tplc="4B0A435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7E30BB1"/>
    <w:multiLevelType w:val="hybridMultilevel"/>
    <w:tmpl w:val="758E5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16"/>
  </w:num>
  <w:num w:numId="4">
    <w:abstractNumId w:val="6"/>
  </w:num>
  <w:num w:numId="5">
    <w:abstractNumId w:val="0"/>
  </w:num>
  <w:num w:numId="6">
    <w:abstractNumId w:val="18"/>
  </w:num>
  <w:num w:numId="7">
    <w:abstractNumId w:val="2"/>
  </w:num>
  <w:num w:numId="8">
    <w:abstractNumId w:val="12"/>
  </w:num>
  <w:num w:numId="9">
    <w:abstractNumId w:val="9"/>
  </w:num>
  <w:num w:numId="10">
    <w:abstractNumId w:val="25"/>
  </w:num>
  <w:num w:numId="11">
    <w:abstractNumId w:val="15"/>
  </w:num>
  <w:num w:numId="12">
    <w:abstractNumId w:val="1"/>
  </w:num>
  <w:num w:numId="13">
    <w:abstractNumId w:val="13"/>
  </w:num>
  <w:num w:numId="14">
    <w:abstractNumId w:val="7"/>
  </w:num>
  <w:num w:numId="15">
    <w:abstractNumId w:val="8"/>
  </w:num>
  <w:num w:numId="16">
    <w:abstractNumId w:val="10"/>
  </w:num>
  <w:num w:numId="17">
    <w:abstractNumId w:val="24"/>
  </w:num>
  <w:num w:numId="18">
    <w:abstractNumId w:val="19"/>
  </w:num>
  <w:num w:numId="19">
    <w:abstractNumId w:val="20"/>
  </w:num>
  <w:num w:numId="20">
    <w:abstractNumId w:val="22"/>
  </w:num>
  <w:num w:numId="21">
    <w:abstractNumId w:val="4"/>
  </w:num>
  <w:num w:numId="22">
    <w:abstractNumId w:val="14"/>
  </w:num>
  <w:num w:numId="23">
    <w:abstractNumId w:val="3"/>
  </w:num>
  <w:num w:numId="24">
    <w:abstractNumId w:val="5"/>
  </w:num>
  <w:num w:numId="25">
    <w:abstractNumId w:val="2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removePersonalInformation/>
  <w:removeDateAndTime/>
  <w:hideSpellingErrors/>
  <w:hideGrammaticalErrors/>
  <w:defaultTabStop w:val="720"/>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ACCOMPAGNANT.CP" w:val="tad-"/>
    <w:docVar w:name="LW_ANNEX_NBR_FIRST" w:val="3"/>
    <w:docVar w:name="LW_ANNEX_NBR_LAST" w:val="3"/>
    <w:docVar w:name="LW_CONFIDENCE" w:val=" "/>
    <w:docVar w:name="LW_CONST_RESTREINT_UE" w:val="RESTREINT UE/EU RESTRICTED"/>
    <w:docVar w:name="LW_CORRIGENDUM" w:val="&lt;UNUSED&gt;"/>
    <w:docVar w:name="LW_COVERPAGE_GUID" w:val="CFA36B1527A04B3CB39B7C74E0DC1919"/>
    <w:docVar w:name="LW_CROSSREFERENCE" w:val="&lt;UNUSED&gt;"/>
    <w:docVar w:name="LW_DocType" w:val="NORMAL"/>
    <w:docVar w:name="LW_EMISSION" w:val="31.5.2017"/>
    <w:docVar w:name="LW_EMISSION_ISODATE" w:val="2017-05-31"/>
    <w:docVar w:name="LW_EMISSION_LOCATION" w:val="BRX"/>
    <w:docVar w:name="LW_EMISSION_PREFIX" w:val="Brussell, "/>
    <w:docVar w:name="LW_EMISSION_SUFFIX" w:val=" "/>
    <w:docVar w:name="LW_ID_DOCTYPE_NONLW" w:val="CP-039"/>
    <w:docVar w:name="LW_LANGUE" w:val="MT"/>
    <w:docVar w:name="LW_MARKING" w:val="&lt;UNUSED&gt;"/>
    <w:docVar w:name="LW_NOM.INST" w:val="IL-KUMMISSJONI EWROPEA"/>
    <w:docVar w:name="LW_NOM.INST_JOINTDOC" w:val="&lt;EMPTY&gt;"/>
    <w:docVar w:name="LW_OBJETACTEPRINCIPAL.CP" w:val="DWAR L-APPROFONDIMENT TAL-UNJONI EKONOMIKA U MONETARJA"/>
    <w:docVar w:name="LW_PART_NBR" w:val="1"/>
    <w:docVar w:name="LW_PART_NBR_TOTAL" w:val="1"/>
    <w:docVar w:name="LW_REF.INST.NEW" w:val="COM"/>
    <w:docVar w:name="LW_REF.INST.NEW_ADOPTED" w:val="final"/>
    <w:docVar w:name="LW_REF.INST.NEW_TEXT" w:val="(2017) 291"/>
    <w:docVar w:name="LW_REF.INTERNE" w:val="&lt;UNUSED&gt;"/>
    <w:docVar w:name="LW_SUPERTITRE" w:val="&lt;UNUSED&gt;"/>
    <w:docVar w:name="LW_TITRE.OBJ.CP" w:val="&lt;UNUSED&gt;"/>
    <w:docVar w:name="LW_TYPE.DOC.CP" w:val="ANNESS_x000b_"/>
    <w:docVar w:name="LW_TYPEACTEPRINCIPAL.CP" w:val="DOKUMENT TA' RIFLESSJONI"/>
  </w:docVars>
  <w:rsids>
    <w:rsidRoot w:val="00BE5F4F"/>
    <w:rsid w:val="007B5290"/>
    <w:rsid w:val="008F6D8A"/>
    <w:rsid w:val="00BE5F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t-MT" w:eastAsia="mt-MT" w:bidi="mt-M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 TOC,Dot pt,F5 List Paragraph,List Paragraph1,Paragraphe EI,Paragraphe de liste1,EC,Paragraphe de liste2,Colorful List Accent 1,Issue Action POC,3,POCG Table Text,List Paragraph Char Char Char,Indicator Text,L"/>
    <w:basedOn w:val="Normal"/>
    <w:link w:val="ListParagraphChar"/>
    <w:uiPriority w:val="34"/>
    <w:qFormat/>
    <w:pPr>
      <w:ind w:left="720"/>
      <w:contextualSpacing/>
    </w:pPr>
  </w:style>
  <w:style w:type="paragraph" w:styleId="FootnoteText">
    <w:name w:val="footnote text"/>
    <w:aliases w:val="Footnote Text Char1,Footnote Text Char2 Char,Footnote Text Char1 Char1 Char,Footnote Text Char2 Char Char Char,Footnote Text Char1 Char1 Char Char Char,Footnote Text Char Char Char1 Char Char Char,Footnote Text Char2,Plonk,fn,o"/>
    <w:basedOn w:val="Normal"/>
    <w:link w:val="FootnoteTextChar"/>
    <w:unhideWhenUsed/>
    <w:qFormat/>
    <w:pPr>
      <w:spacing w:after="0" w:line="240" w:lineRule="auto"/>
    </w:pPr>
    <w:rPr>
      <w:sz w:val="20"/>
      <w:szCs w:val="20"/>
    </w:rPr>
  </w:style>
  <w:style w:type="character" w:customStyle="1" w:styleId="FootnoteTextChar">
    <w:name w:val="Footnote Text Char"/>
    <w:aliases w:val="Footnote Text Char1 Char,Footnote Text Char2 Char Char,Footnote Text Char1 Char1 Char Char,Footnote Text Char2 Char Char Char Char,Footnote Text Char1 Char1 Char Char Char Char,Footnote Text Char Char Char1 Char Char Char Char,fn Char"/>
    <w:basedOn w:val="DefaultParagraphFont"/>
    <w:link w:val="FootnoteText"/>
    <w:rPr>
      <w:sz w:val="20"/>
      <w:szCs w:val="20"/>
    </w:rPr>
  </w:style>
  <w:style w:type="character" w:styleId="FootnoteReference">
    <w:name w:val="footnote reference"/>
    <w:aliases w:val="Footnote Reference Number,Footnote Reference_LVL6,Footnote Reference_LVL61,Footnote Reference_LVL62,Footnote Reference_LVL63,Footnote Reference_LVL64,Footnote Reference_LVL65,Footnote Reference1,Char1,Ref,de nota al pie, Char1,Ch"/>
    <w:basedOn w:val="DefaultParagraphFont"/>
    <w:link w:val="16Point"/>
    <w:uiPriority w:val="99"/>
    <w:unhideWhenUsed/>
    <w:qFormat/>
    <w:rPr>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customStyle="1" w:styleId="ListParagraphChar">
    <w:name w:val="List Paragraph Char"/>
    <w:aliases w:val="No TOC Char,Dot pt Char,F5 List Paragraph Char,List Paragraph1 Char,Paragraphe EI Char,Paragraphe de liste1 Char,EC Char,Paragraphe de liste2 Char,Colorful List Accent 1 Char,Issue Action POC Char,3 Char,POCG Table Text Char,L Char"/>
    <w:link w:val="ListParagraph"/>
    <w:uiPriority w:val="34"/>
    <w:qFormat/>
    <w:lock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6Point">
    <w:name w:val="16 Point"/>
    <w:aliases w:val="Superscript 6 Point,Times 10 Point,Exposant 3 Point,Footnote reference number,Odwołanie przypisu,number,SUPERS,footnote ref,2001+ Fußnotenzeichen, Exposant 3 Point"/>
    <w:basedOn w:val="Normal"/>
    <w:link w:val="FootnoteReference"/>
    <w:uiPriority w:val="99"/>
    <w:pPr>
      <w:spacing w:after="160" w:line="240" w:lineRule="exact"/>
      <w:jc w:val="both"/>
    </w:pPr>
    <w:rPr>
      <w:vertAlign w:val="superscript"/>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000FF"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pPr>
      <w:spacing w:after="100"/>
      <w:ind w:left="220"/>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eastAsia="Times New Roman" w:hAnsi="Times New Roman" w:cs="Times New Roman"/>
      <w:color w:val="365F91" w:themeColor="accent1" w:themeShade="BF"/>
      <w:sz w:val="24"/>
      <w:szCs w:val="24"/>
    </w:rPr>
  </w:style>
  <w:style w:type="character" w:customStyle="1" w:styleId="FooterCoverPageChar">
    <w:name w:val="Footer Cover Page Char"/>
    <w:basedOn w:val="Heading1Char"/>
    <w:link w:val="FooterCoverPage"/>
    <w:rPr>
      <w:rFonts w:ascii="Times New Roman" w:eastAsia="Times New Roman" w:hAnsi="Times New Roman" w:cs="Times New Roman"/>
      <w:b w:val="0"/>
      <w:bCs w:val="0"/>
      <w:color w:val="365F91" w:themeColor="accent1" w:themeShade="BF"/>
      <w:sz w:val="24"/>
      <w:szCs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eastAsia="Times New Roman" w:hAnsi="Times New Roman" w:cs="Times New Roman"/>
      <w:color w:val="365F91" w:themeColor="accent1" w:themeShade="BF"/>
      <w:sz w:val="24"/>
      <w:szCs w:val="24"/>
    </w:rPr>
  </w:style>
  <w:style w:type="character" w:customStyle="1" w:styleId="HeaderCoverPageChar">
    <w:name w:val="Header Cover Page Char"/>
    <w:basedOn w:val="Heading1Char"/>
    <w:link w:val="HeaderCoverPage"/>
    <w:rPr>
      <w:rFonts w:ascii="Times New Roman" w:eastAsia="Times New Roman" w:hAnsi="Times New Roman" w:cs="Times New Roman"/>
      <w:b w:val="0"/>
      <w:bCs w:val="0"/>
      <w:color w:val="365F91" w:themeColor="accent1" w:themeShade="B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t-MT" w:eastAsia="mt-MT" w:bidi="mt-M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 TOC,Dot pt,F5 List Paragraph,List Paragraph1,Paragraphe EI,Paragraphe de liste1,EC,Paragraphe de liste2,Colorful List Accent 1,Issue Action POC,3,POCG Table Text,List Paragraph Char Char Char,Indicator Text,L"/>
    <w:basedOn w:val="Normal"/>
    <w:link w:val="ListParagraphChar"/>
    <w:uiPriority w:val="34"/>
    <w:qFormat/>
    <w:pPr>
      <w:ind w:left="720"/>
      <w:contextualSpacing/>
    </w:pPr>
  </w:style>
  <w:style w:type="paragraph" w:styleId="FootnoteText">
    <w:name w:val="footnote text"/>
    <w:aliases w:val="Footnote Text Char1,Footnote Text Char2 Char,Footnote Text Char1 Char1 Char,Footnote Text Char2 Char Char Char,Footnote Text Char1 Char1 Char Char Char,Footnote Text Char Char Char1 Char Char Char,Footnote Text Char2,Plonk,fn,o"/>
    <w:basedOn w:val="Normal"/>
    <w:link w:val="FootnoteTextChar"/>
    <w:unhideWhenUsed/>
    <w:qFormat/>
    <w:pPr>
      <w:spacing w:after="0" w:line="240" w:lineRule="auto"/>
    </w:pPr>
    <w:rPr>
      <w:sz w:val="20"/>
      <w:szCs w:val="20"/>
    </w:rPr>
  </w:style>
  <w:style w:type="character" w:customStyle="1" w:styleId="FootnoteTextChar">
    <w:name w:val="Footnote Text Char"/>
    <w:aliases w:val="Footnote Text Char1 Char,Footnote Text Char2 Char Char,Footnote Text Char1 Char1 Char Char,Footnote Text Char2 Char Char Char Char,Footnote Text Char1 Char1 Char Char Char Char,Footnote Text Char Char Char1 Char Char Char Char,fn Char"/>
    <w:basedOn w:val="DefaultParagraphFont"/>
    <w:link w:val="FootnoteText"/>
    <w:rPr>
      <w:sz w:val="20"/>
      <w:szCs w:val="20"/>
    </w:rPr>
  </w:style>
  <w:style w:type="character" w:styleId="FootnoteReference">
    <w:name w:val="footnote reference"/>
    <w:aliases w:val="Footnote Reference Number,Footnote Reference_LVL6,Footnote Reference_LVL61,Footnote Reference_LVL62,Footnote Reference_LVL63,Footnote Reference_LVL64,Footnote Reference_LVL65,Footnote Reference1,Char1,Ref,de nota al pie, Char1,Ch"/>
    <w:basedOn w:val="DefaultParagraphFont"/>
    <w:link w:val="16Point"/>
    <w:uiPriority w:val="99"/>
    <w:unhideWhenUsed/>
    <w:qFormat/>
    <w:rPr>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customStyle="1" w:styleId="ListParagraphChar">
    <w:name w:val="List Paragraph Char"/>
    <w:aliases w:val="No TOC Char,Dot pt Char,F5 List Paragraph Char,List Paragraph1 Char,Paragraphe EI Char,Paragraphe de liste1 Char,EC Char,Paragraphe de liste2 Char,Colorful List Accent 1 Char,Issue Action POC Char,3 Char,POCG Table Text Char,L Char"/>
    <w:link w:val="ListParagraph"/>
    <w:uiPriority w:val="34"/>
    <w:qFormat/>
    <w:lock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6Point">
    <w:name w:val="16 Point"/>
    <w:aliases w:val="Superscript 6 Point,Times 10 Point,Exposant 3 Point,Footnote reference number,Odwołanie przypisu,number,SUPERS,footnote ref,2001+ Fußnotenzeichen, Exposant 3 Point"/>
    <w:basedOn w:val="Normal"/>
    <w:link w:val="FootnoteReference"/>
    <w:uiPriority w:val="99"/>
    <w:pPr>
      <w:spacing w:after="160" w:line="240" w:lineRule="exact"/>
      <w:jc w:val="both"/>
    </w:pPr>
    <w:rPr>
      <w:vertAlign w:val="superscript"/>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000FF"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pPr>
      <w:spacing w:after="100"/>
      <w:ind w:left="220"/>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eastAsia="Times New Roman" w:hAnsi="Times New Roman" w:cs="Times New Roman"/>
      <w:color w:val="365F91" w:themeColor="accent1" w:themeShade="BF"/>
      <w:sz w:val="24"/>
      <w:szCs w:val="24"/>
    </w:rPr>
  </w:style>
  <w:style w:type="character" w:customStyle="1" w:styleId="FooterCoverPageChar">
    <w:name w:val="Footer Cover Page Char"/>
    <w:basedOn w:val="Heading1Char"/>
    <w:link w:val="FooterCoverPage"/>
    <w:rPr>
      <w:rFonts w:ascii="Times New Roman" w:eastAsia="Times New Roman" w:hAnsi="Times New Roman" w:cs="Times New Roman"/>
      <w:b w:val="0"/>
      <w:bCs w:val="0"/>
      <w:color w:val="365F91" w:themeColor="accent1" w:themeShade="BF"/>
      <w:sz w:val="24"/>
      <w:szCs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eastAsia="Times New Roman" w:hAnsi="Times New Roman" w:cs="Times New Roman"/>
      <w:color w:val="365F91" w:themeColor="accent1" w:themeShade="BF"/>
      <w:sz w:val="24"/>
      <w:szCs w:val="24"/>
    </w:rPr>
  </w:style>
  <w:style w:type="character" w:customStyle="1" w:styleId="HeaderCoverPageChar">
    <w:name w:val="Header Cover Page Char"/>
    <w:basedOn w:val="Heading1Char"/>
    <w:link w:val="HeaderCoverPage"/>
    <w:rPr>
      <w:rFonts w:ascii="Times New Roman" w:eastAsia="Times New Roman" w:hAnsi="Times New Roman" w:cs="Times New Roman"/>
      <w:b w:val="0"/>
      <w:bCs w:val="0"/>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370237">
      <w:bodyDiv w:val="1"/>
      <w:marLeft w:val="0"/>
      <w:marRight w:val="0"/>
      <w:marTop w:val="0"/>
      <w:marBottom w:val="0"/>
      <w:divBdr>
        <w:top w:val="none" w:sz="0" w:space="0" w:color="auto"/>
        <w:left w:val="none" w:sz="0" w:space="0" w:color="auto"/>
        <w:bottom w:val="none" w:sz="0" w:space="0" w:color="auto"/>
        <w:right w:val="none" w:sz="0" w:space="0" w:color="auto"/>
      </w:divBdr>
    </w:div>
    <w:div w:id="1557473489">
      <w:bodyDiv w:val="1"/>
      <w:marLeft w:val="0"/>
      <w:marRight w:val="0"/>
      <w:marTop w:val="0"/>
      <w:marBottom w:val="0"/>
      <w:divBdr>
        <w:top w:val="none" w:sz="0" w:space="0" w:color="auto"/>
        <w:left w:val="none" w:sz="0" w:space="0" w:color="auto"/>
        <w:bottom w:val="none" w:sz="0" w:space="0" w:color="auto"/>
        <w:right w:val="none" w:sz="0" w:space="0" w:color="auto"/>
      </w:divBdr>
    </w:div>
    <w:div w:id="1569610256">
      <w:bodyDiv w:val="1"/>
      <w:marLeft w:val="0"/>
      <w:marRight w:val="0"/>
      <w:marTop w:val="0"/>
      <w:marBottom w:val="0"/>
      <w:divBdr>
        <w:top w:val="none" w:sz="0" w:space="0" w:color="auto"/>
        <w:left w:val="none" w:sz="0" w:space="0" w:color="auto"/>
        <w:bottom w:val="none" w:sz="0" w:space="0" w:color="auto"/>
        <w:right w:val="none" w:sz="0" w:space="0" w:color="auto"/>
      </w:divBdr>
    </w:div>
    <w:div w:id="206571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0.png"/><Relationship Id="rId32" Type="http://schemas.openxmlformats.org/officeDocument/2006/relationships/theme" Target="theme/theme1.xml"/><Relationship Id="rId110"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9.png"/><Relationship Id="rId28" Type="http://schemas.openxmlformats.org/officeDocument/2006/relationships/footer" Target="footer5.xml"/><Relationship Id="rId10" Type="http://schemas.openxmlformats.org/officeDocument/2006/relationships/header" Target="header1.xml"/><Relationship Id="rId19" Type="http://schemas.openxmlformats.org/officeDocument/2006/relationships/image" Target="media/image5.pn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image" Target="media/image8.png"/><Relationship Id="rId27" Type="http://schemas.openxmlformats.org/officeDocument/2006/relationships/footer" Target="footer4.xml"/><Relationship Id="rId30"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FB920-A81A-4152-BAF9-6A2B77FEF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532</Words>
  <Characters>3019</Characters>
  <Application>Microsoft Office Word</Application>
  <DocSecurity>0</DocSecurity>
  <Lines>47</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2017-05-24T08:36:00Z</dcterms:created>
  <dcterms:modified xsi:type="dcterms:W3CDTF">2017-05-31T17:39:00Z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st annex">
    <vt:lpwstr>3</vt:lpwstr>
  </property>
  <property fmtid="{D5CDD505-2E9C-101B-9397-08002B2CF9AE}" pid="3" name="Last annex">
    <vt:lpwstr>3</vt:lpwstr>
  </property>
  <property fmtid="{D5CDD505-2E9C-101B-9397-08002B2CF9AE}" pid="4" name="Part">
    <vt:lpwstr>1</vt:lpwstr>
  </property>
  <property fmtid="{D5CDD505-2E9C-101B-9397-08002B2CF9AE}" pid="5" name="Total parts">
    <vt:lpwstr>1</vt:lpwstr>
  </property>
  <property fmtid="{D5CDD505-2E9C-101B-9397-08002B2CF9AE}" pid="6" name="Classification">
    <vt:lpwstr> </vt:lpwstr>
  </property>
  <property fmtid="{D5CDD505-2E9C-101B-9397-08002B2CF9AE}" pid="7" name="DocStatus">
    <vt:lpwstr>Green</vt:lpwstr>
  </property>
</Properties>
</file>