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7234120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C39CA89C3F441994EDF9190D62E1BC" style="width:450.6pt;height:334.2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spacing w:before="120" w:after="200"/>
        <w:rPr>
          <w:rFonts w:ascii="Times New Roman" w:hAnsi="Times New Roman" w:cs="Times New Roman"/>
          <w:noProof/>
          <w:color w:val="auto"/>
          <w:sz w:val="24"/>
          <w:szCs w:val="24"/>
        </w:rPr>
      </w:pPr>
      <w:bookmarkStart w:id="2" w:name="_GoBack"/>
      <w:bookmarkEnd w:id="2"/>
      <w:r>
        <w:rPr>
          <w:rFonts w:ascii="Times New Roman" w:hAnsi="Times New Roman"/>
          <w:noProof/>
          <w:color w:val="auto"/>
          <w:sz w:val="24"/>
        </w:rPr>
        <w:lastRenderedPageBreak/>
        <w:t>1.</w:t>
      </w:r>
      <w:r>
        <w:rPr>
          <w:noProof/>
        </w:rPr>
        <w:tab/>
      </w:r>
      <w:r>
        <w:rPr>
          <w:rFonts w:ascii="Times New Roman" w:hAnsi="Times New Roman"/>
          <w:noProof/>
          <w:color w:val="auto"/>
          <w:sz w:val="24"/>
        </w:rPr>
        <w:t>ΝΕΑ ΩΘΗΣΗ ΓΙΑ ΤΗΝ ΤΡΙΤΟΒΑΘΜΙΑ ΕΚΠΑΙΔΕΥΣΗ</w:t>
      </w:r>
      <w:bookmarkEnd w:id="0"/>
      <w:r>
        <w:rPr>
          <w:rFonts w:ascii="Times New Roman" w:hAnsi="Times New Roman"/>
          <w:noProof/>
          <w:color w:val="auto"/>
          <w:sz w:val="24"/>
        </w:rPr>
        <w:t xml:space="preserve"> ΣΤΗΝ ΕΕ</w:t>
      </w: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Ένα νέο ευρωπαϊκό θεματολόγιο για την τριτοβάθμια εκπαίδευση...</w:t>
      </w:r>
    </w:p>
    <w:p>
      <w:pPr>
        <w:pStyle w:val="ListParagraph"/>
        <w:ind w:left="0"/>
        <w:jc w:val="both"/>
        <w:rPr>
          <w:rFonts w:ascii="Times New Roman" w:hAnsi="Times New Roman" w:cs="Times New Roman"/>
          <w:noProof/>
          <w:sz w:val="24"/>
          <w:szCs w:val="24"/>
        </w:rPr>
      </w:pPr>
      <w:r>
        <w:rPr>
          <w:rFonts w:ascii="Times New Roman" w:hAnsi="Times New Roman"/>
          <w:noProof/>
          <w:sz w:val="24"/>
        </w:rPr>
        <w:t>Η επιτυχία του ευρωπαϊκού εγχειρήματος εξαρτάται από την ικανότητα της ΕΕ να οικοδομήσει ένα καλύτερο μέλλον για τους ευρωπαίους πολίτες. Αυτό είναι το βασικό μήνυμα της Λευκής Βίβλου της Επιτροπής για το Μέλλον της Ευρώπης</w:t>
      </w:r>
      <w:r>
        <w:rPr>
          <w:rStyle w:val="FootnoteReference"/>
          <w:rFonts w:ascii="Times New Roman" w:hAnsi="Times New Roman"/>
          <w:noProof/>
          <w:sz w:val="24"/>
        </w:rPr>
        <w:footnoteReference w:id="1"/>
      </w:r>
      <w:r>
        <w:rPr>
          <w:noProof/>
        </w:rPr>
        <w:t>.</w:t>
      </w:r>
      <w:r>
        <w:rPr>
          <w:rFonts w:ascii="Times New Roman" w:hAnsi="Times New Roman"/>
          <w:noProof/>
          <w:sz w:val="24"/>
        </w:rPr>
        <w:t xml:space="preserve"> Το μήνυμα αυτό βρίσκεται, επίσης, στο επίκεντρο της πρωτοβουλίας «Επένδυση στη νεολαία της Ευρώπης»</w:t>
      </w:r>
      <w:r>
        <w:rPr>
          <w:rStyle w:val="FootnoteReference"/>
          <w:rFonts w:ascii="Times New Roman" w:hAnsi="Times New Roman"/>
          <w:noProof/>
          <w:sz w:val="24"/>
        </w:rPr>
        <w:footnoteReference w:id="2"/>
      </w:r>
      <w:r>
        <w:rPr>
          <w:rFonts w:ascii="Times New Roman" w:hAnsi="Times New Roman"/>
          <w:noProof/>
          <w:sz w:val="24"/>
        </w:rPr>
        <w:t xml:space="preserve"> και της νέας ατζέντας δεξιοτήτων για την Ευρώπη</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Καθίσταται σαφές ότι τα αποτελεσματικά συστήματα εκπαίδευσης και κατάρτισης αποτελούν το θεμέλιο δίκαιων, ανοικτών και δημοκρατικών κοινωνιών και βιώσιμης οικονομικής ανάπτυξης και απασχόλησης. Ο πυλώνας της ΕΕ για τα κοινωνικά δικαιώματα</w:t>
      </w:r>
      <w:r>
        <w:rPr>
          <w:rStyle w:val="FootnoteReference"/>
          <w:rFonts w:ascii="Times New Roman" w:hAnsi="Times New Roman"/>
          <w:noProof/>
          <w:sz w:val="24"/>
        </w:rPr>
        <w:footnoteReference w:id="4"/>
      </w:r>
      <w:r>
        <w:rPr>
          <w:rFonts w:ascii="Times New Roman" w:hAnsi="Times New Roman"/>
          <w:noProof/>
          <w:sz w:val="24"/>
        </w:rPr>
        <w:t xml:space="preserve"> και το πρόσφατο έγγραφο προβληματισμού για την τιθάσευση της παγκοσμιοποίησης</w:t>
      </w:r>
      <w:r>
        <w:rPr>
          <w:rStyle w:val="FootnoteReference"/>
          <w:rFonts w:ascii="Times New Roman" w:hAnsi="Times New Roman"/>
          <w:noProof/>
          <w:sz w:val="24"/>
        </w:rPr>
        <w:footnoteReference w:id="5"/>
      </w:r>
      <w:r>
        <w:rPr>
          <w:rFonts w:ascii="Times New Roman" w:hAnsi="Times New Roman"/>
          <w:noProof/>
          <w:sz w:val="24"/>
        </w:rPr>
        <w:t xml:space="preserve"> αναγνωρίζουν την εκπαίδευση και τις δεξιότητες ως προτεραιότητα για την ευρωπαϊκή συνεργασία.</w:t>
      </w:r>
    </w:p>
    <w:p>
      <w:pPr>
        <w:pStyle w:val="ListParagraph"/>
        <w:ind w:left="0"/>
        <w:jc w:val="both"/>
        <w:rPr>
          <w:rFonts w:ascii="Times New Roman" w:hAnsi="Times New Roman" w:cs="Times New Roman"/>
          <w:noProof/>
          <w:sz w:val="24"/>
          <w:szCs w:val="24"/>
        </w:rPr>
      </w:pPr>
      <w:r>
        <w:rPr>
          <w:rFonts w:ascii="Times New Roman" w:hAnsi="Times New Roman"/>
          <w:noProof/>
          <w:sz w:val="24"/>
        </w:rPr>
        <w:t>Η τριτοβάθμια εκπαίδευση διαδραματίζει μοναδικό ρόλο. Η ζήτηση για άτομα με υψηλή ειδίκευση και κοινωνική δράση αυξάνεται αλλά και μεταβάλλεται. Για την περίοδο μέχρι το 2025, προβλέπεται ότι για το ήμισυ όλων των θέσεων απασχόλησης θα απαιτούνται προσόντα υψηλού επιπέδου. Ελλείψεις δεξιοτήτων υψηλού επιπέδου ήδη υπάρχουν. Λόγω της ψηφιακής τεχνολογίας, οι θέσεις εργασίας γίνονται όλο και πιο ευέλικτες και σύνθετες. Οι ικανότητες των ατόμων να αποκτήσουν επιχειρηματικό πνεύμα, να διαχειρίζονται σύνθετες πληροφορίες, να σκέφτονται αυτόνομα και δημιουργικά, να αξιοποιούν έξυπνα τους πόρους, συμπεριλαμβανομένων των ψηφιακών, να επικοινωνούν αποτελεσματικά και να είναι ανθεκτικά είναι πιο σημαντικές από ποτέ. Η Ευρώπη χρειάζεται, επίσης, περισσότερα άτομα υψηλών επιδόσεων, που θα μπορούν να αναπτύξουν τις τεχνολογίες αιχμής και τις λύσεις από τις οποίες εξαρτάται η μελλοντική μας ευημερία. Παράλληλα, η αντιμετώπιση της αναπτυσσόμενης πόλωσης των κοινωνιών μας και της δυσπιστίας προς τα θεσμικά δημοκρατικά όργανα απαιτεί από όλους - συμπεριλαμβανομένων του προσωπικού και των φοιτητών της τριτοβάθμιας εκπαίδευσης - να συμμετέχουν πιο ενεργά στις τοπικές τους κοινότητες και στην προώθηση της κοινωνικής ένταξης και της κινητικότητας.</w:t>
      </w:r>
    </w:p>
    <w:p>
      <w:pPr>
        <w:pStyle w:val="ListParagraph"/>
        <w:ind w:left="0"/>
        <w:jc w:val="both"/>
        <w:rPr>
          <w:rFonts w:ascii="Times New Roman" w:hAnsi="Times New Roman" w:cs="Times New Roman"/>
          <w:noProof/>
          <w:sz w:val="24"/>
          <w:szCs w:val="24"/>
        </w:rPr>
      </w:pPr>
      <w:r>
        <w:rPr>
          <w:rFonts w:ascii="Times New Roman" w:hAnsi="Times New Roman"/>
          <w:noProof/>
          <w:sz w:val="24"/>
        </w:rPr>
        <w:t>Χωρίς ιδρύματα και συστήματα τριτοβάθμιας εκπαίδευσης (ΙΤΕ) που να είναι αποτελεσματικά στους τομείς της εκπαίδευσης, της έρευνας και της καινοτομίας και να συνδέονται με τις κοινωνίες, η Ευρώπη δεν μπορεί να αποκριθεί σε αυτές τις προκλήσεις. Η μεταρρύθμιση της τριτοβάθμιας εκπαίδευσης αποτελεί αρμοδιότητα των κρατών μελών και μέρος των προσπαθειών τους να αναπτύξουν παγκοσμίου κύρους εκπαίδευση και κατάρτιση. Η ΕΕ μπορεί να βοηθήσει τα κράτη μέλη στις προσπάθειές τους για εκπαιδευτική μεταρρύθμιση. Η ανανεωμένη αυτή ατζέντα για την τριτοβάθμια εκπαίδευση</w:t>
      </w:r>
      <w:r>
        <w:rPr>
          <w:rStyle w:val="FootnoteReference"/>
          <w:rFonts w:ascii="Times New Roman" w:hAnsi="Times New Roman"/>
          <w:noProof/>
          <w:sz w:val="24"/>
        </w:rPr>
        <w:footnoteReference w:id="6"/>
      </w:r>
      <w:r>
        <w:rPr>
          <w:rFonts w:ascii="Times New Roman" w:hAnsi="Times New Roman"/>
          <w:noProof/>
          <w:sz w:val="24"/>
        </w:rPr>
        <w:t xml:space="preserve"> αποσκοπεί να διασφαλίσει ότι οι πρωτοβουλίες της ΕΕ για την υποστήριξη του εκσυγχρονισμού της τριτοβάθμιας εκπαίδευσης εστιάζονται σε ουσιώδη ζητήματα και ότι, παράλληλα, συμβάλλουν στην προετοιμασία για την επόμενη περίοδο ευρωπαϊκής χρηματοδότησης.</w:t>
      </w: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...που βασίζεται σε εργασίες που έχουν ήδη πραγματοποιηθεί...</w:t>
      </w:r>
    </w:p>
    <w:p>
      <w:pPr>
        <w:pStyle w:val="ListParagraph"/>
        <w:ind w:left="0"/>
        <w:jc w:val="both"/>
        <w:rPr>
          <w:rFonts w:ascii="Times New Roman" w:hAnsi="Times New Roman" w:cs="Times New Roman"/>
          <w:noProof/>
          <w:sz w:val="24"/>
          <w:szCs w:val="24"/>
        </w:rPr>
      </w:pPr>
      <w:r>
        <w:rPr>
          <w:rFonts w:ascii="Times New Roman" w:hAnsi="Times New Roman"/>
          <w:noProof/>
          <w:sz w:val="24"/>
        </w:rPr>
        <w:t>Η ΕΕ διαθέτει επιτυχή προϊστορία όσον αφορά τη στήριξη της τριτοβάθμιας εκπαίδευσης μέσω προγραμμάτων πολιτικής συνεργασίας και χρηματοδότησης. Το Ευρωπαϊκό Εξάμηνο αποτελεί καθοριστική κινητήρια δύναμη της μεταρρύθμισης, και συγκεκριμένα μέσω ειδικών ανά χώρα συστάσεων που σχετίζονται με την εκπαίδευση. Ως μέρος της στρατηγικής «Ευρώπη 2020» και του στρατηγικού πλαισίου για την ευρωπαϊκή συνεργασία στον τομέα της εκπαίδευσης και της κατάρτισης («ΕΚ 2020»), το Συμβούλιο συμφώνησε ότι το 40 % των νέων θα πρέπει να έχει πτυχίο τριτοβάθμιας εκπαίδευσης ή ισοδύναμο δίπλωμα έως το 2020. Για τη στήριξη αυτού του στόχου, από το 2011 και μετά, το θεματολόγιο για τον εκσυγχρονισμό της τριτοβάθμιας εκπαίδευσης</w:t>
      </w:r>
      <w:r>
        <w:rPr>
          <w:rStyle w:val="FootnoteReference"/>
          <w:rFonts w:ascii="Times New Roman" w:hAnsi="Times New Roman"/>
          <w:noProof/>
          <w:sz w:val="24"/>
        </w:rPr>
        <w:footnoteReference w:id="7"/>
      </w:r>
      <w:r>
        <w:rPr>
          <w:rFonts w:ascii="Times New Roman" w:hAnsi="Times New Roman"/>
          <w:noProof/>
          <w:sz w:val="24"/>
        </w:rPr>
        <w:t xml:space="preserve"> έχει παράσχει στρατηγική καθοδήγηση για τις δραστηριότητες της ΕΕ και των κρατών μελών σχετικά με τα ακόλουθα:</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Καταγραφή των θετικών στοιχείων στην τριτοβάθμια εκπαίδευση</w:t>
      </w:r>
      <w:r>
        <w:rPr>
          <w:rFonts w:ascii="Times New Roman" w:hAnsi="Times New Roman"/>
          <w:noProof/>
          <w:sz w:val="24"/>
        </w:rPr>
        <w:t xml:space="preserve"> (στους τομείς της εκπαίδευσης, της έρευνας, της καινοτομίας και του σχεδιασμού των συστημάτων) μέσω μελετών και ομάδων εμπειρογνωμόνων και μέσω της ανάλυσης και παρακολούθησης σημείων αναφοράς και δεικτών·</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Στήριξη της συνεργασίας, της αμοιβαίας μάθησης και της στοχευμένης παροχής συμβουλών πολιτικής</w:t>
      </w:r>
      <w:r>
        <w:rPr>
          <w:rFonts w:ascii="Times New Roman" w:hAnsi="Times New Roman"/>
          <w:noProof/>
          <w:sz w:val="24"/>
        </w:rPr>
        <w:t xml:space="preserve"> μεταξύ των κυβερνήσεων και των αρχών που είναι αρμόδιες για την τριτοβάθμια εκπαίδευση·</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Ενίσχυση της ικανότητας και των επιδόσεων των ιδρυμάτων τριτοβάθμιας εκπαίδευσης</w:t>
      </w:r>
      <w:r>
        <w:rPr>
          <w:rFonts w:ascii="Times New Roman" w:hAnsi="Times New Roman"/>
          <w:noProof/>
          <w:sz w:val="24"/>
        </w:rPr>
        <w:t xml:space="preserve"> μέσω της χρηματοδότησης καινοτόμων σχεδίων συνεργασίας μεταξύ των ιδρυμάτων και των εταίρων τους (Erasmus +, «Ορίζοντας 2020») και μέσω των ευρωπαϊκών διαρθρωτικών και επενδυτικών ταμείων (ΕΔΕΤ), και επενδύσεις σε υποδομές, εγκαταστάσεις, δεξιότητες και καινοτόμα σχέδια. Τα σχέδια της Ευρωπαϊκής Τράπεζας Επενδύσεων έχουν στηρίξει επίσης τις επενδύσεις σε έργα υποδομών της τριτοβάθμιας εκπαίδευσης, μεταξύ άλλων μέσω του Ευρωπαϊκού Ταμείου Στρατηγικών Επενδύσεων (ΕΤΣΕ)·</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Υποστήριξη της διεθνούς κινητικότητας φοιτητών, εκπαιδευτικού προσωπικού και ερευνητών</w:t>
      </w:r>
      <w:r>
        <w:rPr>
          <w:rFonts w:ascii="Times New Roman" w:hAnsi="Times New Roman"/>
          <w:noProof/>
          <w:sz w:val="24"/>
        </w:rPr>
        <w:t>, ως μέσου για την ανάπτυξη των εμπειριών και των δεξιοτήτων τους (Erasmus + και «Δράσεις Marie Skłodowska-Curie»)· και</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Ενίσχυση της συνεργασίας</w:t>
      </w:r>
      <w:r>
        <w:rPr>
          <w:rFonts w:ascii="Times New Roman" w:hAnsi="Times New Roman"/>
          <w:noProof/>
          <w:sz w:val="24"/>
        </w:rPr>
        <w:t xml:space="preserve"> μεταξύ της τριτοβάθμιας εκπαίδευσης, της έρευνας και των επιχειρήσεων.</w:t>
      </w:r>
      <w:r>
        <w:rPr>
          <w:noProof/>
        </w:rPr>
        <w:t xml:space="preserve"> </w:t>
      </w:r>
    </w:p>
    <w:p>
      <w:pPr>
        <w:pStyle w:val="ListParagraph"/>
        <w:ind w:left="0"/>
        <w:jc w:val="both"/>
        <w:rPr>
          <w:rFonts w:ascii="Times New Roman" w:hAnsi="Times New Roman" w:cs="Times New Roman"/>
          <w:b/>
          <w:i/>
          <w:noProof/>
          <w:sz w:val="24"/>
          <w:szCs w:val="24"/>
        </w:rPr>
      </w:pP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...αλλά επανεστιάζει τις προσπάθειες στις τρέχουσες και τις αναδυόμενες ευκαιρίες και προκλήσεις</w:t>
      </w:r>
    </w:p>
    <w:p>
      <w:pPr>
        <w:pStyle w:val="ListParagraph"/>
        <w:ind w:left="0"/>
        <w:jc w:val="both"/>
        <w:rPr>
          <w:rFonts w:ascii="Times New Roman" w:hAnsi="Times New Roman" w:cs="Times New Roman"/>
          <w:noProof/>
          <w:sz w:val="24"/>
          <w:szCs w:val="24"/>
        </w:rPr>
      </w:pPr>
      <w:r>
        <w:rPr>
          <w:rFonts w:ascii="Times New Roman" w:hAnsi="Times New Roman"/>
          <w:noProof/>
          <w:sz w:val="24"/>
        </w:rPr>
        <w:t>Ο θετικός αντίκτυπος των δραστηριοτήτων της ΕΕ, καθώς και η διεθνής διάσταση που προσδίδουν, έχει αναγνωριστεί από τα κράτη μέλη, τους κοινωνικούς εταίρους και τον τομέα της τριτοβάθμιας εκπαίδευσης. Η ΕΕ βρίσκεται σε καλό δρόμο για την επίτευξη του στόχου του 40 %, αλλά, όπως τονίστηκε στη δημόσια διαβούλευση που πραγματοποιήθηκε το 2016 για τη μελλοντική στήριξη της ΕΕ για την τριτοβάθμια εκπαίδευση</w:t>
      </w:r>
      <w:r>
        <w:rPr>
          <w:rStyle w:val="FootnoteReference"/>
          <w:rFonts w:ascii="Times New Roman" w:hAnsi="Times New Roman"/>
          <w:noProof/>
          <w:sz w:val="24"/>
        </w:rPr>
        <w:footnoteReference w:id="8"/>
      </w:r>
      <w:r>
        <w:rPr>
          <w:rFonts w:ascii="Times New Roman" w:hAnsi="Times New Roman"/>
          <w:noProof/>
          <w:sz w:val="24"/>
        </w:rPr>
        <w:t>, τα συστήματα τριτοβάθμιας εκπαίδευσης της Ευρώπης αντιμετωπίζουν προκλήσεις, μεταξύ των οποίων τις εξής</w:t>
      </w:r>
      <w:r>
        <w:rPr>
          <w:rStyle w:val="FootnoteReference"/>
          <w:rFonts w:ascii="Times New Roman" w:hAnsi="Times New Roman"/>
          <w:noProof/>
          <w:sz w:val="24"/>
        </w:rPr>
        <w:footnoteReference w:id="9"/>
      </w:r>
      <w:r>
        <w:rPr>
          <w:rFonts w:ascii="Times New Roman" w:hAnsi="Times New Roman"/>
          <w:noProof/>
          <w:sz w:val="24"/>
        </w:rPr>
        <w:t>:</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Αναντιστοιχία μεταξύ των δεξιοτήτων που χρειάζεται η Ευρώπη και των δεξιοτήτων που διαθέτει:</w:t>
      </w:r>
      <w:r>
        <w:rPr>
          <w:rFonts w:ascii="Times New Roman" w:hAnsi="Times New Roman"/>
          <w:noProof/>
          <w:sz w:val="24"/>
        </w:rPr>
        <w:t xml:space="preserve"> πολλές χώρες της ΕΕ αντιμετωπίζουν ελλείψεις σε ορισμένα επαγγέλματα υψηλής ειδίκευσης</w:t>
      </w:r>
      <w:r>
        <w:rPr>
          <w:rStyle w:val="FootnoteReference"/>
          <w:rFonts w:ascii="Times New Roman" w:hAnsi="Times New Roman"/>
          <w:noProof/>
          <w:sz w:val="24"/>
        </w:rPr>
        <w:footnoteReference w:id="10"/>
      </w:r>
      <w:r>
        <w:rPr>
          <w:rFonts w:ascii="Times New Roman" w:hAnsi="Times New Roman"/>
          <w:noProof/>
          <w:sz w:val="24"/>
        </w:rPr>
        <w:t>, τόσο από την άποψη των τυπικών προσόντων όσο και της ποιότητας των σχετικών δεξιοτήτων. Ταυτόχρονα, υπάρχει ένας πολύ μεγάλος αριθμός φοιτητών που αποφοιτούν με πολύ περιορισμένες βασικές δεξιότητες (γραμματισμού, αριθμητισμού, ψηφιακού γραμματισμού) και χωρίς το φάσμα των εγκάρσιων δεξιοτήτων (επίλυση προβλημάτων, επικοινωνία, κλπ.) που χρειάζονται για την ανθεκτικότητα σε έναν μεταβαλλόμενο κόσμο.</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Συνεχής και ολοένα αυξανόμενος κοινωνικός διαχωρισμός:</w:t>
      </w:r>
      <w:r>
        <w:rPr>
          <w:rFonts w:ascii="Times New Roman" w:hAnsi="Times New Roman"/>
          <w:noProof/>
          <w:sz w:val="24"/>
        </w:rPr>
        <w:t xml:space="preserve"> τα άτομα που προέρχονται από περιβάλλοντα που μειονεκτούν κοινωνικοοικονομικά και από οικογένειες μεταναστών εξακολουθούν να έχουν πολύ μικρότερες πιθανότητες να εισέλθουν στην τριτοβάθμια εκπαίδευση και να ολοκληρώσουν τις σπουδές τους· οι επιστήμονες και οι απόφοιτοι πανεπιστημίων θεωρούνται πολύ συχνά αποκομμένοι από την υπόλοιπη κοινωνία· και ο διαχωρισμός των φύλων ανά τομέα σπουδών εξακολουθεί να είναι διάχυτος.</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Χάσμα καινοτομίας</w:t>
      </w:r>
      <w:r>
        <w:rPr>
          <w:rFonts w:ascii="Times New Roman" w:hAnsi="Times New Roman"/>
          <w:noProof/>
          <w:sz w:val="24"/>
        </w:rPr>
        <w:t>: τα ιδρύματα τριτοβάθμιας εκπαίδευσης συχνά δεν συμβάλλουν όσο θα έπρεπε στην καινοτομία στην ευρύτερη οικονομία, ιδιαίτερα στις περιφέρειές τους. Οι επιδόσεις της τριτοβάθμιας εκπαίδευσης στον τομέα της καινοτομίας ποικίλλουν σημαντικά μεταξύ των περιφερειών της ΕΕ.</w:t>
      </w:r>
    </w:p>
    <w:p>
      <w:pPr>
        <w:pStyle w:val="ListParagraph"/>
        <w:numPr>
          <w:ilvl w:val="0"/>
          <w:numId w:val="21"/>
        </w:numPr>
        <w:jc w:val="both"/>
        <w:rPr>
          <w:rFonts w:ascii="Times New Roman" w:hAnsi="Times New Roman" w:cs="Times New Roman"/>
          <w:noProof/>
          <w:sz w:val="24"/>
          <w:szCs w:val="24"/>
        </w:rPr>
      </w:pPr>
      <w:r>
        <w:rPr>
          <w:rFonts w:ascii="Times New Roman" w:hAnsi="Times New Roman"/>
          <w:b/>
          <w:noProof/>
          <w:sz w:val="24"/>
        </w:rPr>
        <w:t>Οι διάφορες συνιστώσες των συστημάτων τριτοβάθμιας εκπαίδευσης δεν συνεργάζονται πάντα αρμονικά:</w:t>
      </w:r>
      <w:r>
        <w:rPr>
          <w:rFonts w:ascii="Times New Roman" w:hAnsi="Times New Roman"/>
          <w:noProof/>
          <w:sz w:val="24"/>
        </w:rPr>
        <w:t xml:space="preserve"> οι μηχανισμοί χρηματοδότησης, παροχής κινήτρων και ανταμοιβής στην τριτοβάθμια εκπαίδευση δεν είναι πάντοτε έτσι διαμορφωμένοι ώστε να επιβραβεύουν τις ορθές πρακτικές διδασκαλίας και έρευνας, την καινοτομία, την κοινωνική ένταξη και τη συμμετοχή. Η συνεργασία με σχολεία και παρόχους επαγγελματικής εκπαίδευσης και επιμόρφωσης ενηλίκων είναι συχνά περιορισμένη.</w:t>
      </w:r>
    </w:p>
    <w:p>
      <w:pPr>
        <w:pStyle w:val="Heading1"/>
        <w:spacing w:before="360" w:after="200"/>
        <w:rPr>
          <w:rFonts w:ascii="Times New Roman" w:hAnsi="Times New Roman" w:cs="Times New Roman"/>
          <w:noProof/>
          <w:color w:val="auto"/>
          <w:sz w:val="24"/>
          <w:szCs w:val="24"/>
        </w:rPr>
      </w:pPr>
      <w:bookmarkStart w:id="3" w:name="_Toc472341202"/>
      <w:r>
        <w:rPr>
          <w:rFonts w:ascii="Times New Roman" w:hAnsi="Times New Roman"/>
          <w:noProof/>
          <w:color w:val="auto"/>
          <w:sz w:val="24"/>
        </w:rPr>
        <w:t>2.</w:t>
      </w:r>
      <w:r>
        <w:rPr>
          <w:noProof/>
        </w:rPr>
        <w:tab/>
      </w:r>
      <w:r>
        <w:rPr>
          <w:rFonts w:ascii="Times New Roman" w:hAnsi="Times New Roman"/>
          <w:noProof/>
          <w:color w:val="auto"/>
          <w:sz w:val="24"/>
        </w:rPr>
        <w:t>ΠΡΟΤΕΡΑΙΟΤΗΤΕΣ ΔΡΑΣΗΣ</w:t>
      </w:r>
      <w:bookmarkEnd w:id="3"/>
    </w:p>
    <w:p>
      <w:pPr>
        <w:pStyle w:val="ListParagraph"/>
        <w:ind w:left="0"/>
        <w:jc w:val="both"/>
        <w:rPr>
          <w:rFonts w:ascii="Times New Roman" w:hAnsi="Times New Roman" w:cs="Times New Roman"/>
          <w:noProof/>
          <w:sz w:val="24"/>
          <w:szCs w:val="24"/>
        </w:rPr>
      </w:pPr>
      <w:bookmarkStart w:id="4" w:name="_Toc472341203"/>
      <w:r>
        <w:rPr>
          <w:rFonts w:ascii="Times New Roman" w:hAnsi="Times New Roman"/>
          <w:noProof/>
          <w:sz w:val="24"/>
        </w:rPr>
        <w:t>Έφτασε η στιγμή να δοθεί νέα κατεύθυνση στην υποστήριξη της ΕΕ για την τριτοβάθμια εκπαίδευση. Με τον τρόπο αυτό θα αντιμετωπιστούν οι τέσσερεις προκλήσεις που προαναφέρθηκαν, εστιάζοντας σε τέσσερις προτεραιότητες για δράση με υποστήριξη από τις δραστηριότητες σε επίπεδο ΕΕ:</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Αντιμετώπιση μελλοντικών αναντιστοιχιών δεξιοτήτων και προαγωγή της αριστείας στην ανάπτυξη δεξιοτήτων·</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Δημιουργία συστημάτων τριτοβάθμιας εκπαίδευσης χωρίς αποκλεισμούς και συνδεδεμένων μεταξύ τους·</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Εξασφάλιση της συμμετοχής των ιδρυμάτων τριτοβάθμιας εκπαίδευσης στην καινοτομία·</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Υποστήριξη αποτελεσματικών και αποδοτικών συστημάτων τριτοβάθμιας εκπαίδευσης</w:t>
      </w:r>
      <w:r>
        <w:rPr>
          <w:rStyle w:val="CommentReference"/>
          <w:rFonts w:ascii="Times New Roman" w:hAnsi="Times New Roman"/>
          <w:noProof/>
          <w:sz w:val="24"/>
        </w:rPr>
        <w:t>.</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2.1.</w:t>
      </w:r>
      <w:r>
        <w:rPr>
          <w:noProof/>
        </w:rPr>
        <w:tab/>
      </w:r>
      <w:r>
        <w:rPr>
          <w:rFonts w:ascii="Times New Roman" w:hAnsi="Times New Roman"/>
          <w:noProof/>
          <w:color w:val="auto"/>
          <w:sz w:val="24"/>
        </w:rPr>
        <w:t>Αντιμετώπιση αναντιστοιχιών δεξιοτήτων και προαγωγή της αριστείας στην ανάπτυξη δεξιοτήτων</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Η αντιμετώπιση των αναγκών της Ευρώπης σε </w:t>
      </w:r>
      <w:r>
        <w:rPr>
          <w:rFonts w:ascii="Times New Roman" w:hAnsi="Times New Roman"/>
          <w:b/>
          <w:noProof/>
          <w:sz w:val="24"/>
        </w:rPr>
        <w:t>δεξιότητες υψηλού επιπέδου</w:t>
      </w:r>
      <w:r>
        <w:rPr>
          <w:rFonts w:ascii="Times New Roman" w:hAnsi="Times New Roman"/>
          <w:noProof/>
          <w:sz w:val="24"/>
        </w:rPr>
        <w:t xml:space="preserve"> απαιτεί την ανάληψη δράσης. Πρώτον, πρέπει να προσελκύονται περισσότερα άτομα σε ερευνητικά πεδία τα οποία προετοιμάζουν τους φοιτητές για θέσεις εργασίας όπου υπάρχουν ή εμφανίζονται ελλείψεις. Σε πολλά κράτη μέλη της ΕΕ υπάρχει μη καλυπτώμενη ζήτηση πτυχιούχων στις επιστήμες, την τεχνολογία, τη μηχανική και τα μαθηματικά (τέχνες) - τους τομείς [(STE(Α)Α] - στα ιατρικά επαγγέλματα και στους τομείς διδασκαλίας</w:t>
      </w:r>
      <w:r>
        <w:rPr>
          <w:rStyle w:val="FootnoteReference"/>
          <w:rFonts w:ascii="Times New Roman" w:hAnsi="Times New Roman"/>
          <w:noProof/>
          <w:sz w:val="24"/>
        </w:rPr>
        <w:footnoteReference w:id="11"/>
      </w:r>
      <w:r>
        <w:rPr>
          <w:rFonts w:ascii="Times New Roman" w:hAnsi="Times New Roman"/>
          <w:noProof/>
          <w:sz w:val="24"/>
        </w:rPr>
        <w:t>. Δεύτερον, όλοι οι φοιτητές προηγμένης μάθησης, ανεξάρτητα από τον κλάδο, πρέπει να αποκτήσουν τις εγκάρσιες δεξιότητες και τις βασικές ικανότητες που θα τους επιτρέψουν να ευδοκιμήσουν. Οι υψηλού επιπέδου ψηφιακές ικανότητες</w:t>
      </w:r>
      <w:r>
        <w:rPr>
          <w:rStyle w:val="FootnoteReference"/>
          <w:rFonts w:ascii="Times New Roman" w:hAnsi="Times New Roman"/>
          <w:noProof/>
          <w:sz w:val="24"/>
        </w:rPr>
        <w:footnoteReference w:id="12"/>
      </w:r>
      <w:r>
        <w:rPr>
          <w:rFonts w:ascii="Times New Roman" w:hAnsi="Times New Roman"/>
          <w:noProof/>
          <w:sz w:val="24"/>
        </w:rPr>
        <w:t>, ο αριθμητισμός, η αυτονομία, η κριτική σκέψη και η ικανότητα επίλυσης προβλημάτων καθίστανται ολοένα και περισσότερο ζωτικής σημασίας χαρακτηριστικά.</w:t>
      </w:r>
    </w:p>
    <w:p>
      <w:pPr>
        <w:pStyle w:val="ListParagraph"/>
        <w:ind w:left="0"/>
        <w:jc w:val="both"/>
        <w:rPr>
          <w:rFonts w:ascii="Times New Roman" w:hAnsi="Times New Roman" w:cs="Times New Roman"/>
          <w:noProof/>
          <w:sz w:val="24"/>
          <w:szCs w:val="24"/>
        </w:rPr>
      </w:pPr>
      <w:r>
        <w:rPr>
          <w:rFonts w:ascii="Times New Roman" w:hAnsi="Times New Roman"/>
          <w:b/>
          <w:noProof/>
          <w:sz w:val="24"/>
        </w:rPr>
        <w:t>Το ποια άτομα επιλέγουν να σπουδάσουν</w:t>
      </w:r>
      <w:r>
        <w:rPr>
          <w:rFonts w:ascii="Times New Roman" w:hAnsi="Times New Roman"/>
          <w:noProof/>
          <w:sz w:val="24"/>
        </w:rPr>
        <w:t xml:space="preserve"> στην τριτοβάθμια εκπαίδευση εξαρτάται από προσωπικά κίνητρα, την ορθή καθοδήγηση και τη διαθεσιμότητα ελκυστικών επιλογών μάθησης και σταδιοδρομίας. Οι ευκαιρίες σταδιοδρομίας εξαρτώνται, σε τελική ανάλυση, από τους εργοδότες και την ευρύτερη οικονομία, αλλά η εκπαίδευση και η κατάρτιση έχουν να διαδραματίσουν καθοριστικό ρόλο. Τα σχολεία μπορούν να παρέχουν κίνητρα στους μαθητές να ενδιαφερθούν για όλα τα μαθήματα, συμπεριλαμβανομένων των μαθηματικών και των φυσικών επιστημών, και να τους καθοδηγούν στις επιλογές τους. Είναι, επίσης, καίριας σημασίας για την αντιμετώπιση της υποεκπροσώπησης των γυναικών, των μειονοτήτων και των άλλων υποεκπροσωπούμενων ομάδων σε επιστημονικούς και τεχνολογικούς θεματικούς τομείς στην τριτοβάθμια εκπαίδευση και, στη συνέχεια, σε συναφή επαγγέλματα. Η ορθή πληροφόρηση σχετικά με τις δραστηριότητες αποφοίτων και οι επαφές με αυτούς, καθώς και οι προβλέψεις των μελλοντικών αναγκών σε δεξιότητες είναι πολύτιμα στοιχεία για τους συμβούλους επαγγελματικού προσανατολισμού. Η τριτοβάθμια εκπαίδευση έχει το καθήκον να διασφαλίζει την επικαιρότητα του περιεχομένου των σπουδών, να προσφέρει κατάλληλα προγράμματα σπουδών σε τομείς στους οποίους υπάρχουν ελλείψεις δεξιοτήτων και να αναπτύσσει μεθόδους διδασκαλίας και μάθησης που επιτρέπουν στους φοιτητές να αποκτήσουν το εύρος και το βάθος των δεξιοτήτων που χρειάζονται.</w:t>
      </w:r>
    </w:p>
    <w:p>
      <w:pPr>
        <w:pStyle w:val="ListParagraph"/>
        <w:ind w:left="0"/>
        <w:jc w:val="both"/>
        <w:rPr>
          <w:rFonts w:ascii="Times New Roman" w:hAnsi="Times New Roman" w:cs="Times New Roman"/>
          <w:noProof/>
          <w:sz w:val="24"/>
          <w:szCs w:val="24"/>
        </w:rPr>
      </w:pPr>
      <w:r>
        <w:rPr>
          <w:rFonts w:ascii="Times New Roman" w:hAnsi="Times New Roman"/>
          <w:b/>
          <w:noProof/>
          <w:sz w:val="24"/>
        </w:rPr>
        <w:t>Καλά σχεδιασμένα συστήματα και προγράμματα σπουδών τριτοβάθμιας εκπαίδευσης</w:t>
      </w:r>
      <w:r>
        <w:rPr>
          <w:rFonts w:ascii="Times New Roman" w:hAnsi="Times New Roman"/>
          <w:noProof/>
          <w:sz w:val="24"/>
        </w:rPr>
        <w:t>, που να εστιάζουν στις μαθησιακές ανάγκες των φοιτητών, είναι ζωτικής σημασίας για την αποτελεσματική ανάπτυξη δεξιοτήτων. Η παροχή ενός ευρύτερου φάσματος επιλογών, συμπεριλαμβανομένων διετών</w:t>
      </w:r>
      <w:r>
        <w:rPr>
          <w:rStyle w:val="FootnoteReference"/>
          <w:noProof/>
        </w:rPr>
        <w:footnoteReference w:id="13"/>
      </w:r>
      <w:r>
        <w:rPr>
          <w:rFonts w:ascii="Times New Roman" w:hAnsi="Times New Roman"/>
          <w:noProof/>
          <w:sz w:val="24"/>
        </w:rPr>
        <w:t xml:space="preserve"> σπουδών και δυνατοτήτων για συνεχή επαγγελματική εξέλιξη, συμβάλλει στο να μπορέσει η τριτοβάθμια εκπαίδευση να ανταποκριθεί καλύτερα στις ανάγκες των ατόμων. Η τεχνολογία προσφέρει νέους τρόπους οργάνωσης της εκμάθησης και της διδασκαλίας</w:t>
      </w:r>
      <w:r>
        <w:rPr>
          <w:rStyle w:val="FootnoteReference"/>
          <w:rFonts w:ascii="Times New Roman" w:hAnsi="Times New Roman"/>
          <w:noProof/>
          <w:sz w:val="24"/>
        </w:rPr>
        <w:footnoteReference w:id="14"/>
      </w:r>
      <w:r>
        <w:rPr>
          <w:rFonts w:ascii="Times New Roman" w:hAnsi="Times New Roman"/>
          <w:noProof/>
          <w:sz w:val="24"/>
        </w:rPr>
        <w:t>, συμπεριλαμβανομένης της ανοιχτής, της επιγραμμικής και της μεικτής μάθησης</w:t>
      </w:r>
      <w:r>
        <w:rPr>
          <w:rStyle w:val="FootnoteReference"/>
          <w:rFonts w:ascii="Times New Roman" w:hAnsi="Times New Roman"/>
          <w:noProof/>
          <w:sz w:val="24"/>
        </w:rPr>
        <w:footnoteReference w:id="15"/>
      </w:r>
      <w:r>
        <w:rPr>
          <w:rFonts w:ascii="Times New Roman" w:hAnsi="Times New Roman"/>
          <w:noProof/>
          <w:sz w:val="24"/>
        </w:rPr>
        <w:t>, ώστε να αυξηθεί η ευελιξία και η αλληλεπίδραση διδάσκοντος-μαθητή. Οι ανοικτοί εκπαιδευτικοί πόροι (ΑΕΠ) και η μαθησιακή ανάλυση</w:t>
      </w:r>
      <w:r>
        <w:rPr>
          <w:rStyle w:val="FootnoteReference"/>
          <w:rFonts w:ascii="Times New Roman" w:hAnsi="Times New Roman"/>
          <w:noProof/>
          <w:sz w:val="24"/>
        </w:rPr>
        <w:footnoteReference w:id="16"/>
      </w:r>
      <w:r>
        <w:rPr>
          <w:rFonts w:ascii="Times New Roman" w:hAnsi="Times New Roman"/>
          <w:noProof/>
          <w:sz w:val="24"/>
        </w:rPr>
        <w:t xml:space="preserve"> έχουν τη δυνατότητα να βελτιώσουν τη μάθηση, αλλά παραμένουν σε μεγάλο βαθμό αναξιοποίητα. Ενώ μεγάλο μέρος της διδασκαλίας στην τριτοβάθμια εκπαίδευση πραγματοποιείται σε ιδρύματα που διεξάγουν έρευνα, η έρευνα δεν αξιοποιείται επαρκώς ως συνισταμένη της διδασκαλίας και, συχνά, οι φοιτητές δεν συμμετέχουν στην έρευνα. Το γεγονός αυτό περιορίζει τις δυνατότητες των φοιτητών να διερευνήσουν επίκαιρα ζητήματα και να αναπτύξουν τις ερευνητικές τους δεξιότητες. Η ψηφιακή ανοικτή επιστήμη</w:t>
      </w:r>
      <w:r>
        <w:rPr>
          <w:rStyle w:val="FootnoteReference"/>
          <w:rFonts w:ascii="Times New Roman" w:hAnsi="Times New Roman"/>
          <w:noProof/>
          <w:sz w:val="24"/>
        </w:rPr>
        <w:footnoteReference w:id="17"/>
      </w:r>
      <w:r>
        <w:rPr>
          <w:rFonts w:ascii="Times New Roman" w:hAnsi="Times New Roman"/>
          <w:noProof/>
          <w:sz w:val="24"/>
        </w:rPr>
        <w:t xml:space="preserve"> παρέχει νέες δυνατότητες για την αντιμετώπιση αυτής της κατάστασης.</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Η τριτοβάθμια εκπαίδευση θα πρέπει επίσης να επιτρέπει στους φοιτητές να αποκτούν δεξιότητες και εμπειρίες μέσω </w:t>
      </w:r>
      <w:r>
        <w:rPr>
          <w:rFonts w:ascii="Times New Roman" w:hAnsi="Times New Roman"/>
          <w:b/>
          <w:noProof/>
          <w:sz w:val="24"/>
        </w:rPr>
        <w:t>δραστηριοτήτων που θα βασίζονται σε υπαρκτά προβλήματα</w:t>
      </w:r>
      <w:r>
        <w:rPr>
          <w:rFonts w:ascii="Times New Roman" w:hAnsi="Times New Roman"/>
          <w:noProof/>
          <w:sz w:val="24"/>
        </w:rPr>
        <w:t xml:space="preserve">, θα περιλαμβάνουν μάθηση στον χώρο εργασίας και, όπου είναι δυνατόν, θα προσφέρουν διεθνή κινητικότητα. </w:t>
      </w:r>
      <w:r>
        <w:rPr>
          <w:rFonts w:ascii="Times New Roman" w:hAnsi="Times New Roman"/>
          <w:b/>
          <w:noProof/>
          <w:sz w:val="24"/>
        </w:rPr>
        <w:t>Η συνεργασία με τους εργοδότες</w:t>
      </w:r>
      <w:r>
        <w:rPr>
          <w:rFonts w:ascii="Times New Roman" w:hAnsi="Times New Roman"/>
          <w:noProof/>
          <w:sz w:val="24"/>
        </w:rPr>
        <w:t xml:space="preserve"> μπορεί να βοηθήσει τα ΙΤΕ να αυξήσουν την καταλληλότητα των προγραμμάτων σπουδών και την αποτελεσματικότερη εφαρμογή τους, αλλά και να αυξήσουν τις ευκαιρίες πρόσβασης των φοιτητών σε υψηλής ποιότητας μάθηση στον χώρο εργασίας.</w:t>
      </w:r>
    </w:p>
    <w:p>
      <w:pPr>
        <w:pStyle w:val="ListParagraph"/>
        <w:ind w:left="0"/>
        <w:jc w:val="both"/>
        <w:rPr>
          <w:noProof/>
        </w:rPr>
      </w:pPr>
      <w:r>
        <w:rPr>
          <w:rFonts w:ascii="Times New Roman" w:hAnsi="Times New Roman"/>
          <w:noProof/>
          <w:sz w:val="24"/>
        </w:rPr>
        <w:t xml:space="preserve">Ο σχεδιασμός, η διαμόρφωση και η εφαρμογή καλών προγραμμάτων σπουδών δεν είναι απλή υπόθεση. Η ύπαρξη </w:t>
      </w:r>
      <w:r>
        <w:rPr>
          <w:rFonts w:ascii="Times New Roman" w:hAnsi="Times New Roman"/>
          <w:b/>
          <w:noProof/>
          <w:sz w:val="24"/>
        </w:rPr>
        <w:t>καλών εκπαιδευτικών</w:t>
      </w:r>
      <w:r>
        <w:rPr>
          <w:rFonts w:ascii="Times New Roman" w:hAnsi="Times New Roman"/>
          <w:noProof/>
          <w:sz w:val="24"/>
        </w:rPr>
        <w:t xml:space="preserve"> παίζει σημαντικό ρόλο. Πάρα πολλοί εκπαιδευτικοί της τριτοβάθμιας εκπαίδευσης ιδρυμάτων έχουν λάβει μικρή ή καθόλου παιδαγωγική κατάρτιση, ενώ η συστηματική επένδυση στη συνεχή επαγγελματική εξέλιξη των εκπαιδευτικών εξακολουθεί να αποτελεί εξαίρεση. Εθνικές και θεσμικές στρατηγικές για τη βελτίωση των ευκαιριών σταδιοδρομίας και επιβράβευσης των καλών εκπαιδευτικών εφαρμόζονται όλο και περισσότερο, όμως απέχουν πολύ από το να αποτελούν πάγια πρακτική.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eastAsia="Times New Roman"/>
          <w:noProof/>
        </w:rPr>
      </w:pPr>
      <w:r>
        <w:rPr>
          <w:noProof/>
        </w:rPr>
        <w:t>Η Επιτροπή:</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w:t>
      </w:r>
      <w:r>
        <w:rPr>
          <w:rFonts w:ascii="Times New Roman" w:hAnsi="Times New Roman"/>
          <w:b/>
          <w:noProof/>
          <w:sz w:val="24"/>
        </w:rPr>
        <w:t>ξεκινήσει μια ευρωπαϊκή πρωτοβουλία για την παρακολούθηση των αποφοίτων</w:t>
      </w:r>
      <w:r>
        <w:rPr>
          <w:rFonts w:ascii="Times New Roman" w:hAnsi="Times New Roman"/>
          <w:noProof/>
          <w:sz w:val="24"/>
        </w:rPr>
        <w:t xml:space="preserve"> με σκοπό τη βελτίωση των γνώσεων σε εθνικό και ενωσιακό επίπεδο σχετικά με το πώς προοδεύουν στη σταδιοδρομία τους ή σε περαιτέρω εκπαίδευση. Αυτό θα συμβάλλει στη βελτίωση το επαγγελματικού προσανατολισμού, του σχεδιασμού προγραμμάτων, της θεσμική στρατηγικής και της χάραξης πολιτικής. Η σύσταση του Συμβουλίου</w:t>
      </w:r>
      <w:r>
        <w:rPr>
          <w:rStyle w:val="FootnoteReference"/>
          <w:rFonts w:ascii="Times New Roman" w:hAnsi="Times New Roman"/>
          <w:noProof/>
          <w:sz w:val="24"/>
        </w:rPr>
        <w:footnoteReference w:id="18"/>
      </w:r>
      <w:r>
        <w:rPr>
          <w:rFonts w:ascii="Times New Roman" w:hAnsi="Times New Roman"/>
          <w:noProof/>
          <w:sz w:val="24"/>
        </w:rPr>
        <w:t>, στο πλαίσιο της εν λόγω δέσμης, θα πλαισιωθεί από μια επισκόπηση για αποφοίτους, σε επίπεδο ΕΕ, και τη συνεργασία για τη βελτίωση των εθνικών μηχανισμών παρακολούθησης των αποφοίτων.</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Δρομολόγηση ενός αναβαθμισμένου </w:t>
      </w:r>
      <w:r>
        <w:rPr>
          <w:rFonts w:ascii="Times New Roman" w:hAnsi="Times New Roman"/>
          <w:b/>
          <w:noProof/>
          <w:sz w:val="24"/>
        </w:rPr>
        <w:t>συνασπισμού STE(Α)M σε επίπεδο ΕΕ [«EU STE(A)M coalition»]</w:t>
      </w:r>
      <w:r>
        <w:rPr>
          <w:rStyle w:val="FootnoteReference"/>
          <w:rFonts w:ascii="Times New Roman" w:hAnsi="Times New Roman"/>
          <w:noProof/>
          <w:sz w:val="24"/>
        </w:rPr>
        <w:footnoteReference w:id="19"/>
      </w:r>
      <w:r>
        <w:rPr>
          <w:rFonts w:ascii="Times New Roman" w:hAnsi="Times New Roman"/>
          <w:noProof/>
          <w:sz w:val="24"/>
        </w:rPr>
        <w:t xml:space="preserve"> που θα συγκεντρώνει διαφορετικούς εκπαιδευτικούς τομείς, επιχειρήσεις και εργοδότες του δημόσιου τομέα, για την προώθηση της υιοθέτησης σχετικών θεματικών πεδίων STE(Α)M και για τον εκσυγχρονισμό των προγραμμάτων σπουδών STE(A)M και άλλων προγραμμάτων σπουδών, μεταξύ άλλων μέσω πολυτομεακών προγραμμάτων και της συνεργασίας μεταξύ συναφών σχολών και ΙΤΕ.</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Προώθηση της ενσωμάτωσης της πρακτικής άσκησης, με αναγνώριση μέσω των μονάδων ECTS, στα προγράμματα της τριτοβάθμιας εκπαίδευσης, περαιτέρω ενίσχυση των </w:t>
      </w:r>
      <w:r>
        <w:rPr>
          <w:rFonts w:ascii="Times New Roman" w:hAnsi="Times New Roman"/>
          <w:b/>
          <w:noProof/>
          <w:sz w:val="24"/>
        </w:rPr>
        <w:t>συμπράξεων επιχειρήσεων στο πλαίσιο του Erasmus+</w:t>
      </w:r>
      <w:r>
        <w:rPr>
          <w:rFonts w:ascii="Times New Roman" w:hAnsi="Times New Roman"/>
          <w:noProof/>
          <w:sz w:val="24"/>
        </w:rPr>
        <w:t xml:space="preserve">, για την αύξηση της διαθεσιμότητας και της ποιότητας της πρακτικής άσκησης, και υποστήριξη της </w:t>
      </w:r>
      <w:r>
        <w:rPr>
          <w:rFonts w:ascii="Times New Roman" w:hAnsi="Times New Roman"/>
          <w:b/>
          <w:noProof/>
          <w:sz w:val="24"/>
        </w:rPr>
        <w:t>πρακτικής άσκησης φοιτητών στο πλαίσιο του Erasmus+</w:t>
      </w:r>
      <w:r>
        <w:rPr>
          <w:rFonts w:ascii="Times New Roman" w:hAnsi="Times New Roman"/>
          <w:noProof/>
          <w:sz w:val="24"/>
        </w:rPr>
        <w:t xml:space="preserve">, με </w:t>
      </w:r>
      <w:r>
        <w:rPr>
          <w:rFonts w:ascii="Times New Roman" w:hAnsi="Times New Roman"/>
          <w:b/>
          <w:noProof/>
          <w:sz w:val="24"/>
        </w:rPr>
        <w:t>ιδιαίτερη έμφαση στις ψηφιακές δεξιότητες</w:t>
      </w:r>
      <w:r>
        <w:rPr>
          <w:rStyle w:val="FootnoteReference"/>
          <w:rFonts w:ascii="Times New Roman" w:hAnsi="Times New Roman"/>
          <w:b/>
          <w:noProof/>
          <w:sz w:val="24"/>
        </w:rPr>
        <w:footnoteReference w:id="20"/>
      </w:r>
      <w:r>
        <w:rPr>
          <w:rFonts w:ascii="Times New Roman" w:hAnsi="Times New Roman"/>
          <w:noProof/>
          <w:sz w:val="24"/>
        </w:rPr>
        <w:t>.</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Ανάπτυξη και εφαρμογή ενός </w:t>
      </w:r>
      <w:r>
        <w:rPr>
          <w:rFonts w:ascii="Times New Roman" w:hAnsi="Times New Roman"/>
          <w:b/>
          <w:noProof/>
          <w:sz w:val="24"/>
        </w:rPr>
        <w:t>μοντέλου ψηφιακής ετοιμότητας</w:t>
      </w:r>
      <w:r>
        <w:rPr>
          <w:rFonts w:ascii="Times New Roman" w:hAnsi="Times New Roman"/>
          <w:noProof/>
          <w:sz w:val="24"/>
        </w:rPr>
        <w:t xml:space="preserve">, που θα βοηθά τα ΙΤΕ, το προσωπικό τους και τους φοιτητές να εφαρμόζουν στρατηγικές ψηφιακής μάθησης και να αξιοποιούν το δυναμικό των τεχνολογιών αιχμής, συμπεριλαμβανομένης της μαθησιακής ανάλυσης. Η προσπάθεια αυτή θα συνοδεύεται από </w:t>
      </w:r>
      <w:r>
        <w:rPr>
          <w:rFonts w:ascii="Times New Roman" w:hAnsi="Times New Roman"/>
          <w:b/>
          <w:noProof/>
          <w:sz w:val="24"/>
        </w:rPr>
        <w:t>οδηγίες για πρωτοβουλίες ανοικτής εκπαίδευσης</w:t>
      </w:r>
      <w:r>
        <w:rPr>
          <w:rFonts w:ascii="Times New Roman" w:hAnsi="Times New Roman"/>
          <w:noProof/>
          <w:sz w:val="24"/>
        </w:rPr>
        <w:t xml:space="preserve">.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Επίσπευση της </w:t>
      </w:r>
      <w:r>
        <w:rPr>
          <w:rFonts w:ascii="Times New Roman" w:hAnsi="Times New Roman"/>
          <w:b/>
          <w:noProof/>
          <w:sz w:val="24"/>
        </w:rPr>
        <w:t>στρατηγικής στήριξης για εκπαιδευτικούς της τριτοβάθμιας εκπαίδευσης, διδακτορικούς φοιτητές και μεταδιδακτορικούς αποφοίτους μέσω του Erasmus+</w:t>
      </w:r>
      <w:r>
        <w:rPr>
          <w:rFonts w:ascii="Times New Roman" w:hAnsi="Times New Roman"/>
          <w:noProof/>
          <w:sz w:val="24"/>
        </w:rPr>
        <w:t xml:space="preserve"> για να μπορέσουν να αναπτύξουν παιδαγωγικές δεξιότητες και δεξιότητες σχεδιασμού προγραμμάτων σπουδών, μέσω στοχευμένων ευκαιριών κινητικότητας του προσωπικού για παιδαγωγική κατάρτιση και της ενισχυμένης συνεργασίας μεταξύ των κέντρων επιμόρφωσης εκπαιδευτικών σε όλη την ΕΕ.</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2.2.</w:t>
      </w:r>
      <w:r>
        <w:rPr>
          <w:noProof/>
        </w:rPr>
        <w:tab/>
      </w:r>
      <w:bookmarkEnd w:id="4"/>
      <w:r>
        <w:rPr>
          <w:rFonts w:ascii="Times New Roman" w:hAnsi="Times New Roman"/>
          <w:noProof/>
          <w:color w:val="auto"/>
          <w:sz w:val="24"/>
        </w:rPr>
        <w:t>Δημιουργία συστημάτων τριτοβάθμιας εκπαίδευσης χωρίς αποκλεισμούς και συνδεδεμένων μεταξύ τους</w:t>
      </w:r>
    </w:p>
    <w:p>
      <w:pPr>
        <w:pStyle w:val="ListParagraph"/>
        <w:ind w:left="0"/>
        <w:jc w:val="both"/>
        <w:rPr>
          <w:rFonts w:ascii="Times New Roman" w:hAnsi="Times New Roman" w:cs="Times New Roman"/>
          <w:iCs/>
          <w:noProof/>
          <w:sz w:val="24"/>
          <w:szCs w:val="24"/>
        </w:rPr>
      </w:pPr>
      <w:r>
        <w:rPr>
          <w:rFonts w:ascii="Times New Roman" w:hAnsi="Times New Roman"/>
          <w:noProof/>
          <w:sz w:val="24"/>
        </w:rPr>
        <w:t xml:space="preserve">Η τριτοβάθμια εκπαίδευση πρέπει να συμβάλλει στην αντιμετώπιση των </w:t>
      </w:r>
      <w:r>
        <w:rPr>
          <w:rFonts w:ascii="Times New Roman" w:hAnsi="Times New Roman"/>
          <w:b/>
          <w:noProof/>
          <w:sz w:val="24"/>
        </w:rPr>
        <w:t>κοινωνικών και δημοκρατικών προκλήσεων</w:t>
      </w:r>
      <w:r>
        <w:rPr>
          <w:rFonts w:ascii="Times New Roman" w:hAnsi="Times New Roman"/>
          <w:noProof/>
          <w:sz w:val="24"/>
        </w:rPr>
        <w:t xml:space="preserve"> της Ευρώπης. Αυτό σημαίνει ότι δεν θα πρέπει να υπάρχουν αποκλεισμοί και ότι θα είναι ανοιχτή σε ταλαντούχα άτομα προερχόμενα από όλα τα κοινωνικά στρώματα</w:t>
      </w:r>
      <w:r>
        <w:rPr>
          <w:rStyle w:val="FootnoteReference"/>
          <w:rFonts w:ascii="Times New Roman" w:hAnsi="Times New Roman"/>
          <w:noProof/>
          <w:sz w:val="24"/>
        </w:rPr>
        <w:footnoteReference w:id="21"/>
      </w:r>
      <w:r>
        <w:rPr>
          <w:rFonts w:ascii="Times New Roman" w:hAnsi="Times New Roman"/>
          <w:noProof/>
          <w:sz w:val="24"/>
        </w:rPr>
        <w:t>, και ότι τα ιδρύματα τριτοβάθμιας εκπαίδευσης δεν θα είναι απρόσιτοι πύργοι αλλά κοινωνικού χαρακτήρα μαθησιακές κοινότητες που συνδέονται με τις τοπικές κοινωνίες. Οι πανεπιστημιακοί και οι φοιτητές έχουν καθοριστικό ρόλο να διαδραματίσουν στην υπεράσπιση εμπειρικών στοιχείων και στην ευρεία και αποτελεσματική κοινοποίηση των αποτελεσμάτων της έρευνας.</w:t>
      </w:r>
    </w:p>
    <w:p>
      <w:pPr>
        <w:pStyle w:val="ListParagraph"/>
        <w:ind w:left="0"/>
        <w:jc w:val="both"/>
        <w:rPr>
          <w:rFonts w:ascii="Times New Roman" w:hAnsi="Times New Roman" w:cs="Times New Roman"/>
          <w:noProof/>
          <w:color w:val="auto"/>
          <w:sz w:val="24"/>
          <w:szCs w:val="24"/>
        </w:rPr>
      </w:pPr>
      <w:r>
        <w:rPr>
          <w:rFonts w:ascii="Times New Roman" w:hAnsi="Times New Roman"/>
          <w:noProof/>
          <w:sz w:val="24"/>
        </w:rPr>
        <w:t xml:space="preserve">Τα χαρακτηριστικά του πληθυσμού των φοιτητών που εισέρχονται στην τριτοβάθμια εκπαίδευση και την ολοκληρώνουν θα πρέπει να αντικατοπτρίζουν την ευρύτερη κοινωνία. Αυτό απαιτεί παρέμβαση εκ μέρους των κυβερνήσεων, των σχολείων και της τριτοβάθμιας εκπαίδευσης. Οι κοινωνικές ομάδες που εκπροσωπούνται λιγότερο στην τριτοβάθμια εκπαίδευση είναι πιο πιθανό να μη διαθέτουν βασικές δεξιότητες (γραμματισμού, αριθμητισμού, ψηφιακού γραμματισμού), εμπειρία ανεξάρτητης μάθησης και σαφή εικόνα του τι συνεπάγεται η τριτοβάθμια εκπαίδευση. Απαιτείται </w:t>
      </w:r>
      <w:r>
        <w:rPr>
          <w:rFonts w:ascii="Times New Roman" w:hAnsi="Times New Roman"/>
          <w:b/>
          <w:noProof/>
          <w:sz w:val="24"/>
        </w:rPr>
        <w:t>συστηματική συνεργασία μεταξύ των ΙΤΕ, των σχολείων και των παρόχων επαγγελματικής εκπαίδευσης και κατάρτισης</w:t>
      </w:r>
      <w:r>
        <w:rPr>
          <w:rFonts w:ascii="Times New Roman" w:hAnsi="Times New Roman"/>
          <w:noProof/>
          <w:sz w:val="24"/>
        </w:rPr>
        <w:t xml:space="preserve"> για να προετοιμάζονται και να καθοδηγούνται οι φοιτητές με βάση τις ικανότητές και όχι την κοινωνική προέλευσή τους, και για τους παρέχονται ευέλικτες δυνατότητες μετάβασης μεταξύ των διαφόρων τύπων εκπαίδευσης και κατάρτισης. Ο κατάλληλος επαγγελματικός προσανατολισμός και η καθοδήγηση είναι ζωτικής σημασίας.</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Για να μην υπάρχουν αποκλεισμοί στα συστήματα τριτοβάθμιας εκπαίδευσης πρέπει να υπάρχουν οι </w:t>
      </w:r>
      <w:r>
        <w:rPr>
          <w:rFonts w:ascii="Times New Roman" w:hAnsi="Times New Roman"/>
          <w:b/>
          <w:noProof/>
          <w:sz w:val="24"/>
        </w:rPr>
        <w:t>σωστές συνθήκες επιτυχίας για φοιτητές από διαφορετικά περιβάλλοντα</w:t>
      </w:r>
      <w:r>
        <w:rPr>
          <w:rFonts w:ascii="Times New Roman" w:hAnsi="Times New Roman"/>
          <w:noProof/>
          <w:sz w:val="24"/>
        </w:rPr>
        <w:t>. Αυτό δεν αφορά μόνο την οικονομική στήριξη για μειονεκτούσες ομάδες, μολονότι είναι ζωτικής σημασίας για εκείνους που προέρχονται από περιβάλλοντα χαμηλού εισοδήματος. Για να προωθήσουν την επιτυχή ολοκλήρωση των σπουδών, οι πάροχοι τριτοβάθμιας εκπαίδευσης θα πρέπει να υιοθετήσουν μια ολιστική θεώρηση όσον αφορά τον τρόπο οργάνωσης της διδασκαλίας και της αξιολόγησης, να εφαρμόζουν μέτρα για την καθοδήγηση των φοιτητών και να παρέχουν ακαδημαϊκή και μη υποστήριξη</w:t>
      </w:r>
      <w:r>
        <w:rPr>
          <w:rStyle w:val="FootnoteReference"/>
          <w:rFonts w:ascii="Times New Roman" w:hAnsi="Times New Roman"/>
          <w:noProof/>
          <w:sz w:val="24"/>
        </w:rPr>
        <w:footnoteReference w:id="22"/>
      </w:r>
      <w:r>
        <w:rPr>
          <w:rFonts w:ascii="Times New Roman" w:hAnsi="Times New Roman"/>
          <w:noProof/>
          <w:sz w:val="24"/>
        </w:rPr>
        <w:t>. Οι χώροι και εγκαταστάσεις των ΙΤΕ θα πρέπει να είναι ασφαλείς τόποι για όλους τους φοιτητές, ελεύθεροι από βία και διακρίσεις λόγω φύλου. Ο έγκαιρος εντοπισμός προβλημάτων είναι ζωτικής σημασίας για την υποστήριξη φοιτητών που την χρειάζονται. Οι ευέλικτες επιλογές σπουδών (μερικού χρόνου ή επιγραμμικά) και η ευρύτερη αναγνώριση της προηγούμενης μάθησης είναι επίσης αναγκαία στοιχεία για να καταστεί η τριτοβάθμια εκπαίδευση πιο προσιτή, ιδίως για ενήλικες εκπαιδευόμενους. Οι στρατηγικές στήριξης, για να μπορούν μειονεκτούντες φοιτητές να έχουν πρόσβαση σε σπουδές τριτοβάθμιας εκπαίδευσης και να τις ολοκληρώνουν, αποτελούν ένα πολλά υποσχόμενο τρόπο για την επίτευξη αυτών των στόχων.</w:t>
      </w:r>
    </w:p>
    <w:p>
      <w:pPr>
        <w:pStyle w:val="ListParagraph"/>
        <w:ind w:left="0"/>
        <w:jc w:val="both"/>
        <w:rPr>
          <w:rFonts w:ascii="Times New Roman" w:hAnsi="Times New Roman" w:cs="Times New Roman"/>
          <w:noProof/>
          <w:color w:val="auto"/>
          <w:sz w:val="24"/>
          <w:szCs w:val="24"/>
        </w:rPr>
      </w:pPr>
      <w:r>
        <w:rPr>
          <w:rFonts w:ascii="Times New Roman" w:hAnsi="Times New Roman"/>
          <w:noProof/>
          <w:color w:val="auto"/>
          <w:sz w:val="24"/>
        </w:rPr>
        <w:t xml:space="preserve">Η άρση των </w:t>
      </w:r>
      <w:r>
        <w:rPr>
          <w:rFonts w:ascii="Times New Roman" w:hAnsi="Times New Roman"/>
          <w:b/>
          <w:noProof/>
          <w:color w:val="auto"/>
          <w:sz w:val="24"/>
        </w:rPr>
        <w:t>φραγμών μεταξύ της τριτοβάθμιας εκπαίδευσης και της υπόλοιπης κοινωνίας</w:t>
      </w:r>
      <w:r>
        <w:rPr>
          <w:rFonts w:ascii="Times New Roman" w:hAnsi="Times New Roman"/>
          <w:noProof/>
          <w:color w:val="auto"/>
          <w:sz w:val="24"/>
        </w:rPr>
        <w:t xml:space="preserve"> μπορεί να βοηθήσει τους φοιτητές να αναπτύξουν τις </w:t>
      </w:r>
      <w:r>
        <w:rPr>
          <w:rFonts w:ascii="Times New Roman" w:hAnsi="Times New Roman"/>
          <w:b/>
          <w:noProof/>
          <w:color w:val="auto"/>
          <w:sz w:val="24"/>
        </w:rPr>
        <w:t>κοινωνικές τους ικανότητες και τις ικανότητές τους ως πολίτες</w:t>
      </w:r>
      <w:r>
        <w:rPr>
          <w:rStyle w:val="FootnoteReference"/>
          <w:rFonts w:ascii="Times New Roman" w:hAnsi="Times New Roman"/>
          <w:noProof/>
          <w:color w:val="auto"/>
          <w:sz w:val="24"/>
        </w:rPr>
        <w:footnoteReference w:id="23"/>
      </w:r>
      <w:r>
        <w:rPr>
          <w:noProof/>
        </w:rPr>
        <w:t>.</w:t>
      </w:r>
      <w:r>
        <w:rPr>
          <w:rFonts w:ascii="Times New Roman" w:hAnsi="Times New Roman"/>
          <w:noProof/>
          <w:color w:val="auto"/>
          <w:sz w:val="24"/>
        </w:rPr>
        <w:t xml:space="preserve"> Ορισμένα ιδρύματα αναπτύσσουν το προφίλ τους ως </w:t>
      </w:r>
      <w:r>
        <w:rPr>
          <w:rFonts w:ascii="Times New Roman" w:hAnsi="Times New Roman"/>
          <w:b/>
          <w:noProof/>
          <w:color w:val="auto"/>
          <w:sz w:val="24"/>
        </w:rPr>
        <w:t>«πανεπιστήμια πολιτών»</w:t>
      </w:r>
      <w:r>
        <w:rPr>
          <w:rFonts w:ascii="Times New Roman" w:hAnsi="Times New Roman"/>
          <w:noProof/>
          <w:color w:val="auto"/>
          <w:sz w:val="24"/>
        </w:rPr>
        <w:t xml:space="preserve">, με την ενσωμάτωση τοπικών, περιφερειακών και κοινωνιολογικών θεμάτων στα προγράμματα σπουδών τους, τη συμμετοχή της τοπικής κοινωνίας σε διδακτικά και ερευνητικά σχέδια και την παροχή εκπαίδευσης ενηλίκων και την επικοινωνία και τη δημιουργία δεσμών με τις τοπικές κοινότητες. </w:t>
      </w:r>
      <w:r>
        <w:rPr>
          <w:rFonts w:ascii="Times New Roman" w:hAnsi="Times New Roman"/>
          <w:noProof/>
          <w:sz w:val="24"/>
        </w:rPr>
        <w:t>Η καλά οργανωμένη εθελοντική και κοινωνική εργασία μπορεί να αποτελέσει έναν ιδιαίτερα αποτελεσματικό τρόπο για να βοηθηθούν οι φοιτητές να αποκτήσουν ευρύτερη πρακτική εμπειρία και δεξιότητες. Τα ΙΤΕ θα πρέπει να συμμετέχουν ενεργά στην ανάπτυξη των πόλεων και των περιφερειών τους, είτε συμβάλλοντας στην ανάπτυξη στρατηγικών και τη συνεργασία με τις επιχειρήσεις και τον δημόσιο τομέα και τον τομέα του εθελοντισμού είτε στηρίζοντας τον δημόσιο διάλογο για κοινωνιολογικά ζητήματα. Πρέπει να δοθούν κίνητρα και να ανταμείβονται πρωτοβουλίες με απήχηση πέραν της ακαδημαϊκής κοινότητας στις τοπικές γλώσσες, μεταξύ άλλων ως μέρος της επαγγελματικής εξέλιξης.</w:t>
      </w:r>
    </w:p>
    <w:p>
      <w:p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Η Επιτροπή:</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παράσχει άμεση στήριξη στο Erasmus+ για να βοηθήσει τα ΙΤΕ στην ανάπτυξη και εφαρμογή </w:t>
      </w:r>
      <w:r>
        <w:rPr>
          <w:rFonts w:ascii="Times New Roman" w:hAnsi="Times New Roman"/>
          <w:b/>
          <w:noProof/>
          <w:sz w:val="24"/>
        </w:rPr>
        <w:t>ολοκληρωμένων θεσμικών στρατηγικών ένταξης, ισότητας των φύλων και επιτυχίας των σπουδών</w:t>
      </w:r>
      <w:r>
        <w:rPr>
          <w:noProof/>
        </w:rPr>
        <w:t xml:space="preserve"> </w:t>
      </w:r>
      <w:r>
        <w:rPr>
          <w:rFonts w:ascii="Times New Roman" w:hAnsi="Times New Roman"/>
          <w:noProof/>
          <w:sz w:val="24"/>
        </w:rPr>
        <w:t>από την είσοδο έως την αποφοίτηση, συμπεριλαμβανομένης της συνεργασίας με σχολεία και παρόχους ΕΕΚ.</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προωθήσει την </w:t>
      </w:r>
      <w:r>
        <w:rPr>
          <w:rFonts w:ascii="Times New Roman" w:hAnsi="Times New Roman"/>
          <w:b/>
          <w:noProof/>
          <w:sz w:val="24"/>
        </w:rPr>
        <w:t>ανάπτυξη και τη δοκιμής ευέλικτων και σπονδυλωτών κύκλων μαθημάτων</w:t>
      </w:r>
      <w:r>
        <w:rPr>
          <w:rFonts w:ascii="Times New Roman" w:hAnsi="Times New Roman"/>
          <w:noProof/>
          <w:sz w:val="24"/>
        </w:rPr>
        <w:t xml:space="preserve"> για την υποστήριξη της πρόσβασης στην τριτοβάθμια εκπαίδευση μέσω των ειδικών προτεραιοτήτων για στρατηγικές συμπράξεις Erasmus+.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στηρίξει τα ΙΤΕ που επιθυμούν </w:t>
      </w:r>
      <w:r>
        <w:rPr>
          <w:rFonts w:ascii="Times New Roman" w:hAnsi="Times New Roman"/>
          <w:b/>
          <w:noProof/>
          <w:sz w:val="24"/>
        </w:rPr>
        <w:t>να απονείμουν μονάδες ECTS σε φοιτητές για εθελοντικές και κοινοτικές δραστηριότητες</w:t>
      </w:r>
      <w:r>
        <w:rPr>
          <w:rFonts w:ascii="Times New Roman" w:hAnsi="Times New Roman"/>
          <w:noProof/>
          <w:sz w:val="24"/>
        </w:rPr>
        <w:t>, με βάση υφιστάμενα θετικά παραδείγματα.</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υποστηρίξει την </w:t>
      </w:r>
      <w:r>
        <w:rPr>
          <w:rFonts w:ascii="Times New Roman" w:hAnsi="Times New Roman"/>
          <w:b/>
          <w:noProof/>
          <w:sz w:val="24"/>
        </w:rPr>
        <w:t>αναγνώριση προσόντων προσφύγων</w:t>
      </w:r>
      <w:r>
        <w:rPr>
          <w:rFonts w:ascii="Times New Roman" w:hAnsi="Times New Roman"/>
          <w:noProof/>
          <w:sz w:val="24"/>
        </w:rPr>
        <w:t>, για να διευκολυνθεί η πρόσβασή τους στην τριτοβάθμια εκπαίδευση. Οι δραστηριότητες θα βασίζονται σε ένα εν εξελίξει πρόγραμμα του Erasmus+, το οποίο παρέχει πρακτικές κατευθυντήριες γραμμές και περιλαμβάνει δραστηριότητες συμβουλευτικής από ομοτίμους μεταξύ των NARIC</w:t>
      </w:r>
      <w:r>
        <w:rPr>
          <w:rStyle w:val="FootnoteReference"/>
          <w:rFonts w:ascii="Times New Roman" w:hAnsi="Times New Roman"/>
          <w:noProof/>
          <w:sz w:val="24"/>
        </w:rPr>
        <w:footnoteReference w:id="24"/>
      </w:r>
      <w:r>
        <w:rPr>
          <w:rFonts w:ascii="Times New Roman" w:hAnsi="Times New Roman"/>
          <w:noProof/>
          <w:sz w:val="24"/>
        </w:rPr>
        <w:t xml:space="preserve"> και ενδιαφερόμενων μερών και ενότητες ηλεκτρονικής μάθησης, και θα συμπληρώνουν το «εργαλείο κατάρτισης προφίλ δεξιοτήτων για υπηκόους τρίτων χωρών».</w:t>
      </w:r>
    </w:p>
    <w:p>
      <w:pPr>
        <w:pStyle w:val="Heading2"/>
        <w:spacing w:before="240" w:after="200"/>
        <w:rPr>
          <w:rFonts w:ascii="Times New Roman" w:hAnsi="Times New Roman" w:cs="Times New Roman"/>
          <w:noProof/>
          <w:color w:val="auto"/>
          <w:sz w:val="24"/>
          <w:szCs w:val="24"/>
        </w:rPr>
      </w:pPr>
      <w:bookmarkStart w:id="5" w:name="_Toc472341205"/>
      <w:r>
        <w:rPr>
          <w:rFonts w:ascii="Times New Roman" w:hAnsi="Times New Roman"/>
          <w:noProof/>
          <w:color w:val="auto"/>
          <w:sz w:val="24"/>
        </w:rPr>
        <w:t xml:space="preserve">2.3. </w:t>
      </w:r>
      <w:r>
        <w:rPr>
          <w:noProof/>
        </w:rPr>
        <w:tab/>
      </w:r>
      <w:bookmarkEnd w:id="5"/>
      <w:r>
        <w:rPr>
          <w:rFonts w:ascii="Times New Roman" w:hAnsi="Times New Roman"/>
          <w:noProof/>
          <w:color w:val="auto"/>
          <w:sz w:val="24"/>
        </w:rPr>
        <w:t>Εξασφάλιση της συμμετοχής των ιδρυμάτων τριτοβάθμιας εκπαίδευσης στην καινοτομία</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Πολλά ιδρύματα τριτοβάθμιας εκπαίδευσης αναπτύσσουν </w:t>
      </w:r>
      <w:r>
        <w:rPr>
          <w:rFonts w:ascii="Times New Roman" w:hAnsi="Times New Roman"/>
          <w:b/>
          <w:noProof/>
          <w:sz w:val="24"/>
        </w:rPr>
        <w:t>νέες λύσεις για οικονομικά, κοινωνικά και περιβαλλοντικά προβλήματα</w:t>
      </w:r>
      <w:r>
        <w:rPr>
          <w:rFonts w:ascii="Times New Roman" w:hAnsi="Times New Roman"/>
          <w:noProof/>
          <w:sz w:val="24"/>
        </w:rPr>
        <w:t>. Το να εξασφαλιστεί ότι οι εν λόγω προσπάθειες είναι καλά στοχευμένες και συμβάλλουν στην επίλυση άμεσων αλλά και μακροπρόθεσμων προκλήσεων δεν είναι απλό. Η καινοτομία αποτελεί τη σημαντικότερη κινητήρια δύναμη της οικονομικής ανάπτυξης. Ερευνητικά ιδρύματα, πανεπιστήμια έντασης έρευνας και πανεπιστήμια εφαρμοσμένων επιστημών συμβάλλουν στην καινοτομία με διαφορετικούς και αλληλένδετους τρόπους, και εντός και μεταξύ πολλών γεωγραφικών συνόρων. Η ενίσχυση της συμβολής της τριτοβάθμιας εκπαίδευσης στην καινοτομία απαιτεί δράση σε όλες τις δραστηριότητες των ιδρυμάτων τριτοβάθμιας εκπαίδευσης - εκπαίδευση, έρευνα και συνεργασία με τον υπόλοιπο κόσμο. Τα ιδρύματα πρέπει να αναπτύξουν ένα εξωστρεφές πνεύμα καινοτομίας και επιχειρηματικότητας.</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Οι νέες ιδέες και οι ανακαλύψεις οφείλονται στην ανθρώπινη περιέργεια, τη δημιουργικότητα και την πρωτοβουλία. Όλες οι μορφές της τριτοβάθμιας εκπαίδευσης θα πρέπει να έχουν ως στόχο τον εφοδιασμό των φοιτητών με την ικανότητα κατανόησης νέων εννοιολογικών πλαισίων, με κριτική σκέψη και δημιουργικότητα και με την ικανότητα να λειτουργούν με επιχειρηματικό πνεύμα ώστε να αναπτύσσουν και να εφαρμόζουν νέες ιδέες. Οι </w:t>
      </w:r>
      <w:r>
        <w:rPr>
          <w:rFonts w:ascii="Times New Roman" w:hAnsi="Times New Roman"/>
          <w:b/>
          <w:noProof/>
          <w:sz w:val="24"/>
        </w:rPr>
        <w:t>υψηλής ποιότητας μεταπτυχιακές και διδακτορικές σπουδές</w:t>
      </w:r>
      <w:r>
        <w:rPr>
          <w:rFonts w:ascii="Times New Roman" w:hAnsi="Times New Roman"/>
          <w:noProof/>
          <w:sz w:val="24"/>
        </w:rPr>
        <w:t xml:space="preserve"> είναι ζωτικής σημασίας. Παράγουν ερευνητές, φορείς ανάπτυξης και «διαχειριστές της καινοτομίας», στους οποίους βασίζονται οι επιστημονικές ανακαλύψεις και η προαγωγή και η υιοθέτηση νέων ιδεών. Σε σύγκριση με τις ΗΠΑ και την Ιαπωνία, πολύ λίγοι κάτοχοι διδακτορικού στην ΕΕ εργάζονται εκτός ακαδημαϊκού χώρου. Τα ΙΤΕ πρέπει να συμβάλλουν στον τομέα αυτό, μέσω της μεγαλύτερης εστίασης των διδακτορικών προγραμμάτων στην εφαρμογή της γνώσης και στην αλληλεπίδραση με μελλοντικούς εργοδότες.</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Τα ΙΤΕ θα πρέπει επίσης να διαδραματίσουν ευρύτερο ρόλο στην τοπική και περιφερειακή ανάπτυξη. Η επένδυση της ΕΕ στην περιφερειακή ανάπτυξη μέσω της καινοτομίας διέπεται από την αρχή της </w:t>
      </w:r>
      <w:r>
        <w:rPr>
          <w:rFonts w:ascii="Times New Roman" w:hAnsi="Times New Roman"/>
          <w:b/>
          <w:noProof/>
          <w:sz w:val="24"/>
        </w:rPr>
        <w:t>έξυπνης εξειδίκευσης</w:t>
      </w:r>
      <w:r>
        <w:rPr>
          <w:rFonts w:ascii="Times New Roman" w:hAnsi="Times New Roman"/>
          <w:noProof/>
          <w:sz w:val="24"/>
        </w:rPr>
        <w:t xml:space="preserve"> - εστιάζοντας περιφερειακές επενδύσεις και προσπάθειες στην καινοτομία σε τομείς με υψηλό αναπτυξιακό δυναμικό. Τα ΙΤΕ μπορούν να κάνουν περισσότερα για να διευκολύνουν τη σύνδεση των ακαδημαϊκών, των επιχειρηματιών και των δημόσιων αρχών, να ευθυγραμμίσουν την εκπαιδευτική τους προσφορά με τις ανάγκες που εντοπίζονται στο πλαίσιο των στρατηγικών έξυπνης εξειδίκευσης, να αξιοποιήσουν τις ευκαιρίες για καινοτομία σε τομείς προτεραιότητας και να βοηθήσουν τις τοπικές επιχειρήσεις και άλλες οργανώσεις να κατανοήσουν και να υιοθετήσουν νέους τρόπους σκέψης. Η υλοποίηση όλων αυτών θα πρέπει να αποτελεί μέρος μιας ευρύτερης πολιτισμικής αλλαγής, στο πλαίσιο της οποίας τα ΙΤΕ να καταστούν </w:t>
      </w:r>
      <w:r>
        <w:rPr>
          <w:rFonts w:ascii="Times New Roman" w:hAnsi="Times New Roman"/>
          <w:b/>
          <w:noProof/>
          <w:sz w:val="24"/>
        </w:rPr>
        <w:t>«επιχειρηματικοί παράγοντες»</w:t>
      </w:r>
      <w:r>
        <w:rPr>
          <w:rFonts w:ascii="Times New Roman" w:hAnsi="Times New Roman"/>
          <w:noProof/>
          <w:sz w:val="24"/>
        </w:rPr>
        <w:t>. Το υποστηριζόμενο από την ΕΕ εργαλείο HEInnovate</w:t>
      </w:r>
      <w:r>
        <w:rPr>
          <w:rStyle w:val="FootnoteReference"/>
          <w:rFonts w:ascii="Times New Roman" w:hAnsi="Times New Roman"/>
          <w:noProof/>
          <w:sz w:val="24"/>
        </w:rPr>
        <w:footnoteReference w:id="25"/>
      </w:r>
      <w:r>
        <w:rPr>
          <w:rFonts w:ascii="Times New Roman" w:hAnsi="Times New Roman"/>
          <w:noProof/>
          <w:sz w:val="24"/>
        </w:rPr>
        <w:t xml:space="preserve"> βοηθά στο να καταστούν η καινοτομία και η επιχειρηματικότητα ο πυρήνας της συνολικής στρατηγικής των ΙΤΕ. Η «Σφραγίδα Αριστείας» παρέχει πρόσθετη ευκαιρία για επενδύσεις στην έρευνα και την καινοτομία</w:t>
      </w:r>
      <w:r>
        <w:rPr>
          <w:rStyle w:val="FootnoteReference"/>
          <w:rFonts w:ascii="Times New Roman" w:hAnsi="Times New Roman"/>
          <w:noProof/>
          <w:sz w:val="24"/>
        </w:rPr>
        <w:footnoteReference w:id="26"/>
      </w:r>
      <w:r>
        <w:rPr>
          <w:rFonts w:ascii="Times New Roman" w:hAnsi="Times New Roman"/>
          <w:noProof/>
          <w:sz w:val="24"/>
        </w:rPr>
        <w:t>.</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Οι καινοτομίες του αύριο εξαρτώνται από την έρευνα που ξεκινά σήμερα και από το δημιουργικό ταλέντο αξιοποίησης των αποτελεσμάτων. Οι κυβερνήσεις και τα συστήματα τριτοβάθμιας εκπαίδευσης πρέπει να επενδύουν με έξυπνο τρόπο για την ανάπτυξη υφιστάμενων ισχυρών τομέων στην πρωτοποριακή έρευνα. Η επίτευξη αριστείας στην έρευνα συνδέεται με τη διεθνή συνεργασία και κινητικότητα: βασική αποστολή του προγράμματος «Ορίζοντας 2020». Ωστόσο, η ΕΕ μπορεί να πράξει περισσότερα για να </w:t>
      </w:r>
      <w:r>
        <w:rPr>
          <w:rFonts w:ascii="Times New Roman" w:hAnsi="Times New Roman"/>
          <w:b/>
          <w:noProof/>
          <w:sz w:val="24"/>
        </w:rPr>
        <w:t>ενισχύσει τα ερευνητικά κέντρα αριστείας</w:t>
      </w:r>
      <w:r>
        <w:rPr>
          <w:rFonts w:ascii="Times New Roman" w:hAnsi="Times New Roman"/>
          <w:noProof/>
          <w:sz w:val="24"/>
        </w:rPr>
        <w:t xml:space="preserve"> στις περισσότερες περιοχές της Ευρώπης και να ενθαρρύνει τη μετουσίωση της επιστημονικής προόδου σε εμπορεύσιμες καινοτομίες.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Η Επιτροπή:</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επεκτείνει το </w:t>
      </w:r>
      <w:r>
        <w:rPr>
          <w:rFonts w:ascii="Times New Roman" w:hAnsi="Times New Roman"/>
          <w:b/>
          <w:noProof/>
          <w:sz w:val="24"/>
        </w:rPr>
        <w:t>σχέδιο περιφερειακής καινοτομίας (EIT-RIS)</w:t>
      </w:r>
      <w:r>
        <w:rPr>
          <w:rFonts w:ascii="Times New Roman" w:hAnsi="Times New Roman"/>
          <w:noProof/>
          <w:sz w:val="24"/>
        </w:rPr>
        <w:t xml:space="preserve"> του Ευρωπαϊκού Ινστιτούτου Καινοτομίας και Τεχνολογίας (ΕΙΤ), και το σήμα του EIT</w:t>
      </w:r>
      <w:r>
        <w:rPr>
          <w:rStyle w:val="FootnoteReference"/>
          <w:rFonts w:ascii="Times New Roman" w:hAnsi="Times New Roman"/>
          <w:noProof/>
          <w:sz w:val="24"/>
        </w:rPr>
        <w:footnoteReference w:id="27"/>
      </w:r>
      <w:r>
        <w:rPr>
          <w:rFonts w:ascii="Times New Roman" w:hAnsi="Times New Roman"/>
          <w:noProof/>
          <w:sz w:val="24"/>
        </w:rPr>
        <w:t xml:space="preserve"> σε περισσότερα πανεπιστήμια και περιφέρειες, για να ενισχυθεί η ανάπτυξη </w:t>
      </w:r>
      <w:r>
        <w:rPr>
          <w:rFonts w:ascii="Times New Roman" w:hAnsi="Times New Roman"/>
          <w:b/>
          <w:noProof/>
          <w:sz w:val="24"/>
        </w:rPr>
        <w:t>δεξιοτήτων επιχειρηματικότητας και καινοτομίας</w:t>
      </w:r>
      <w:r>
        <w:rPr>
          <w:rFonts w:ascii="Times New Roman" w:hAnsi="Times New Roman"/>
          <w:noProof/>
          <w:sz w:val="24"/>
        </w:rPr>
        <w:t xml:space="preserve"> και για να προετοιμάζονται καλύτερα οι διδακτορικοί υποψήφιοι και οι απόφοιτοι να εργαστούν σε καινοτόμους επιχειρήσεις.</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υποστηρίξει περαιτέρω την ανάπτυξη και τη δοκιμή </w:t>
      </w:r>
      <w:r>
        <w:rPr>
          <w:rFonts w:ascii="Times New Roman" w:hAnsi="Times New Roman"/>
          <w:b/>
          <w:noProof/>
          <w:sz w:val="24"/>
        </w:rPr>
        <w:t>μεθόδων διδασκαλίας για τη δημιουργικότητα και την καινοτομία</w:t>
      </w:r>
      <w:r>
        <w:rPr>
          <w:rFonts w:ascii="Times New Roman" w:hAnsi="Times New Roman"/>
          <w:noProof/>
          <w:sz w:val="24"/>
        </w:rPr>
        <w:t xml:space="preserve"> στην τριτοβάθμια εκπαίδευση, με βάση το κοινό έργο μεταξύ του ΟΟΣΑ και της Ευρωπαϊκής Επιτροπής</w:t>
      </w:r>
      <w:r>
        <w:rPr>
          <w:rStyle w:val="FootnoteReference"/>
          <w:rFonts w:ascii="Times New Roman" w:hAnsi="Times New Roman"/>
          <w:noProof/>
          <w:sz w:val="24"/>
        </w:rPr>
        <w:footnoteReference w:id="28"/>
      </w:r>
      <w:r>
        <w:rPr>
          <w:rFonts w:ascii="Times New Roman" w:hAnsi="Times New Roman"/>
          <w:noProof/>
          <w:sz w:val="24"/>
        </w:rPr>
        <w:t xml:space="preserve"> στον σχολικό τομέα.</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color w:val="auto"/>
          <w:sz w:val="24"/>
          <w:szCs w:val="24"/>
        </w:rPr>
      </w:pPr>
      <w:r>
        <w:rPr>
          <w:rFonts w:ascii="Times New Roman" w:hAnsi="Times New Roman"/>
          <w:noProof/>
          <w:sz w:val="24"/>
        </w:rPr>
        <w:t xml:space="preserve">Θα αναπτύξει περαιτέρω την πλατφόρμα </w:t>
      </w:r>
      <w:r>
        <w:rPr>
          <w:rFonts w:ascii="Times New Roman" w:hAnsi="Times New Roman"/>
          <w:b/>
          <w:noProof/>
          <w:sz w:val="24"/>
        </w:rPr>
        <w:t>Higher Education for Smart Specialisation (Η τριτοβάθμια εκπαίδευση για την έξυπνη εξειδίκευση)</w:t>
      </w:r>
      <w:r>
        <w:rPr>
          <w:rStyle w:val="FootnoteReference"/>
          <w:rFonts w:ascii="Times New Roman" w:hAnsi="Times New Roman"/>
          <w:noProof/>
          <w:sz w:val="24"/>
        </w:rPr>
        <w:footnoteReference w:id="29"/>
      </w:r>
      <w:r>
        <w:rPr>
          <w:rFonts w:ascii="Times New Roman" w:hAnsi="Times New Roman"/>
          <w:noProof/>
          <w:sz w:val="24"/>
        </w:rPr>
        <w:t xml:space="preserve">, για την παροχή συμβουλών στις </w:t>
      </w:r>
      <w:r>
        <w:rPr>
          <w:rFonts w:ascii="Times New Roman" w:hAnsi="Times New Roman"/>
          <w:noProof/>
          <w:color w:val="auto"/>
          <w:sz w:val="24"/>
        </w:rPr>
        <w:t>δημόσιες αρχές σχετικά με τη στενή συμμετοχή των ΙΤΕ και, όπου είναι δυνατόν, των κοινοτήτων γνώσης και καινοτομίας (ΚΓΚ) του ΕΙΤ στον σχεδιασμό και την εφαρμογή στρατηγικών έξυπνης εξειδίκευσης</w:t>
      </w:r>
      <w:r>
        <w:rPr>
          <w:noProof/>
        </w:rPr>
        <w:t>.</w:t>
      </w:r>
      <w:r>
        <w:rPr>
          <w:rFonts w:ascii="Times New Roman" w:hAnsi="Times New Roman"/>
          <w:noProof/>
          <w:color w:val="auto"/>
          <w:sz w:val="24"/>
        </w:rPr>
        <w:t xml:space="preserve">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αναπτύξει ευκαιρίες στο πλαίσιο των </w:t>
      </w:r>
      <w:r>
        <w:rPr>
          <w:rFonts w:ascii="Times New Roman" w:hAnsi="Times New Roman"/>
          <w:b/>
          <w:noProof/>
          <w:sz w:val="24"/>
        </w:rPr>
        <w:t>δράσεων «Μαρία Σκλοντόφσκα-Κιουρί»</w:t>
      </w:r>
      <w:r>
        <w:rPr>
          <w:rFonts w:ascii="Times New Roman" w:hAnsi="Times New Roman"/>
          <w:noProof/>
          <w:sz w:val="24"/>
        </w:rPr>
        <w:t xml:space="preserve"> που συμβάλλουν στη γεφύρωση του χάσματος έρευνας και καινοτομίας μεταξύ των κρατών μελών και των περιφερειών και βοηθούν στην αντιμετώπιση της διαρροής εγκεφάλων από τις λιγότερο ανεπτυγμένες περιφέρειες.</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ενισχύσει την υποστήριξη της ΕΕ για τη </w:t>
      </w:r>
      <w:r>
        <w:rPr>
          <w:rFonts w:ascii="Times New Roman" w:hAnsi="Times New Roman"/>
          <w:b/>
          <w:noProof/>
          <w:sz w:val="24"/>
        </w:rPr>
        <w:t>συνεργασία πανεπιστημίων και επιχειρήσεων</w:t>
      </w:r>
      <w:r>
        <w:rPr>
          <w:rFonts w:ascii="Times New Roman" w:hAnsi="Times New Roman"/>
          <w:noProof/>
          <w:sz w:val="24"/>
        </w:rPr>
        <w:t>, καθιστώντας το διετές</w:t>
      </w:r>
      <w:r>
        <w:rPr>
          <w:rFonts w:ascii="Times New Roman" w:hAnsi="Times New Roman"/>
          <w:noProof/>
        </w:rPr>
        <w:t xml:space="preserve"> </w:t>
      </w:r>
      <w:r>
        <w:rPr>
          <w:rFonts w:ascii="Times New Roman" w:hAnsi="Times New Roman"/>
          <w:noProof/>
          <w:sz w:val="24"/>
        </w:rPr>
        <w:t xml:space="preserve"> Φόρουμ Πανεπιστημίων-Επιχειρήσεων κεντρικό σημείο ανταλλαγής πληροφοριών σχετικά με τα ΙΤΕ και την περιφερειακή ανάπτυξη σε επίπεδο ΕΕ και προωθώντας την καθιέρωση </w:t>
      </w:r>
      <w:r>
        <w:rPr>
          <w:rFonts w:ascii="Times New Roman" w:hAnsi="Times New Roman"/>
          <w:b/>
          <w:noProof/>
          <w:sz w:val="24"/>
        </w:rPr>
        <w:t xml:space="preserve">περιφερειακών και εθνικών φόρουμ πανεπιστημίων-επιχειρήσεων </w:t>
      </w:r>
      <w:r>
        <w:rPr>
          <w:rFonts w:ascii="Times New Roman" w:hAnsi="Times New Roman"/>
          <w:noProof/>
          <w:sz w:val="24"/>
        </w:rPr>
        <w:t>σε όλη την ΕΕ.</w:t>
      </w:r>
    </w:p>
    <w:p>
      <w:pPr>
        <w:pStyle w:val="Heading2"/>
        <w:spacing w:before="360" w:after="200"/>
        <w:rPr>
          <w:rFonts w:ascii="Times New Roman" w:hAnsi="Times New Roman" w:cs="Times New Roman"/>
          <w:noProof/>
          <w:color w:val="auto"/>
          <w:sz w:val="24"/>
          <w:szCs w:val="24"/>
        </w:rPr>
      </w:pPr>
      <w:bookmarkStart w:id="6" w:name="_Toc472341206"/>
      <w:r>
        <w:rPr>
          <w:rFonts w:ascii="Times New Roman" w:hAnsi="Times New Roman"/>
          <w:noProof/>
          <w:color w:val="auto"/>
          <w:sz w:val="24"/>
        </w:rPr>
        <w:t>2.4.</w:t>
      </w:r>
      <w:r>
        <w:rPr>
          <w:noProof/>
        </w:rPr>
        <w:tab/>
      </w:r>
      <w:bookmarkEnd w:id="6"/>
      <w:r>
        <w:rPr>
          <w:rFonts w:ascii="Times New Roman" w:hAnsi="Times New Roman"/>
          <w:noProof/>
          <w:color w:val="auto"/>
          <w:sz w:val="24"/>
        </w:rPr>
        <w:t>Υποστήριξη αποτελεσματικών και αποδοτικών συστημάτων τριτοβάθμιας εκπαίδευσης</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Η ικανότητα των ιδρυμάτων και συστημάτων της τριτοβάθμιας εκπαίδευσης να παράγουν ό,τι χρειάζεται η Ευρώπη απαιτεί την επάρκεια σε ανθρώπινους και οικονομικούς πόρους και την αποτελεσματική διάθεση κινήτρων και ανταμοιβών. Οι κυβερνήσεις εξακολουθούν να αποτελούν τον κύριο χρηματοδότη της τριτοβάθμιας εκπαίδευσης στα περισσότερα κράτη μέλη της ΕΕ και, σε όλες τις περιπτώσεις, διαδραματίζουν καίριο ρόλο στη </w:t>
      </w:r>
      <w:r>
        <w:rPr>
          <w:rFonts w:ascii="Times New Roman" w:hAnsi="Times New Roman"/>
          <w:b/>
          <w:noProof/>
          <w:sz w:val="24"/>
        </w:rPr>
        <w:t>θέσπιση κινήτρων, στόχων και προτύπων ποιότητας</w:t>
      </w:r>
      <w:r>
        <w:rPr>
          <w:rFonts w:ascii="Times New Roman" w:hAnsi="Times New Roman"/>
          <w:noProof/>
          <w:sz w:val="24"/>
        </w:rPr>
        <w:t xml:space="preserve"> για το σύστημα της τριτοβάθμιας εκπαίδευσης στο σύνολό του.</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Αφού η τριτοβάθμια εκπαίδευση καλείται να πράξει περισσότερα, καθίσταται πιο δύσκολο για τις κυβερνήσεις και τα ΙΤΕ να προσδιορίσουν τους καλύτερους τρόπους για τη </w:t>
      </w:r>
      <w:r>
        <w:rPr>
          <w:rFonts w:ascii="Times New Roman" w:hAnsi="Times New Roman"/>
          <w:b/>
          <w:noProof/>
          <w:sz w:val="24"/>
        </w:rPr>
        <w:t>στοχοθέτηση και την εξισορρόπηση των επενδύσεων</w:t>
      </w:r>
      <w:r>
        <w:rPr>
          <w:rFonts w:ascii="Times New Roman" w:hAnsi="Times New Roman"/>
          <w:noProof/>
          <w:sz w:val="24"/>
        </w:rPr>
        <w:t xml:space="preserve">. Ένα ζήτημα είναι αν θα πρέπει και μπορούν να χρησιμοποιηθούν περισσότερα ιδιωτικά κεφάλαια για τη χρηματοδότηση της τριτοβάθμιας εκπαίδευσης. Ένα δεύτερο ζήτημα είναι ο τρόπος σχεδιασμού των συστημάτων χρηματοδότησης που ενθαρρύνουν την τριτοβάθμια εκπαίδευση να ανταποκριθεί στις ανάγκες της κοινωνίας και να εναρμονίσει τους στόχους της αποτελεσματικότητας, της ισότητας και της αποδοτικότητας. Πολλά κράτη μέλη δοκιμάζουν ρυθμίσεις χρηματοδότησης με βάση την απόδοση και θεσμικές συμφωνίες που θέτουν συμφωνημένους στόχους που θα πρέπει να επιτυγχάνουν μεμονωμένα ΙΤΕ σε ανταπόδοση των δημόσιων πόρων. Αν και τα πρώτα αποτελέσματα των δραστηριοτήτων αυτών είναι ελπιδοφόρα, ο καθορισμός κατάλληλων εκτενών δεικτών για τη μέτρηση της προόδου αποτελεί πρόκληση.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Εκτός από διαρθρωτικά μέτρα στο συνολικό σύστημα χρηματοδότησης, ορισμένες χώρες θεσπίζουν στοχοθετημένα κίνητρα για τη βελτίωση συγκεκριμένων πτυχών της τριτοβάθμιας εκπαίδευσης. Για να αυξηθούν το </w:t>
      </w:r>
      <w:r>
        <w:rPr>
          <w:rFonts w:ascii="Times New Roman" w:hAnsi="Times New Roman"/>
          <w:b/>
          <w:noProof/>
          <w:sz w:val="24"/>
        </w:rPr>
        <w:t>κύρος και τα οφέλη που συνδέονται με την καλή διδασκαλία</w:t>
      </w:r>
      <w:r>
        <w:rPr>
          <w:rFonts w:ascii="Times New Roman" w:hAnsi="Times New Roman"/>
          <w:noProof/>
          <w:sz w:val="24"/>
        </w:rPr>
        <w:t>, ορισμένες χώρες έχουν εισαγάγει νέες μορφές υποτροφιών για εκπαιδευτικούς και πλαίσια για την αριστεία του διδακτικού προσωπικού. Άλλες πρωτοβουλίες αποσκοπούν στην ενίσχυση της σχέσης μεταξύ της διδασκαλίας και της έρευνας, μέσω της καλύτερης ενσωμάτωσης ποιοτικών πλαισίων και συστημάτων χρηματοδότησης</w:t>
      </w:r>
      <w:r>
        <w:rPr>
          <w:rStyle w:val="FootnoteReference"/>
          <w:rFonts w:ascii="Times New Roman" w:hAnsi="Times New Roman"/>
          <w:noProof/>
          <w:sz w:val="24"/>
        </w:rPr>
        <w:footnoteReference w:id="30"/>
      </w:r>
      <w:r>
        <w:rPr>
          <w:rFonts w:ascii="Times New Roman" w:hAnsi="Times New Roman"/>
          <w:noProof/>
          <w:sz w:val="24"/>
        </w:rPr>
        <w:t xml:space="preserve">. Χρησιμοποιήθηκαν επίσης χρηματοδοτικές πρωτοβουλίες για τη δημιουργία δεσμών μεταξύ ΙΤΕ και εταίρων εκτός αυτής, την προώθηση της διδασκαλίας που βασίζεται στην έρευνα, τη στήριξη της διεπιστημονικής εκπαίδευσης και έρευνας και την εισαγωγή της πρακτικής καινοτομίας στην αίθουσα διδασκαλίας.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Μολονότι τα ΙΤΕ λειτουργούν σε ένα πλαίσιο που έχει δημιουργηθεί από τις δημόσιες αρχές (χρηματοδότηση, πιστοποίηση, διασφάλιση της ποιότητας), η κατανομή των πόρων και η δημιουργία κινήτρων </w:t>
      </w:r>
      <w:r>
        <w:rPr>
          <w:rFonts w:ascii="Times New Roman" w:hAnsi="Times New Roman"/>
          <w:i/>
          <w:noProof/>
          <w:sz w:val="24"/>
        </w:rPr>
        <w:t>εντός</w:t>
      </w:r>
      <w:r>
        <w:rPr>
          <w:rFonts w:ascii="Times New Roman" w:hAnsi="Times New Roman"/>
          <w:noProof/>
          <w:sz w:val="24"/>
        </w:rPr>
        <w:t xml:space="preserve"> των ιδρυμάτων έχει σημαντικό αντίκτυπο. Η ορθή θεσμική ηγεσία και η αποτελεσματική </w:t>
      </w:r>
      <w:r>
        <w:rPr>
          <w:rFonts w:ascii="Times New Roman" w:hAnsi="Times New Roman"/>
          <w:b/>
          <w:noProof/>
          <w:sz w:val="24"/>
        </w:rPr>
        <w:t>εσωτερική συνεργασία και διαχείριση των πόρων</w:t>
      </w:r>
      <w:r>
        <w:rPr>
          <w:rFonts w:ascii="Times New Roman" w:hAnsi="Times New Roman"/>
          <w:noProof/>
          <w:sz w:val="24"/>
        </w:rPr>
        <w:t xml:space="preserve"> αποκτούν ακόμη μεγαλύτερη σημασία όταν το φάσμα καθηκόντων των ιδρυμάτων διευρύνεται και όταν δίνεται μεγαλύτερη έμφαση στη μέτρηση και την απόδειξη της απόδοσης.</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Η Επιτροπή:</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ξεκινήσει </w:t>
      </w:r>
      <w:r>
        <w:rPr>
          <w:rFonts w:ascii="Times New Roman" w:hAnsi="Times New Roman"/>
          <w:b/>
          <w:noProof/>
          <w:sz w:val="24"/>
        </w:rPr>
        <w:t>επανεξέταση των δομών χρηματοδότησης, παροχής κινήτρων και ανταμοιβής για τα συστήματα τριτοβάθμιας εκπαίδευσης</w:t>
      </w:r>
      <w:r>
        <w:rPr>
          <w:rFonts w:ascii="Times New Roman" w:hAnsi="Times New Roman"/>
          <w:noProof/>
          <w:sz w:val="24"/>
        </w:rPr>
        <w:t xml:space="preserve">, σε συνεργασία με τον ΟΟΣΑ, και θα αξιοποιήσει το πρόγραμμα </w:t>
      </w:r>
      <w:r>
        <w:rPr>
          <w:rFonts w:ascii="Times New Roman" w:hAnsi="Times New Roman"/>
          <w:b/>
          <w:noProof/>
          <w:sz w:val="24"/>
        </w:rPr>
        <w:t>παροχής συμβουλών από ομοτίμους για τα κράτη μέλη της ΕΕ</w:t>
      </w:r>
      <w:r>
        <w:rPr>
          <w:rFonts w:ascii="Times New Roman" w:hAnsi="Times New Roman"/>
          <w:noProof/>
          <w:sz w:val="24"/>
        </w:rPr>
        <w:t xml:space="preserve"> για τον καλό σχεδιασμό των κινήτρων και της χρηματοδότησης στον τομέα της τριτοβάθμιας εκπαίδευσης.</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εξασφαλίσει ότι οι ερευνητές ενθαρρύνονται να εκτελούν καθήκοντα διδασκαλίας, και/ή ότι ασκούνται προς τούτο, ως αναπόσπαστο μέρος των </w:t>
      </w:r>
      <w:r>
        <w:rPr>
          <w:rFonts w:ascii="Times New Roman" w:hAnsi="Times New Roman"/>
          <w:b/>
          <w:noProof/>
          <w:sz w:val="24"/>
        </w:rPr>
        <w:t>δράσεων Marie Skłodowska-Curie</w:t>
      </w:r>
      <w:r>
        <w:rPr>
          <w:rFonts w:ascii="Times New Roman" w:hAnsi="Times New Roman"/>
          <w:noProof/>
          <w:sz w:val="24"/>
        </w:rPr>
        <w:t>.</w:t>
      </w:r>
    </w:p>
    <w:p>
      <w:pPr>
        <w:pStyle w:val="Heading1"/>
        <w:spacing w:before="360" w:after="200"/>
        <w:rPr>
          <w:rFonts w:ascii="Times New Roman" w:hAnsi="Times New Roman" w:cs="Times New Roman"/>
          <w:noProof/>
          <w:color w:val="auto"/>
          <w:sz w:val="24"/>
          <w:szCs w:val="24"/>
        </w:rPr>
      </w:pPr>
      <w:bookmarkStart w:id="7" w:name="_Toc472341207"/>
      <w:r>
        <w:rPr>
          <w:rFonts w:ascii="Times New Roman" w:hAnsi="Times New Roman"/>
          <w:noProof/>
          <w:color w:val="auto"/>
          <w:sz w:val="24"/>
        </w:rPr>
        <w:t>3.</w:t>
      </w:r>
      <w:r>
        <w:rPr>
          <w:noProof/>
        </w:rPr>
        <w:tab/>
      </w:r>
      <w:r>
        <w:rPr>
          <w:rFonts w:ascii="Times New Roman" w:hAnsi="Times New Roman"/>
          <w:noProof/>
          <w:color w:val="auto"/>
          <w:sz w:val="24"/>
        </w:rPr>
        <w:t>ΕΞΟΡΘΟΛΟΓΙΣΜΟΣ ΤΗΣ ΣΤΗΡΙΞΗΣ ΤΗΣ ΕΕ ΓΙΑ ΤΗΝ ΤΡΙΤΟΒΑΘΜΙΑ ΕΚΠΑΙΔΕΥΣΗ</w:t>
      </w:r>
      <w:bookmarkEnd w:id="7"/>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Προκειμένου να σημειωθεί πρόοδος, οι δραστηριότητες και η χρηματοδότηση της ΕΕ πρέπει να συντονίζονται καλύτερα...</w:t>
      </w:r>
    </w:p>
    <w:p>
      <w:pPr>
        <w:pStyle w:val="ListParagraph"/>
        <w:ind w:left="0"/>
        <w:jc w:val="both"/>
        <w:rPr>
          <w:rFonts w:ascii="Times New Roman" w:hAnsi="Times New Roman" w:cs="Times New Roman"/>
          <w:noProof/>
          <w:sz w:val="24"/>
          <w:szCs w:val="24"/>
        </w:rPr>
      </w:pPr>
      <w:r>
        <w:rPr>
          <w:rFonts w:ascii="Times New Roman" w:hAnsi="Times New Roman"/>
          <w:noProof/>
          <w:sz w:val="24"/>
        </w:rPr>
        <w:t>Οι προτεραιότητες που περιγράφονται στο παρόν έγγραφο καταδεικνύουν τον βαθμό στον οποίο συνδέονται μεταξύ τους οι ρόλοι της τριτοβάθμιας εκπαίδευσης στην εκπαίδευση, την έρευνα, την κοινωνία και την καινοτομία - τα τέσσερα στοιχεία της γνωσιακής έλικας</w:t>
      </w:r>
      <w:r>
        <w:rPr>
          <w:rStyle w:val="FootnoteReference"/>
          <w:rFonts w:ascii="Times New Roman" w:hAnsi="Times New Roman"/>
          <w:noProof/>
          <w:sz w:val="24"/>
        </w:rPr>
        <w:footnoteReference w:id="31"/>
      </w:r>
      <w:r>
        <w:rPr>
          <w:rFonts w:ascii="Times New Roman" w:hAnsi="Times New Roman"/>
          <w:noProof/>
          <w:sz w:val="24"/>
        </w:rPr>
        <w:t xml:space="preserve">. Για να μπορέσουν τα συστήματα της τριτοβάθμιας εκπαίδευσης να εργαστούν αποτελεσματικά, οι δεσμοί αυτοί θα πρέπει να αναγνωρίζονται και να ενισχύονται στις στρατηγικές των μεμονωμένων ΙΤΕ, στην εθνική και περιφερειακή πολιτική για την τριτοβάθμια εκπαίδευση και σε όλες τις δραστηριότητες της ΕΕ. </w:t>
      </w:r>
    </w:p>
    <w:p>
      <w:pPr>
        <w:pStyle w:val="ListParagraph"/>
        <w:ind w:left="0"/>
        <w:jc w:val="both"/>
        <w:rPr>
          <w:rFonts w:ascii="Times New Roman" w:hAnsi="Times New Roman"/>
          <w:b/>
          <w:i/>
          <w:iCs/>
          <w:noProof/>
          <w:sz w:val="24"/>
          <w:szCs w:val="24"/>
        </w:rPr>
      </w:pPr>
      <w:r>
        <w:rPr>
          <w:rFonts w:ascii="Times New Roman" w:hAnsi="Times New Roman"/>
          <w:b/>
          <w:i/>
          <w:noProof/>
          <w:sz w:val="24"/>
        </w:rPr>
        <w:t>...για την τεκμηρίωση των στοιχείων που χρησιμοποιούνται για τη χάραξη πολιτικής και την πρακτική...</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Με τη μέτρηση των επιδόσεων των πολιτικών, των συστημάτων και μεμονωμένων ιδρυμάτων τριτοβάθμιας εκπαίδευσης με συγκρίσιμο τρόπο, η ΕΕ βοηθά στο να παρέχονται διαφωτιστικά στοιχεία για το τι λειτουργεί. Αυτό μπορεί να χρησιμοποιηθεί ως έναυσμα στις συζητήσεις στο πλαίσιο των εθνικών συστημάτων και ιδρυμάτων, καθώς και ως βάση για την εξεύρεση καλύτερων λύσεων για τα προβλήματα.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Για την εμπέδωση και τη βελτίωση της διαδικασίας συγκέντρωσης στοιχείων σχετικά με την τριτοβάθμια εκπαίδευση, η Επιτροπή:</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βελτιστοποιήσει τις συνέργειες μεταξύ των ευρωπαϊκών εργαλείων τεκμηρίωσης με τη δημιουργία ενός </w:t>
      </w:r>
      <w:r>
        <w:rPr>
          <w:rFonts w:ascii="Times New Roman" w:hAnsi="Times New Roman"/>
          <w:b/>
          <w:noProof/>
          <w:sz w:val="24"/>
        </w:rPr>
        <w:t>κόμβου γνώσης σχετικά με την τριτοβάθμια εκπαίδευση</w:t>
      </w:r>
      <w:r>
        <w:rPr>
          <w:rFonts w:ascii="Times New Roman" w:hAnsi="Times New Roman"/>
          <w:noProof/>
          <w:sz w:val="24"/>
        </w:rPr>
        <w:t>. Θα ενσωματώσει το Ευρωπαϊκό Μητρώο Τριτοβάθμιας Εκπαίδευσης (ETER)</w:t>
      </w:r>
      <w:r>
        <w:rPr>
          <w:rStyle w:val="FootnoteReference"/>
          <w:noProof/>
        </w:rPr>
        <w:footnoteReference w:id="32"/>
      </w:r>
      <w:r>
        <w:rPr>
          <w:rFonts w:ascii="Times New Roman" w:hAnsi="Times New Roman"/>
          <w:noProof/>
          <w:sz w:val="24"/>
        </w:rPr>
        <w:t xml:space="preserve"> U-Multirank</w:t>
      </w:r>
      <w:r>
        <w:rPr>
          <w:rStyle w:val="FootnoteReference"/>
          <w:noProof/>
        </w:rPr>
        <w:footnoteReference w:id="33"/>
      </w:r>
      <w:r>
        <w:rPr>
          <w:rFonts w:ascii="Times New Roman" w:hAnsi="Times New Roman"/>
          <w:noProof/>
          <w:sz w:val="24"/>
        </w:rPr>
        <w:t xml:space="preserve"> και την προτεινόμενη δοκιμαστική φάση παρακολούθησης της σταδιοδρομίας των αποφοίτων, για να βελτιωθούν η ποιότητα των στοιχείων, η συγκρισιμότητα και η συλλογή τους, καθώς και οι δείκτες και για να αντληθούν διδάγματα από την έως σήμερα υλοποίηση των εργαλείων συλλογής στοιχείων για την τριτοβάθμια εκπαίδευση.</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ενισχύσει τις εργασίες του </w:t>
      </w:r>
      <w:r>
        <w:rPr>
          <w:rFonts w:ascii="Times New Roman" w:hAnsi="Times New Roman"/>
          <w:b/>
          <w:noProof/>
          <w:sz w:val="24"/>
        </w:rPr>
        <w:t>δικτύου Eurydice</w:t>
      </w:r>
      <w:r>
        <w:rPr>
          <w:rFonts w:ascii="Times New Roman" w:hAnsi="Times New Roman"/>
          <w:noProof/>
          <w:sz w:val="24"/>
        </w:rPr>
        <w:t xml:space="preserve"> και τη </w:t>
      </w:r>
      <w:r>
        <w:rPr>
          <w:rFonts w:ascii="Times New Roman" w:hAnsi="Times New Roman"/>
          <w:b/>
          <w:noProof/>
          <w:sz w:val="24"/>
        </w:rPr>
        <w:t xml:space="preserve">συνεργασία </w:t>
      </w:r>
      <w:r>
        <w:rPr>
          <w:rFonts w:ascii="Times New Roman" w:hAnsi="Times New Roman"/>
          <w:noProof/>
          <w:sz w:val="24"/>
        </w:rPr>
        <w:t>της Επιτροπής</w:t>
      </w:r>
      <w:r>
        <w:rPr>
          <w:rFonts w:ascii="Times New Roman" w:hAnsi="Times New Roman"/>
          <w:b/>
          <w:noProof/>
          <w:sz w:val="24"/>
        </w:rPr>
        <w:t xml:space="preserve"> με τον ΟΟΣΑ</w:t>
      </w:r>
      <w:r>
        <w:rPr>
          <w:rFonts w:ascii="Times New Roman" w:hAnsi="Times New Roman"/>
          <w:noProof/>
          <w:sz w:val="24"/>
        </w:rPr>
        <w:t xml:space="preserve"> και τις χώρες μέλη του στον τομέα της τριτοβάθμιας εκπαίδευσης, της έρευνας και της καινοτομίας, ώστε να αποφευχθεί η αλληλεπικάλυψη προσπαθειών και να αξιοποιηθούν οι κοινές εργασίες.</w:t>
      </w:r>
    </w:p>
    <w:p>
      <w:pPr>
        <w:pStyle w:val="ListParagraph"/>
        <w:spacing w:before="240"/>
        <w:ind w:left="0"/>
        <w:jc w:val="both"/>
        <w:rPr>
          <w:rFonts w:ascii="Times New Roman" w:eastAsia="Times New Roman" w:hAnsi="Times New Roman" w:cs="Times New Roman"/>
          <w:b/>
          <w:i/>
          <w:iCs/>
          <w:noProof/>
          <w:sz w:val="24"/>
          <w:szCs w:val="24"/>
        </w:rPr>
      </w:pPr>
      <w:r>
        <w:rPr>
          <w:rFonts w:ascii="Times New Roman" w:hAnsi="Times New Roman"/>
          <w:b/>
          <w:i/>
          <w:noProof/>
          <w:sz w:val="24"/>
        </w:rPr>
        <w:t>...για να εξασφαλίζεται ότι αξιοποιούνται οι διαθέσιμοι πόροι για επενδύσεις στρατηγικού χαρακτήρα στην τριτοβάθμια εκπαίδευση</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Εκτός από τη χρηματοδότηση από το πρόγραμμα </w:t>
      </w:r>
      <w:r>
        <w:rPr>
          <w:rFonts w:ascii="Times New Roman" w:hAnsi="Times New Roman"/>
          <w:b/>
          <w:noProof/>
          <w:sz w:val="24"/>
        </w:rPr>
        <w:t>Erasmus+</w:t>
      </w:r>
      <w:r>
        <w:rPr>
          <w:rFonts w:ascii="Times New Roman" w:hAnsi="Times New Roman"/>
          <w:noProof/>
          <w:sz w:val="24"/>
        </w:rPr>
        <w:t xml:space="preserve">, έχει χορηγηθεί σημαντική χρηματοδότηση από τα </w:t>
      </w:r>
      <w:r>
        <w:rPr>
          <w:rFonts w:ascii="Times New Roman" w:hAnsi="Times New Roman"/>
          <w:b/>
          <w:noProof/>
          <w:sz w:val="24"/>
        </w:rPr>
        <w:t>ευρωπαϊκά διαρθρωτικά και επενδυτικά ταμεία</w:t>
      </w:r>
      <w:r>
        <w:rPr>
          <w:rFonts w:ascii="Times New Roman" w:hAnsi="Times New Roman"/>
          <w:noProof/>
          <w:sz w:val="24"/>
        </w:rPr>
        <w:t xml:space="preserve"> για τη στήριξη της τριτοβάθμιας εκπαίδευσης σε πολλά μέρη της ΕΕ, ιδίως στις λιγότερο ανεπτυγμένες περιφέρειες</w:t>
      </w:r>
      <w:r>
        <w:rPr>
          <w:rStyle w:val="FootnoteReference"/>
          <w:noProof/>
        </w:rPr>
        <w:footnoteReference w:id="34"/>
      </w:r>
      <w:r>
        <w:rPr>
          <w:rFonts w:ascii="Times New Roman" w:hAnsi="Times New Roman"/>
          <w:noProof/>
          <w:sz w:val="24"/>
        </w:rPr>
        <w:t>. Το σχέδιο HESS</w:t>
      </w:r>
      <w:r>
        <w:rPr>
          <w:rStyle w:val="FootnoteReference"/>
          <w:rFonts w:ascii="Times New Roman" w:hAnsi="Times New Roman"/>
          <w:noProof/>
          <w:sz w:val="24"/>
        </w:rPr>
        <w:footnoteReference w:id="35"/>
      </w:r>
      <w:r>
        <w:rPr>
          <w:rFonts w:ascii="Times New Roman" w:hAnsi="Times New Roman"/>
          <w:noProof/>
          <w:sz w:val="24"/>
        </w:rPr>
        <w:t xml:space="preserve"> αποτελεί σημαντικό στοιχείο της τρέχουσας στρατηγικής της Επιτροπής, ώστε να βοηθηθούν τα ΙΤΕ να βελτιστοποιήσουν τους πόρους αυτούς με τη βελτίωση του αντικτύπου τους στις περιφερειακές οικονομίες και στην ικανότητα για καινοτομία. Έχει επίσης αρχίσει να αξιοποιείται το </w:t>
      </w:r>
      <w:r>
        <w:rPr>
          <w:rFonts w:ascii="Times New Roman" w:hAnsi="Times New Roman"/>
          <w:b/>
          <w:noProof/>
          <w:sz w:val="24"/>
        </w:rPr>
        <w:t>Ευρωπαϊκό Ταμείο Στρατηγικών Επενδύσεων</w:t>
      </w:r>
      <w:r>
        <w:rPr>
          <w:rFonts w:ascii="Times New Roman" w:hAnsi="Times New Roman"/>
          <w:noProof/>
          <w:sz w:val="24"/>
        </w:rPr>
        <w:t xml:space="preserve"> (ΕΤΣΕ) για να προσελκυστούν ιδιωτικές επενδύσεις σε συγκεκριμένες δραστηριότητες της τριτοβάθμιας εκπαίδευσης που προσφέρουν καλές προοπτικές οικονομικής απόδοσης αλλά που αποθαρρύνουν παραδοσιακούς δανειστές του ιδιωτικού τομέα.</w:t>
      </w:r>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...και για να προωθείται η διεθνής συνεργασία, η ανταλλαγή και η κινητικότητα για την τόνωση της ποιότητας</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Μέσω των ενεργειών της, η Επιτροπή επιδιώκει να εξασφαλίσει την ανταλλαγή και την εφαρμογή, όσο το δυνατόν ευρύτερα στην Ευρώπη και παγκόσμια, των ορθών πρακτικών και των τελευταίων εξελίξεων στους τομείς της εκπαίδευσης, της έρευνας και της καινοτομίας. Αυτή η </w:t>
      </w:r>
      <w:r>
        <w:rPr>
          <w:rFonts w:ascii="Times New Roman" w:hAnsi="Times New Roman"/>
          <w:b/>
          <w:noProof/>
          <w:sz w:val="24"/>
        </w:rPr>
        <w:t>διεθνής κυκλοφορία ιδεών</w:t>
      </w:r>
      <w:r>
        <w:rPr>
          <w:rFonts w:ascii="Times New Roman" w:hAnsi="Times New Roman"/>
          <w:noProof/>
          <w:sz w:val="24"/>
        </w:rPr>
        <w:t xml:space="preserve"> εξαρτάται από τη </w:t>
      </w:r>
      <w:r>
        <w:rPr>
          <w:rFonts w:ascii="Times New Roman" w:hAnsi="Times New Roman"/>
          <w:b/>
          <w:noProof/>
          <w:sz w:val="24"/>
        </w:rPr>
        <w:t>συνεργασία</w:t>
      </w:r>
      <w:r>
        <w:rPr>
          <w:rFonts w:ascii="Times New Roman" w:hAnsi="Times New Roman"/>
          <w:noProof/>
          <w:sz w:val="24"/>
        </w:rPr>
        <w:t xml:space="preserve"> μεταξύ των φοιτητών, των ερευνητών, του προσωπικού, των ιδρυμάτων και των κυβερνήσεων· τη φυσική </w:t>
      </w:r>
      <w:r>
        <w:rPr>
          <w:rFonts w:ascii="Times New Roman" w:hAnsi="Times New Roman"/>
          <w:b/>
          <w:noProof/>
          <w:sz w:val="24"/>
        </w:rPr>
        <w:t>κινητικότητα</w:t>
      </w:r>
      <w:r>
        <w:rPr>
          <w:rFonts w:ascii="Times New Roman" w:hAnsi="Times New Roman"/>
          <w:noProof/>
          <w:sz w:val="24"/>
        </w:rPr>
        <w:t xml:space="preserve"> των ατόμων· και την υποστήριξη της «διεθνοποίησης εντός της χώρας», στο πλαίσιο των ευρωπαϊκών ΙΤΕ. Αυτό με τη σειρά του βοηθά τα ιδρύματα να γίνουν πιο ανοικτά στον κόσμο και συμβάλλει στην αναχαίτιση της διαρροής εγκεφάλων. </w:t>
      </w:r>
    </w:p>
    <w:p>
      <w:pPr>
        <w:pStyle w:val="ListParagraph"/>
        <w:ind w:left="0"/>
        <w:jc w:val="both"/>
        <w:rPr>
          <w:rFonts w:ascii="Times New Roman" w:hAnsi="Times New Roman" w:cs="Times New Roman"/>
          <w:noProof/>
          <w:sz w:val="24"/>
          <w:szCs w:val="24"/>
        </w:rPr>
      </w:pPr>
      <w:r>
        <w:rPr>
          <w:rFonts w:ascii="Times New Roman" w:hAnsi="Times New Roman"/>
          <w:noProof/>
          <w:sz w:val="24"/>
        </w:rPr>
        <w:t>Η τριτοβάθμια εκπαίδευση και τα ερευνητικά προγράμματα της ΕΕ αυξάνουν την εστίαση στη διεθνή συνεργασία, αντανακλώντας την απαιτούμενη εμπειρογνωσία για την επίλυση σύνθετων παγκόσμιων προκλήσεων. Η Επιτροπή θα εξακολουθήσει να διευκολύνει την κινητικότητα φοιτητών και προσωπικού, εξασφαλίζοντας ότι τα κράτη μέλη εφαρμόζουν την αναδιατυπωμένη οδηγία για τους φοιτητές και τους ερευνητές</w:t>
      </w:r>
      <w:r>
        <w:rPr>
          <w:rStyle w:val="FootnoteReference"/>
          <w:rFonts w:ascii="Times New Roman" w:hAnsi="Times New Roman"/>
          <w:noProof/>
          <w:sz w:val="24"/>
        </w:rPr>
        <w:footnoteReference w:id="36"/>
      </w:r>
      <w:r>
        <w:rPr>
          <w:rFonts w:ascii="Times New Roman" w:hAnsi="Times New Roman"/>
          <w:noProof/>
          <w:sz w:val="24"/>
        </w:rPr>
        <w:t xml:space="preserve"> και προωθώντας την ηλεκτρονική ανταλλαγή στοιχείων μεταξύ των ευρωπαϊκών ΙΤΕ και των μετακινούμενων φοιτητών και του προσωπικού. Ενόψει της υπουργικής διάσκεψης της διαδικασίας της Μπολόνια το 2018, η Επιτροπή θα συγκαλέσει, επίσης, τα κράτη μέλη της ΕΕ για να συζητήσουν την κατεύθυνση της μελλοντικής συνεργασίας στον Ευρωπαϊκό Xώρο Tριτοβάθμιας Εκπαίδευσης.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Κατά την προετοιμασία του </w:t>
      </w:r>
      <w:r>
        <w:rPr>
          <w:rFonts w:ascii="Times New Roman" w:hAnsi="Times New Roman"/>
          <w:b/>
          <w:noProof/>
          <w:sz w:val="24"/>
        </w:rPr>
        <w:t>επόμενου πολυετούς προϋπολογισμού της ΕΕ</w:t>
      </w:r>
      <w:r>
        <w:rPr>
          <w:rFonts w:ascii="Times New Roman" w:hAnsi="Times New Roman"/>
          <w:noProof/>
          <w:sz w:val="24"/>
        </w:rPr>
        <w:t>, η Επιτροπή θα διερευνήσει, από κοινού με τα κράτη μέλη, το μέλλον των κοινών στόχων της ΕΕ στους τομείς της εκπαίδευσης, της έρευνας και της καινοτομίας και θα προσπαθήσει να ενισχύσει τη συνεργασία σε αυτούς τους τομείς, ως βάση για την επίτευξη των στόχων που καθορίζονται στην παρούσα ανακοίνωση.</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Η Επιτροπή:</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Θα απλουστεύσει την κινητικότητα των φοιτητών μέσω της αξιοποίησης υφιστάμενων σχεδίων του Erasmus+</w:t>
      </w:r>
      <w:r>
        <w:rPr>
          <w:rStyle w:val="FootnoteReference"/>
          <w:rFonts w:ascii="Times New Roman" w:hAnsi="Times New Roman"/>
          <w:noProof/>
          <w:sz w:val="24"/>
        </w:rPr>
        <w:footnoteReference w:id="37"/>
      </w:r>
      <w:r>
        <w:rPr>
          <w:rFonts w:ascii="Times New Roman" w:hAnsi="Times New Roman"/>
          <w:noProof/>
          <w:sz w:val="24"/>
        </w:rPr>
        <w:t xml:space="preserve"> για την </w:t>
      </w:r>
      <w:r>
        <w:rPr>
          <w:rFonts w:ascii="Times New Roman" w:hAnsi="Times New Roman"/>
          <w:b/>
          <w:noProof/>
          <w:sz w:val="24"/>
        </w:rPr>
        <w:t>ηλεκτρονική ανταλλαγή δεδομένων των φοιτητών</w:t>
      </w:r>
      <w:r>
        <w:rPr>
          <w:rFonts w:ascii="Times New Roman" w:hAnsi="Times New Roman"/>
          <w:noProof/>
          <w:sz w:val="24"/>
        </w:rPr>
        <w:t xml:space="preserve"> και θα διερευνήσει τη δυνατότητα καθιέρωσης </w:t>
      </w:r>
      <w:r>
        <w:rPr>
          <w:rFonts w:ascii="Times New Roman" w:hAnsi="Times New Roman"/>
          <w:b/>
          <w:noProof/>
          <w:sz w:val="24"/>
        </w:rPr>
        <w:t>ηλεκτρονικών συστημάτων αναγνώρισης των φοιτητών</w:t>
      </w:r>
      <w:r>
        <w:rPr>
          <w:rFonts w:ascii="Times New Roman" w:hAnsi="Times New Roman"/>
          <w:noProof/>
          <w:sz w:val="24"/>
        </w:rPr>
        <w:t>, ώστε να καταστεί δυνατή η διασυνοριακή πρόσβαση σε φοιτητικά δεδομένα και υπηρεσίες.</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Θα ξεκινήσει διάλογο με τα κράτη μέλη και τα ενδιαφερόμενα μέρη, στο πλαίσιο της </w:t>
      </w:r>
      <w:r>
        <w:rPr>
          <w:rFonts w:ascii="Times New Roman" w:hAnsi="Times New Roman"/>
          <w:b/>
          <w:noProof/>
          <w:sz w:val="24"/>
        </w:rPr>
        <w:t>ενδιάμεσης επανεξέτασης του Erasmus+</w:t>
      </w:r>
      <w:r>
        <w:rPr>
          <w:rFonts w:ascii="Times New Roman" w:hAnsi="Times New Roman"/>
          <w:noProof/>
          <w:sz w:val="24"/>
        </w:rPr>
        <w:t xml:space="preserve">, σχετικά με την αποτελεσματική στήριξη των φοιτητών, του προσωπικού, των ιδρυμάτων και των συστημάτων της τριτοβάθμιας εκπαίδευσης.  </w:t>
      </w:r>
    </w:p>
    <w:p>
      <w:pPr>
        <w:pStyle w:val="Heading1"/>
        <w:spacing w:before="360" w:after="200"/>
        <w:rPr>
          <w:rFonts w:ascii="Times New Roman" w:hAnsi="Times New Roman" w:cs="Times New Roman"/>
          <w:noProof/>
          <w:color w:val="auto"/>
          <w:sz w:val="24"/>
          <w:szCs w:val="24"/>
        </w:rPr>
      </w:pPr>
      <w:r>
        <w:rPr>
          <w:rFonts w:ascii="Times New Roman" w:hAnsi="Times New Roman"/>
          <w:noProof/>
          <w:color w:val="auto"/>
          <w:sz w:val="24"/>
        </w:rPr>
        <w:t>4.</w:t>
      </w:r>
      <w:r>
        <w:rPr>
          <w:noProof/>
        </w:rPr>
        <w:tab/>
      </w:r>
      <w:r>
        <w:rPr>
          <w:rFonts w:ascii="Times New Roman" w:hAnsi="Times New Roman"/>
          <w:noProof/>
          <w:color w:val="auto"/>
          <w:sz w:val="24"/>
        </w:rPr>
        <w:t>ΣΥΜΠΕΡΑΣΜΑΤΑ ΚΑΙ ΕΠΟΜΕΝΑ ΒΗΜΑΤΑ</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Η υλοποίηση αυτής της ανανεωμένης ατζέντας θα απαιτήσει τη συνεργασία μεταξύ των ενδιαφερόμενων φορέων εντός και εκτός της τριτοβάθμιας εκπαίδευσης. Η Επιτροπή θα αρχίσει διάλογο σχετικά με την εφαρμογή των δράσεων αυτών και θα συνεχίσει να συνεργάζεται με τους ενδιαφερόμενους φορείς, τα κράτη μέλη, το Ευρωπαϊκό Κοινοβούλιο, την Επιτροπή των Περιφερειών, την Οικονομική και Κοινωνική Επιτροπή και τον όμιλο της Ευρωπαϊκής Τράπεζας Επενδύσεων, ώστε να προχωρήσει η υλοποίηση της ατζέντας και να εξασφαλιστεί η ευθυγράμμιση με τις προτεραιότητες στα τρέχοντα και στα μελλοντικά χρηματοδοτικά προγράμματα της ΕΕ. </w:t>
      </w:r>
    </w:p>
    <w:p>
      <w:pPr>
        <w:pStyle w:val="ListParagraph"/>
        <w:ind w:left="0"/>
        <w:jc w:val="both"/>
        <w:rPr>
          <w:rFonts w:ascii="Times New Roman" w:hAnsi="Times New Roman" w:cs="Times New Roman"/>
          <w:noProof/>
          <w:sz w:val="24"/>
          <w:szCs w:val="24"/>
        </w:rPr>
      </w:pPr>
      <w:r>
        <w:rPr>
          <w:rFonts w:ascii="Times New Roman" w:hAnsi="Times New Roman"/>
          <w:noProof/>
          <w:sz w:val="24"/>
        </w:rPr>
        <w:t>Η ανανεωμένη αυτή ατζέντα για την τριτοβάθμια εκπαίδευση εντάσσεται στην ευρύτερη στρατηγική της Επιτροπής για τη στήριξη των νέων και την ενίσχυση του ευρωπαϊκού πυλώνα κοινωνικών δικαιωμάτων. Συμπληρώνοντας την ανακοίνωση σχετικά με τη σχολική ανάπτυξη και την άριστη διδασκαλία και το Ευρωπαϊκό Σώμα Αλληλεγγύης, αναγνωρίζει τον ζωτικό ρόλο της τριτοβάθμιας εκπαίδευσης στη θεμελίωση κοινωνιών ευημερίας, δημοκρατίας και χωρίς αποκλεισμούς. Κατά την υλοποίηση της ατζέντας, αυτός είναι ο τελικός στόχος που πρέπει να έχουν κατά νου η Επιτροπή, τα κράτη μέλη και οι ενδιαφερόμενοι φορείς.</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793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
        <w:r>
          <w:rPr>
            <w:rStyle w:val="Hyperlink"/>
            <w:rFonts w:ascii="Times New Roman" w:hAnsi="Times New Roman"/>
            <w:lang w:val="pt-PT"/>
          </w:rPr>
          <w:t>COM(2017) 2025 final</w:t>
        </w:r>
      </w:hyperlink>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2">
        <w:r>
          <w:rPr>
            <w:rStyle w:val="Hyperlink"/>
            <w:rFonts w:ascii="Times New Roman" w:hAnsi="Times New Roman"/>
            <w:lang w:val="pt-PT"/>
          </w:rPr>
          <w:t>COM(2016) 940 final</w:t>
        </w:r>
      </w:hyperlink>
    </w:p>
  </w:footnote>
  <w:footnote w:id="3">
    <w:p>
      <w:pPr>
        <w:pStyle w:val="FootnoteText"/>
        <w:ind w:left="720" w:hanging="720"/>
        <w:rPr>
          <w:rFonts w:ascii="Times New Roman" w:hAnsi="Times New Roman" w:cs="Times New Roman"/>
          <w:lang w:val="pt-PT"/>
        </w:rPr>
      </w:pPr>
      <w:r>
        <w:rPr>
          <w:rFonts w:ascii="Times New Roman" w:hAnsi="Times New Roman"/>
          <w:vertAlign w:val="superscript"/>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COM(2016) 381 final</w:t>
        </w:r>
      </w:hyperlink>
      <w:r>
        <w:rPr>
          <w:rStyle w:val="Hyperlink"/>
          <w:rFonts w:ascii="Times New Roman" w:hAnsi="Times New Roman"/>
          <w:lang w:val="pt-PT"/>
        </w:rPr>
        <w:t>.</w:t>
      </w:r>
    </w:p>
  </w:footnote>
  <w:footnote w:id="4">
    <w:p>
      <w:pPr>
        <w:rPr>
          <w:color w:val="1F497D"/>
          <w:sz w:val="20"/>
          <w:szCs w:val="20"/>
          <w:lang w:val="pt-PT"/>
        </w:rPr>
      </w:pPr>
      <w:r>
        <w:rPr>
          <w:rStyle w:val="FootnoteReference"/>
          <w:sz w:val="20"/>
        </w:rPr>
        <w:footnoteRef/>
      </w:r>
      <w:r>
        <w:rPr>
          <w:sz w:val="20"/>
          <w:lang w:val="pt-PT"/>
        </w:rPr>
        <w:t xml:space="preserve"> </w:t>
      </w:r>
      <w:r>
        <w:rPr>
          <w:lang w:val="pt-PT"/>
        </w:rPr>
        <w:tab/>
      </w:r>
      <w:hyperlink r:id="rId4">
        <w:r>
          <w:rPr>
            <w:rStyle w:val="Hyperlink"/>
            <w:sz w:val="20"/>
            <w:lang w:val="pt-PT"/>
          </w:rPr>
          <w:t>COM(2017) 250 final</w:t>
        </w:r>
      </w:hyperlink>
      <w:r>
        <w:rPr>
          <w:sz w:val="20"/>
          <w:lang w:val="pt-PT"/>
        </w:rPr>
        <w:t xml:space="preserve"> </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5">
        <w:r>
          <w:rPr>
            <w:rStyle w:val="Hyperlink"/>
            <w:rFonts w:ascii="Times New Roman" w:hAnsi="Times New Roman"/>
            <w:lang w:val="pt-PT"/>
          </w:rPr>
          <w:t>https://ec.europa.eu/commission/publications/reflection-paper-harnessing-globalisation_el</w:t>
        </w:r>
      </w:hyperlink>
      <w:r>
        <w:rPr>
          <w:rFonts w:ascii="Times New Roman" w:hAnsi="Times New Roman"/>
          <w:lang w:val="pt-PT"/>
        </w:rPr>
        <w:t xml:space="preserve"> </w:t>
      </w:r>
    </w:p>
  </w:footnote>
  <w:footnote w:id="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rPr>
        <w:t>Βλ</w:t>
      </w:r>
      <w:r>
        <w:rPr>
          <w:rFonts w:ascii="Times New Roman" w:hAnsi="Times New Roman"/>
          <w:lang w:val="pt-PT"/>
        </w:rPr>
        <w:t>. COM(2016) 941 final</w:t>
      </w:r>
    </w:p>
  </w:footnote>
  <w:footnote w:id="7">
    <w:p>
      <w:pPr>
        <w:pStyle w:val="FootnoteText"/>
        <w:rPr>
          <w:rStyle w:val="Hyperlink"/>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6">
        <w:r>
          <w:rPr>
            <w:rStyle w:val="Hyperlink"/>
            <w:rFonts w:ascii="Times New Roman" w:hAnsi="Times New Roman"/>
            <w:lang w:val="pt-PT"/>
          </w:rPr>
          <w:t>COM(2011) 567 final</w:t>
        </w:r>
      </w:hyperlink>
      <w:r>
        <w:rPr>
          <w:rStyle w:val="Hyperlink"/>
          <w:rFonts w:ascii="Times New Roman" w:hAnsi="Times New Roman"/>
          <w:lang w:val="pt-PT"/>
        </w:rPr>
        <w:t>.</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Βλ. </w:t>
      </w:r>
      <w:hyperlink r:id="rId7">
        <w:r>
          <w:rPr>
            <w:rStyle w:val="Hyperlink"/>
            <w:rFonts w:ascii="Times New Roman" w:hAnsi="Times New Roman"/>
          </w:rPr>
          <w:t>παράρτημα ΙΙ του εγγράφου εργασίας των υπηρεσιών της Επιτροπής</w:t>
        </w:r>
      </w:hyperlink>
      <w:r>
        <w:rPr>
          <w:rFonts w:ascii="Times New Roman" w:hAnsi="Times New Roman"/>
        </w:rPr>
        <w:t xml:space="preserve"> που συνοδεύει τη νέα ατζέντα δεξιοτήτων για την Ευρώπη.</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Βλ. συνοδευτικό έγγραφο εργασίας των υπηρεσιών της Επιτροπής</w:t>
      </w:r>
    </w:p>
  </w:footnote>
  <w:footnote w:id="10">
    <w:p>
      <w:pPr>
        <w:pStyle w:val="FootnoteText"/>
        <w:ind w:left="720" w:hanging="720"/>
      </w:pPr>
      <w:r>
        <w:rPr>
          <w:rStyle w:val="FootnoteReference"/>
        </w:rPr>
        <w:footnoteRef/>
      </w:r>
      <w:r>
        <w:t xml:space="preserve"> </w:t>
      </w:r>
      <w:r>
        <w:tab/>
      </w:r>
      <w:r>
        <w:rPr>
          <w:rFonts w:ascii="Times New Roman" w:hAnsi="Times New Roman"/>
        </w:rPr>
        <w:t>Βλέπε «Skill shortage and surplus occupations in Europe» (Έλλειψη δεξιοτήτων και επαγγέλματα με πλεονάζουσες θέσεις εργασίας στην Ευρώπη), (CEDEFOP, 2016): «Σε όλη την ΕΕ ..., οι πέντε κορυφαίοι επαγγελματικοί τομείς είναι οι επαγγελματίες στον τομέα των ΤΠΕ· οι γιατροί· οι επαγγελματίες στον τομέα των επιστημών, της τεχνολογίας, της μηχανικής και των μαθηματικών (STEM)· οι νοσηλευτές/νοσηλεύτριες και οι μαίες· και οι εκπαιδευτικοί.» Η κατάσταση διαφέρει μεταξύ των περιφερειών.</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Βλ. COM(2017)228</w:t>
      </w:r>
    </w:p>
  </w:footnote>
  <w:footnote w:id="12">
    <w:p>
      <w:pPr>
        <w:pStyle w:val="FootnoteText"/>
      </w:pPr>
      <w:r>
        <w:rPr>
          <w:rStyle w:val="FootnoteReference"/>
        </w:rPr>
        <w:footnoteRef/>
      </w:r>
      <w:r>
        <w:t xml:space="preserve"> </w:t>
      </w:r>
      <w:r>
        <w:tab/>
      </w:r>
      <w:r>
        <w:rPr>
          <w:rFonts w:ascii="Times New Roman" w:hAnsi="Times New Roman"/>
        </w:rPr>
        <w:t xml:space="preserve">(DigComp): </w:t>
      </w:r>
      <w:hyperlink r:id="rId8">
        <w:r>
          <w:rPr>
            <w:rFonts w:ascii="Times New Roman" w:hAnsi="Times New Roman"/>
          </w:rPr>
          <w:t>https://ec.europa.eu/jrc/en/digcomp</w:t>
        </w:r>
      </w:hyperlink>
    </w:p>
  </w:footnote>
  <w:footnote w:id="13">
    <w:p>
      <w:pPr>
        <w:pStyle w:val="FootnoteText"/>
        <w:ind w:left="720" w:hanging="72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Κύκλοι μαθημάτων μικρής διάρκειας (ΕΠΕΠ 5)</w:t>
      </w:r>
    </w:p>
  </w:footnote>
  <w:footnote w:id="14">
    <w:p>
      <w:pPr>
        <w:pStyle w:val="FootnoteText"/>
      </w:pPr>
      <w:r>
        <w:rPr>
          <w:rStyle w:val="FootnoteReference"/>
        </w:rPr>
        <w:footnoteRef/>
      </w:r>
      <w:r>
        <w:t xml:space="preserve"> </w:t>
      </w:r>
      <w:r>
        <w:tab/>
      </w:r>
      <w:r>
        <w:rPr>
          <w:rFonts w:ascii="Times New Roman" w:hAnsi="Times New Roman"/>
        </w:rPr>
        <w:t>https://ec.europa.eu/jrc/en/open-education</w:t>
      </w:r>
    </w:p>
  </w:footnote>
  <w:footnote w:id="15">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Κατά κανόνα συνδυάζουν την επιγραμμική μάθηση με την μάθηση σε αίθουσα διδασκαλίας.</w:t>
      </w:r>
    </w:p>
  </w:footnote>
  <w:footnote w:id="16">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Τα δεδομένα για τους εκπαιδευόμενους και το πλαίσιό τους χρησιμοποιούνται για τον εντοπισμό των αναγκών μάθησης των φοιτητών</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Ανοικτή επιστήμη είναι η προσπάθεια να καταστούν η επιστημονική έρευνα και τα στοιχεία διαθέσιμα σε όλους</w:t>
      </w:r>
    </w:p>
  </w:footnote>
  <w:footnote w:id="18">
    <w:p>
      <w:pPr>
        <w:pStyle w:val="FootnoteText"/>
        <w:ind w:left="709" w:hanging="709"/>
      </w:pPr>
      <w:r>
        <w:rPr>
          <w:rStyle w:val="FootnoteReference"/>
        </w:rPr>
        <w:footnoteRef/>
      </w:r>
      <w:r>
        <w:t xml:space="preserve"> </w:t>
      </w:r>
      <w:r>
        <w:tab/>
      </w:r>
      <w:r>
        <w:rPr>
          <w:rFonts w:ascii="Times New Roman" w:hAnsi="Times New Roman"/>
        </w:rPr>
        <w:t>Θα περιλαμβάνονται απόφοιτοι της τριτοβάθμιας εκπαίδευσης και της επαγγελματικής εκπαίδευσης και κατάρτισης (ΕΕΚ), καθώς και όσοι εγκαταλείπουν την εκπαίδευση χωρίς την απόκτηση τυπικών προσόντων.</w:t>
      </w:r>
      <w:r>
        <w:t xml:space="preserve"> </w:t>
      </w:r>
    </w:p>
  </w:footnote>
  <w:footnote w:id="19">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Αξιοποίηση των σχεδίων της ΕΕ που εφαρμόστηκαν έως σήμερα, συμπεριλαμβανομένου του</w:t>
      </w:r>
      <w:r>
        <w:t xml:space="preserve"> </w:t>
      </w:r>
      <w:hyperlink r:id="rId9">
        <w:r>
          <w:rPr>
            <w:rStyle w:val="Hyperlink"/>
            <w:rFonts w:ascii="Times New Roman" w:hAnsi="Times New Roman"/>
          </w:rPr>
          <w:t>EU STEM coalition</w:t>
        </w:r>
      </w:hyperlink>
      <w:r>
        <w:rPr>
          <w:rFonts w:ascii="Times New Roman" w:hAnsi="Times New Roman"/>
        </w:rPr>
        <w:t>. Η εξέλιξη από το STEM στο STEAM αντικατοπτρίζει την αναγνώριση, στο πλαίσιο της τριτοβάθμιας εκπαίδευσης, της αυξανόμενης σημασίας των διεπιστημονικών προσεγγίσεων. Η αλληλεπίδραση μεταξύ του STEM και των καλών τεχνών και της γραφιστικής αποτελεί την κινητήρια δύναμη για ουσιαστική καινοτομία και δημιουργικότητα.</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Βλ. COM(2017) 228. Παράδειγμα αποτελεί το δοκιμαστικό σχέδιο «Ψηφιακή ευκαιρία», το οποίο χρηματοδοτείται από το πρόγραμμα «Ορίζοντας 2020».</w:t>
      </w:r>
    </w:p>
  </w:footnote>
  <w:footnote w:id="21">
    <w:p>
      <w:pPr>
        <w:pStyle w:val="FootnoteText"/>
        <w:ind w:left="720" w:hanging="720"/>
        <w:rPr>
          <w:rFonts w:ascii="Times New Roman" w:hAnsi="Times New Roman" w:cs="Times New Roman"/>
        </w:rPr>
      </w:pPr>
      <w:r>
        <w:rPr>
          <w:rStyle w:val="FootnoteReference"/>
        </w:rPr>
        <w:footnoteRef/>
      </w:r>
      <w:r>
        <w:t xml:space="preserve"> </w:t>
      </w:r>
      <w:r>
        <w:tab/>
      </w:r>
      <w:r>
        <w:rPr>
          <w:rFonts w:ascii="Times New Roman" w:hAnsi="Times New Roman"/>
        </w:rPr>
        <w:t>Σύμφωνα με τον στόχο 4 των στόχων βιώσιμης ανάπτυξης του ΟΗΕ, για την εξασφάλιση ποιοτικής εκπαίδευσης για όλους.</w:t>
      </w:r>
    </w:p>
  </w:footnote>
  <w:footnote w:id="22">
    <w:p>
      <w:pPr>
        <w:pStyle w:val="FootnoteText"/>
        <w:ind w:left="709" w:hanging="709"/>
      </w:pPr>
      <w:r>
        <w:rPr>
          <w:rStyle w:val="FootnoteReference"/>
        </w:rPr>
        <w:footnoteRef/>
      </w:r>
      <w:r>
        <w:rPr>
          <w:rFonts w:ascii="Times New Roman" w:hAnsi="Times New Roman"/>
        </w:rPr>
        <w:t xml:space="preserve"> </w:t>
      </w:r>
      <w:r>
        <w:tab/>
      </w:r>
      <w:r>
        <w:rPr>
          <w:rFonts w:ascii="Times New Roman" w:hAnsi="Times New Roman"/>
        </w:rPr>
        <w:t>Συμπεριλαμβανομένης της κατάρτισης των εκπαιδευτικών όσον αφορά την αντιμετώπιση της ποικιλομορφίας στις αίθουσες διδασκαλίας.</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Όπως ορίζεται στο ευρωπαϊκό πλαίσιο βασικών ικανοτήτων.</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Εθνικά κέντρα πληροφοριών για την αναγνώριση ακαδημαϊκών τίτλων.</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https://heinnovate.eu</w:t>
      </w:r>
    </w:p>
  </w:footnote>
  <w:footnote w:id="26">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«Σφραγίδα Αριστείας» είναι ένα σήμα ποιότητας που χορηγείται από την Ευρωπαϊκή Επιτροπή σε άριστες προτάσεις σχεδίων έρευνας και καινοτομίας που υποβλήθηκαν και αξιολογήθηκαν θετικά στο πλαίσιο του προγράμματος «Ορίζοντας 2020», αλλά που δεν χρηματοδοτούνται λόγω περιορισμένων πόρων (https://ec.europa.eu/research/soe/index.cfm?pg=opportunities_msca)</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https://eit.europa.eu/activities/education/eit-label</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Το σχέδιο CREASSESS</w:t>
      </w:r>
    </w:p>
  </w:footnote>
  <w:footnote w:id="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http://s3platform.jrc.ec.europa.eu/hess</w:t>
        </w:r>
      </w:hyperlink>
      <w:r>
        <w:rPr>
          <w:rFonts w:ascii="Times New Roman" w:hAnsi="Times New Roman"/>
        </w:rPr>
        <w:t xml:space="preserve"> .</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Ορισμένα συστήματα χρηματοδότησης της έρευνας περιλαμβάνουν ως κριτήριο επιλογής την αξιοποίηση της έρευνας στη διδασκαλία.</w:t>
      </w:r>
    </w:p>
  </w:footnote>
  <w:footnote w:id="31">
    <w:p>
      <w:pPr>
        <w:pStyle w:val="FootnoteText"/>
      </w:pPr>
      <w:r>
        <w:rPr>
          <w:rStyle w:val="FootnoteReference"/>
        </w:rPr>
        <w:footnoteRef/>
      </w:r>
      <w:r>
        <w:t xml:space="preserve"> </w:t>
      </w:r>
      <w:r>
        <w:tab/>
      </w:r>
      <w:r>
        <w:rPr>
          <w:rFonts w:ascii="Times New Roman" w:hAnsi="Times New Roman"/>
        </w:rPr>
        <w:t>Βλέπε περιγραφή του τετραπλού έλικα στο συνοδευτικό έγγραφο εργασίας των υπηρεσιών της Επιτροπής</w:t>
      </w:r>
    </w:p>
  </w:footnote>
  <w:footnote w:id="32">
    <w:p>
      <w:pPr>
        <w:pStyle w:val="FootnoteText"/>
        <w:rPr>
          <w:rFonts w:ascii="Times New Roman" w:hAnsi="Times New Roman"/>
        </w:rPr>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https://ec.europa.eu/education/resources/european-tertiary-education-register_en</w:t>
        </w:r>
      </w:hyperlink>
      <w:r>
        <w:rPr>
          <w:rFonts w:ascii="Times New Roman" w:hAnsi="Times New Roman"/>
        </w:rPr>
        <w:t xml:space="preserve"> .</w:t>
      </w:r>
    </w:p>
  </w:footnote>
  <w:footnote w:id="33">
    <w:p>
      <w:pPr>
        <w:pStyle w:val="FootnoteText"/>
        <w:rPr>
          <w:rFonts w:ascii="Times New Roman" w:hAnsi="Times New Roman" w:cs="Times New Roman"/>
        </w:rPr>
      </w:pPr>
      <w:r>
        <w:rPr>
          <w:rStyle w:val="FootnoteReference"/>
        </w:rPr>
        <w:footnoteRef/>
      </w:r>
      <w:r>
        <w:t xml:space="preserve"> </w:t>
      </w:r>
      <w:r>
        <w:tab/>
      </w:r>
      <w:hyperlink r:id="rId12" w:anchor="!/home?trackType=home">
        <w:r>
          <w:rPr>
            <w:rStyle w:val="Hyperlink"/>
            <w:rFonts w:ascii="Times New Roman" w:hAnsi="Times New Roman"/>
          </w:rPr>
          <w:t>http://www.umultirank.org/#!/home?trackType=home</w:t>
        </w:r>
      </w:hyperlink>
      <w:r>
        <w:rPr>
          <w:rFonts w:ascii="Times New Roman" w:hAnsi="Times New Roman"/>
        </w:rPr>
        <w:t xml:space="preserve"> .</w:t>
      </w:r>
    </w:p>
  </w:footnote>
  <w:footnote w:id="34">
    <w:p>
      <w:pPr>
        <w:pStyle w:val="FootnoteText"/>
        <w:ind w:left="709" w:hanging="70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Μέχρι το 2020, σχεδόν 13 δισ. ευρώ των διαρθρωτικών και επενδυτικών ταμείων θα διατεθούν για υποδομές τριτοβάθμιας εκπαίδευσης και δημόσιας έρευνας</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Τριτοβάθμια εκπαίδευση για την έξυπνη εξειδίκευση.</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Οδηγία (ΕΕ) 2016/801</w:t>
        </w:r>
      </w:hyperlink>
    </w:p>
  </w:footnote>
  <w:footnote w:id="37">
    <w:p>
      <w:pPr>
        <w:rPr>
          <w:sz w:val="18"/>
          <w:szCs w:val="18"/>
        </w:rPr>
      </w:pPr>
      <w:r>
        <w:rPr>
          <w:rStyle w:val="FootnoteReference"/>
          <w:sz w:val="18"/>
        </w:rPr>
        <w:footnoteRef/>
      </w:r>
      <w:r>
        <w:rPr>
          <w:sz w:val="18"/>
        </w:rPr>
        <w:t xml:space="preserve"> </w:t>
      </w:r>
      <w:r>
        <w:tab/>
      </w:r>
      <w:hyperlink r:id="rId14">
        <w:r>
          <w:rPr>
            <w:color w:val="000000"/>
            <w:sz w:val="18"/>
            <w:u w:color="000000"/>
          </w:rPr>
          <w:t>https://www.erasmuswithoutpaper.eu/</w:t>
        </w:r>
      </w:hyperlink>
      <w:hyperlink r:id="rId15">
        <w:r>
          <w:rPr>
            <w:color w:val="000000"/>
            <w:sz w:val="18"/>
            <w:u w:color="000000"/>
          </w:rPr>
          <w:t>http://europeanstudentcard.eu/</w:t>
        </w:r>
      </w:hyperlink>
      <w:r>
        <w:rPr>
          <w:sz w:val="18"/>
        </w:rPr>
        <w:t xml:space="preserve">, </w:t>
      </w:r>
      <w:hyperlink r:id="rId16">
        <w:r>
          <w:rPr>
            <w:rStyle w:val="Hyperlink"/>
            <w:sz w:val="18"/>
          </w:rPr>
          <w:t>http://www.emrex.eu</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17"/>
    <w:multiLevelType w:val="hybridMultilevel"/>
    <w:tmpl w:val="72D4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C0B8E"/>
    <w:multiLevelType w:val="hybridMultilevel"/>
    <w:tmpl w:val="7EB4333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E46D17"/>
    <w:multiLevelType w:val="hybridMultilevel"/>
    <w:tmpl w:val="A6D0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C486A"/>
    <w:multiLevelType w:val="hybridMultilevel"/>
    <w:tmpl w:val="78DC23F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04010"/>
    <w:multiLevelType w:val="hybridMultilevel"/>
    <w:tmpl w:val="4692A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B61028"/>
    <w:multiLevelType w:val="hybridMultilevel"/>
    <w:tmpl w:val="1DE06BD8"/>
    <w:numStyleLink w:val="Numbered"/>
  </w:abstractNum>
  <w:abstractNum w:abstractNumId="6">
    <w:nsid w:val="255F654E"/>
    <w:multiLevelType w:val="hybridMultilevel"/>
    <w:tmpl w:val="3D96F1DA"/>
    <w:styleLink w:val="Bullets"/>
    <w:lvl w:ilvl="0" w:tplc="F4921B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842D3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5F4431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631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214828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D24C77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6231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D457C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99C53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6A41E33"/>
    <w:multiLevelType w:val="hybridMultilevel"/>
    <w:tmpl w:val="3D96F1DA"/>
    <w:numStyleLink w:val="Bullets"/>
  </w:abstractNum>
  <w:abstractNum w:abstractNumId="8">
    <w:nsid w:val="2F807070"/>
    <w:multiLevelType w:val="hybridMultilevel"/>
    <w:tmpl w:val="3FFE77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A974EC"/>
    <w:multiLevelType w:val="hybridMultilevel"/>
    <w:tmpl w:val="AA4CA400"/>
    <w:styleLink w:val="ImportedStyle1"/>
    <w:lvl w:ilvl="0" w:tplc="01BC0A5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D276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500E952">
      <w:start w:val="1"/>
      <w:numFmt w:val="lowerRoman"/>
      <w:suff w:val="nothing"/>
      <w:lvlText w:val="%3."/>
      <w:lvlJc w:val="left"/>
      <w:pPr>
        <w:ind w:left="910"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8C8AECFA">
      <w:start w:val="1"/>
      <w:numFmt w:val="decimal"/>
      <w:lvlText w:val="%4."/>
      <w:lvlJc w:val="left"/>
      <w:pPr>
        <w:ind w:left="16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4431E2">
      <w:start w:val="1"/>
      <w:numFmt w:val="lowerLetter"/>
      <w:lvlText w:val="%5."/>
      <w:lvlJc w:val="left"/>
      <w:pPr>
        <w:ind w:left="23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320B9EE">
      <w:start w:val="1"/>
      <w:numFmt w:val="lowerRoman"/>
      <w:suff w:val="nothing"/>
      <w:lvlText w:val="%6."/>
      <w:lvlJc w:val="left"/>
      <w:pPr>
        <w:ind w:left="3070"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92D68B32">
      <w:start w:val="1"/>
      <w:numFmt w:val="decimal"/>
      <w:lvlText w:val="%7."/>
      <w:lvlJc w:val="left"/>
      <w:pPr>
        <w:ind w:left="37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BDC67C8">
      <w:start w:val="1"/>
      <w:numFmt w:val="lowerLetter"/>
      <w:lvlText w:val="%8."/>
      <w:lvlJc w:val="left"/>
      <w:pPr>
        <w:ind w:left="45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7C9D90">
      <w:start w:val="1"/>
      <w:numFmt w:val="lowerRoman"/>
      <w:suff w:val="nothing"/>
      <w:lvlText w:val="%9."/>
      <w:lvlJc w:val="left"/>
      <w:pPr>
        <w:ind w:left="5230"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F392823"/>
    <w:multiLevelType w:val="hybridMultilevel"/>
    <w:tmpl w:val="08C6FF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191636"/>
    <w:multiLevelType w:val="hybridMultilevel"/>
    <w:tmpl w:val="9B463A36"/>
    <w:lvl w:ilvl="0" w:tplc="F13ACF9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B363E9"/>
    <w:multiLevelType w:val="hybridMultilevel"/>
    <w:tmpl w:val="AA4CA400"/>
    <w:numStyleLink w:val="ImportedStyle1"/>
  </w:abstractNum>
  <w:abstractNum w:abstractNumId="13">
    <w:nsid w:val="4EBB1B3A"/>
    <w:multiLevelType w:val="hybridMultilevel"/>
    <w:tmpl w:val="4DA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7D7BFA"/>
    <w:multiLevelType w:val="hybridMultilevel"/>
    <w:tmpl w:val="D3028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D043A4F"/>
    <w:multiLevelType w:val="hybridMultilevel"/>
    <w:tmpl w:val="4E06B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E46A0F"/>
    <w:multiLevelType w:val="hybridMultilevel"/>
    <w:tmpl w:val="1DE06BD8"/>
    <w:styleLink w:val="Numbered"/>
    <w:lvl w:ilvl="0" w:tplc="BC1C2314">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395E24DA">
      <w:start w:val="1"/>
      <w:numFmt w:val="decimal"/>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tplc="3A80B588">
      <w:start w:val="1"/>
      <w:numFmt w:val="decimal"/>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tplc="D1C4C4E0">
      <w:start w:val="1"/>
      <w:numFmt w:val="decimal"/>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tplc="43BE2548">
      <w:start w:val="1"/>
      <w:numFmt w:val="decimal"/>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tplc="81007BC4">
      <w:start w:val="1"/>
      <w:numFmt w:val="decimal"/>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tplc="87A4264A">
      <w:start w:val="1"/>
      <w:numFmt w:val="decimal"/>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tplc="4EA44C14">
      <w:start w:val="1"/>
      <w:numFmt w:val="decimal"/>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tplc="EAE888EA">
      <w:start w:val="1"/>
      <w:numFmt w:val="decimal"/>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50A7836"/>
    <w:multiLevelType w:val="hybridMultilevel"/>
    <w:tmpl w:val="F75050F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8F1D89"/>
    <w:multiLevelType w:val="hybridMultilevel"/>
    <w:tmpl w:val="7516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183EF0"/>
    <w:multiLevelType w:val="hybridMultilevel"/>
    <w:tmpl w:val="6578221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39552E"/>
    <w:multiLevelType w:val="hybridMultilevel"/>
    <w:tmpl w:val="56AA4C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524423"/>
    <w:multiLevelType w:val="hybridMultilevel"/>
    <w:tmpl w:val="4BB6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lvlOverride w:ilvl="0">
      <w:lvl w:ilvl="0" w:tplc="93CA45E6">
        <w:start w:val="1"/>
        <w:numFmt w:val="decimal"/>
        <w:lvlText w:val="%1."/>
        <w:lvlJc w:val="left"/>
        <w:pPr>
          <w:ind w:left="720" w:hanging="72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7"/>
    <w:lvlOverride w:ilvl="0">
      <w:lvl w:ilvl="0" w:tplc="EA08D01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8EF0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7C725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9223B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06C51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9A218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9C57B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EADDF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523A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5"/>
  </w:num>
  <w:num w:numId="8">
    <w:abstractNumId w:val="7"/>
    <w:lvlOverride w:ilvl="0">
      <w:lvl w:ilvl="0" w:tplc="EA08D0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8EF04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7C725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9223B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06C51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9A218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9C57B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EADD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523AD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
  </w:num>
  <w:num w:numId="11">
    <w:abstractNumId w:val="10"/>
  </w:num>
  <w:num w:numId="12">
    <w:abstractNumId w:val="20"/>
  </w:num>
  <w:num w:numId="13">
    <w:abstractNumId w:val="21"/>
  </w:num>
  <w:num w:numId="14">
    <w:abstractNumId w:val="13"/>
  </w:num>
  <w:num w:numId="15">
    <w:abstractNumId w:val="14"/>
  </w:num>
  <w:num w:numId="16">
    <w:abstractNumId w:val="1"/>
  </w:num>
  <w:num w:numId="17">
    <w:abstractNumId w:val="3"/>
  </w:num>
  <w:num w:numId="18">
    <w:abstractNumId w:val="11"/>
  </w:num>
  <w:num w:numId="19">
    <w:abstractNumId w:val="18"/>
  </w:num>
  <w:num w:numId="20">
    <w:abstractNumId w:val="17"/>
  </w:num>
  <w:num w:numId="21">
    <w:abstractNumId w:val="19"/>
  </w:num>
  <w:num w:numId="22">
    <w:abstractNumId w:val="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FC39CA89C3F441994EDF9190D62E1BC"/>
    <w:docVar w:name="LW_CROSSREFERENCE" w:val="{SWD(2017) 164 final}"/>
    <w:docVar w:name="LW_DocType" w:val="NORMAL"/>
    <w:docVar w:name="LW_EMISSION" w:val="30.5.2017"/>
    <w:docVar w:name="LW_EMISSION_ISODATE" w:val="2017-05-30"/>
    <w:docVar w:name="LW_EMISSION_LOCATION" w:val="BRX"/>
    <w:docVar w:name="LW_EMISSION_PREFIX" w:val="Βρυξέλλες, "/>
    <w:docVar w:name="LW_EMISSION_SUFFIX" w:val=" "/>
    <w:docVar w:name="LW_ID_DOCTYPE_NONLW" w:val="CP-014"/>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7) 247"/>
    <w:docVar w:name="LW_REF.INTERNE" w:val="&lt;UNUSED&gt;"/>
    <w:docVar w:name="LW_SOUS.TITRE.OBJ.CP" w:val="&lt;UNUSED&gt;"/>
    <w:docVar w:name="LW_SUPERTITRE" w:val="&lt;UNUSED&gt;"/>
    <w:docVar w:name="LW_TITRE.OBJ.CP" w:val="\u904?\u957?\u945? \u957?\u941?\u959? \u949?\u965?\u961?\u969?\u960?\u945?\u970?\u954?\u972? \u952?\u949?\u956?\u945?\u964?\u959?\u955?\u972?\u947?\u953?\u959? \u947?\u953?\u945? \u964?\u951?\u957? \u964?\u961?\u953?\u964?\u959?\u946?\u940?\u952?\u956?\u953?\u945? \u949?\u954?\u960?\u945?\u943?\u948?\u949?\u965?\u963?\u951?"/>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el-GR" w:eastAsia="el-GR"/>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el-GR" w:eastAsia="el-GR"/>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el-GR"/>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el-GR"/>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el-G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el-GR" w:eastAsia="el-GR"/>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el-GR" w:eastAsia="el-GR"/>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el-GR"/>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el-GR"/>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el-G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digcomp" TargetMode="External"/><Relationship Id="rId13" Type="http://schemas.openxmlformats.org/officeDocument/2006/relationships/hyperlink" Target="http://eur-lex.europa.eu/legal-content/EL/TXT/?uri=OJ:JOL_2016_132_R_0002" TargetMode="External"/><Relationship Id="rId3" Type="http://schemas.openxmlformats.org/officeDocument/2006/relationships/hyperlink" Target="http://eur-lex.europa.eu/legal-content/EL/TXT/?qid=1486389223873&amp;uri=CELEX:52016DC0381" TargetMode="External"/><Relationship Id="rId7" Type="http://schemas.openxmlformats.org/officeDocument/2006/relationships/hyperlink" Target="http://ec.europa.eu/social/main.jsp?catId=1223&amp;langId=el&amp;moreDocuments=yes" TargetMode="External"/><Relationship Id="rId12" Type="http://schemas.openxmlformats.org/officeDocument/2006/relationships/hyperlink" Target="http://www.umultirank.org/" TargetMode="External"/><Relationship Id="rId2" Type="http://schemas.openxmlformats.org/officeDocument/2006/relationships/hyperlink" Target="http://eur-lex.europa.eu/legal-content/EL/TXT/?qid=1486389156065&amp;uri=CELEX:52016DC0940" TargetMode="External"/><Relationship Id="rId16" Type="http://schemas.openxmlformats.org/officeDocument/2006/relationships/hyperlink" Target="http://www.emrex.eu/" TargetMode="External"/><Relationship Id="rId1" Type="http://schemas.openxmlformats.org/officeDocument/2006/relationships/hyperlink" Target="https://ec.europa.eu/transparency/regdoc/rep/1/2017/EL/COM-2017-2025-F1-EL-MAIN-PART-1.PDF" TargetMode="External"/><Relationship Id="rId6" Type="http://schemas.openxmlformats.org/officeDocument/2006/relationships/hyperlink" Target="http://eur-lex.europa.eu/legal-content/EL/TXT/?uri=celex:52011DC0567" TargetMode="External"/><Relationship Id="rId11" Type="http://schemas.openxmlformats.org/officeDocument/2006/relationships/hyperlink" Target="https://ec.europa.eu/education/resources/european-tertiary-education-register_en" TargetMode="External"/><Relationship Id="rId5" Type="http://schemas.openxmlformats.org/officeDocument/2006/relationships/hyperlink" Target="https://ec.europa.eu/commission/publications/reflection-paper-harnessing-globalisation_el" TargetMode="External"/><Relationship Id="rId15" Type="http://schemas.openxmlformats.org/officeDocument/2006/relationships/hyperlink" Target="http://europeanstudentcard.eu/" TargetMode="External"/><Relationship Id="rId10" Type="http://schemas.openxmlformats.org/officeDocument/2006/relationships/hyperlink" Target="http://s3platform.jrc.ec.europa.eu/hess" TargetMode="External"/><Relationship Id="rId4" Type="http://schemas.openxmlformats.org/officeDocument/2006/relationships/hyperlink" Target="https://ec.europa.eu/commission/publications/commission-communication-european-pillar-social-rights_en" TargetMode="External"/><Relationship Id="rId9" Type="http://schemas.openxmlformats.org/officeDocument/2006/relationships/hyperlink" Target="http://www.stemcoalition.eu/" TargetMode="External"/><Relationship Id="rId14" Type="http://schemas.openxmlformats.org/officeDocument/2006/relationships/hyperlink" Target="https://www.erasmuswithoutpap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F8A6-B1AF-484C-822A-535671E0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4950</Words>
  <Characters>31236</Characters>
  <Application>Microsoft Office Word</Application>
  <DocSecurity>0</DocSecurity>
  <Lines>495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2017-05-12T08:20:00Z</cp:lastPrinted>
  <dcterms:created xsi:type="dcterms:W3CDTF">2017-05-19T11:05:00Z</dcterms:created>
  <dcterms:modified xsi:type="dcterms:W3CDTF">2017-05-31T06:33:00Z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