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D7408A7B2EB14890B44F0ECDCC9CB0B4" style="width:450.75pt;height:42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Typedudocument"/>
        <w:rPr>
          <w:noProof/>
        </w:rPr>
      </w:pPr>
      <w:bookmarkStart w:id="0" w:name="_GoBack"/>
      <w:bookmarkEnd w:id="0"/>
      <w:r>
        <w:rPr>
          <w:noProof/>
        </w:rPr>
        <w:t>PRIEDAS</w:t>
      </w:r>
    </w:p>
    <w:p>
      <w:pPr>
        <w:pStyle w:val="Accompagnant"/>
        <w:rPr>
          <w:noProof/>
        </w:rPr>
      </w:pPr>
      <w:r>
        <w:rPr>
          <w:noProof/>
        </w:rPr>
        <w:t>prie</w:t>
      </w:r>
    </w:p>
    <w:p>
      <w:pPr>
        <w:pStyle w:val="Typeacteprincipal"/>
        <w:rPr>
          <w:noProof/>
        </w:rPr>
      </w:pPr>
      <w:r>
        <w:rPr>
          <w:noProof/>
        </w:rPr>
        <w:t>EUROPOS PARLAMENTO IR TARYBOS DIREKTYVOS</w:t>
      </w:r>
    </w:p>
    <w:p>
      <w:pPr>
        <w:pStyle w:val="Objetacteprincipal"/>
        <w:rPr>
          <w:noProof/>
        </w:rPr>
      </w:pPr>
      <w:r>
        <w:rPr>
          <w:noProof/>
        </w:rPr>
        <w:t>kuria iš dalies keičiama Direktyva 1999/62/EB dėl sunkiasvorių krovinių transporto priemonių apmokestinimo už naudojimąsi tam tikra infrastruktūra</w:t>
      </w:r>
      <w:r>
        <w:rPr>
          <w:noProof/>
        </w:rPr>
        <w:br/>
        <w:t>(Tekstas svarbus EEE)</w:t>
      </w:r>
    </w:p>
    <w:p>
      <w:pPr>
        <w:rPr>
          <w:noProof/>
        </w:rPr>
      </w:pPr>
    </w:p>
    <w:p>
      <w:pPr>
        <w:rPr>
          <w:noProof/>
        </w:rPr>
      </w:pPr>
      <w:r>
        <w:rPr>
          <w:noProof/>
        </w:rPr>
        <w:t>1)</w:t>
      </w:r>
      <w:r>
        <w:rPr>
          <w:noProof/>
        </w:rPr>
        <w:tab/>
        <w:t>0, III, IIIa, IIIb ir IV priedai iš dalies keičiami taip:</w:t>
      </w:r>
    </w:p>
    <w:p>
      <w:pPr>
        <w:rPr>
          <w:noProof/>
        </w:rPr>
      </w:pPr>
      <w:r>
        <w:rPr>
          <w:noProof/>
        </w:rPr>
        <w:t>a)</w:t>
      </w:r>
      <w:r>
        <w:rPr>
          <w:noProof/>
        </w:rPr>
        <w:tab/>
        <w:t>0 priedo 3 skirsnis iš dalies keičiamas taip:</w:t>
      </w:r>
    </w:p>
    <w:p>
      <w:pPr>
        <w:ind w:firstLine="720"/>
        <w:rPr>
          <w:noProof/>
        </w:rPr>
      </w:pPr>
      <w:r>
        <w:rPr>
          <w:noProof/>
        </w:rPr>
        <w:t>i)</w:t>
      </w:r>
      <w:r>
        <w:rPr>
          <w:noProof/>
        </w:rPr>
        <w:tab/>
        <w:t>antraštė pakeičiama taip:</w:t>
      </w:r>
    </w:p>
    <w:p>
      <w:pPr>
        <w:ind w:left="130" w:firstLine="720"/>
        <w:rPr>
          <w:noProof/>
        </w:rPr>
      </w:pPr>
      <w:r>
        <w:rPr>
          <w:noProof/>
        </w:rPr>
        <w:t>„3. „EURO III“/„EURO IV“/„EURO V“ transporto priemonės“;</w:t>
      </w:r>
    </w:p>
    <w:p>
      <w:pPr>
        <w:ind w:firstLine="720"/>
        <w:rPr>
          <w:noProof/>
        </w:rPr>
      </w:pPr>
      <w:r>
        <w:rPr>
          <w:noProof/>
        </w:rPr>
        <w:t>ii)</w:t>
      </w:r>
      <w:r>
        <w:rPr>
          <w:noProof/>
        </w:rPr>
        <w:tab/>
        <w:t>„EEV“ transporto priemonėms skirta lentelės eilutė išbraukiama;</w:t>
      </w:r>
    </w:p>
    <w:p>
      <w:pPr>
        <w:ind w:left="720"/>
        <w:rPr>
          <w:noProof/>
        </w:rPr>
      </w:pPr>
      <w:r>
        <w:rPr>
          <w:noProof/>
        </w:rPr>
        <w:t>iii)</w:t>
      </w:r>
      <w:r>
        <w:rPr>
          <w:noProof/>
        </w:rPr>
        <w:tab/>
        <w:t>įterpiamas toks tekstas:</w:t>
      </w:r>
    </w:p>
    <w:p>
      <w:pPr>
        <w:pStyle w:val="NormalCentered"/>
        <w:rPr>
          <w:b/>
          <w:noProof/>
          <w:u w:val="single"/>
        </w:rPr>
      </w:pPr>
      <w:r>
        <w:rPr>
          <w:b/>
          <w:noProof/>
          <w:u w:val="single"/>
        </w:rPr>
        <w:t>„EURO VI“ emisijos ribos</w:t>
      </w:r>
    </w:p>
    <w:tbl>
      <w:tblPr>
        <w:tblW w:w="102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276"/>
        <w:gridCol w:w="1262"/>
        <w:gridCol w:w="1216"/>
        <w:gridCol w:w="1216"/>
        <w:gridCol w:w="1216"/>
        <w:gridCol w:w="803"/>
        <w:gridCol w:w="1216"/>
        <w:gridCol w:w="1030"/>
      </w:tblGrid>
      <w:tr>
        <w:trPr>
          <w:trHeight w:val="562"/>
        </w:trPr>
        <w:tc>
          <w:tcPr>
            <w:tcW w:w="993" w:type="dxa"/>
            <w:tcBorders>
              <w:bottom w:val="nil"/>
            </w:tcBorders>
          </w:tcPr>
          <w:p>
            <w:pPr>
              <w:rPr>
                <w:noProof/>
              </w:rPr>
            </w:pPr>
          </w:p>
        </w:tc>
        <w:tc>
          <w:tcPr>
            <w:tcW w:w="9235" w:type="dxa"/>
            <w:gridSpan w:val="8"/>
            <w:hideMark/>
          </w:tcPr>
          <w:p>
            <w:pPr>
              <w:rPr>
                <w:noProof/>
              </w:rPr>
            </w:pPr>
            <w:r>
              <w:rPr>
                <w:noProof/>
              </w:rPr>
              <w:t>Ribinės vertės</w:t>
            </w:r>
          </w:p>
        </w:tc>
      </w:tr>
      <w:tr>
        <w:trPr>
          <w:trHeight w:val="991"/>
        </w:trPr>
        <w:tc>
          <w:tcPr>
            <w:tcW w:w="993" w:type="dxa"/>
            <w:tcBorders>
              <w:top w:val="nil"/>
            </w:tcBorders>
          </w:tcPr>
          <w:p>
            <w:pPr>
              <w:rPr>
                <w:noProof/>
              </w:rPr>
            </w:pPr>
          </w:p>
        </w:tc>
        <w:tc>
          <w:tcPr>
            <w:tcW w:w="1276" w:type="dxa"/>
            <w:hideMark/>
          </w:tcPr>
          <w:p>
            <w:pPr>
              <w:rPr>
                <w:noProof/>
              </w:rPr>
            </w:pPr>
            <w:r>
              <w:rPr>
                <w:noProof/>
              </w:rPr>
              <w:t>CO</w:t>
            </w:r>
          </w:p>
          <w:p>
            <w:pPr>
              <w:rPr>
                <w:noProof/>
              </w:rPr>
            </w:pPr>
            <w:r>
              <w:rPr>
                <w:noProof/>
              </w:rPr>
              <w:t>(mg/kWh)</w:t>
            </w:r>
          </w:p>
        </w:tc>
        <w:tc>
          <w:tcPr>
            <w:tcW w:w="1262" w:type="dxa"/>
            <w:hideMark/>
          </w:tcPr>
          <w:p>
            <w:pPr>
              <w:rPr>
                <w:noProof/>
              </w:rPr>
            </w:pPr>
            <w:r>
              <w:rPr>
                <w:noProof/>
              </w:rPr>
              <w:t>Bendras angliavandenilių kiekis</w:t>
            </w:r>
          </w:p>
          <w:p>
            <w:pPr>
              <w:rPr>
                <w:noProof/>
              </w:rPr>
            </w:pPr>
            <w:r>
              <w:rPr>
                <w:noProof/>
              </w:rPr>
              <w:t>(mg/kWh)</w:t>
            </w:r>
          </w:p>
        </w:tc>
        <w:tc>
          <w:tcPr>
            <w:tcW w:w="1216" w:type="dxa"/>
            <w:hideMark/>
          </w:tcPr>
          <w:p>
            <w:pPr>
              <w:rPr>
                <w:noProof/>
              </w:rPr>
            </w:pPr>
            <w:r>
              <w:rPr>
                <w:noProof/>
              </w:rPr>
              <w:t>Angliavandeniliai, išskyrus metaną</w:t>
            </w:r>
          </w:p>
          <w:p>
            <w:pPr>
              <w:rPr>
                <w:noProof/>
              </w:rPr>
            </w:pPr>
            <w:r>
              <w:rPr>
                <w:noProof/>
              </w:rPr>
              <w:t>(mg/kWh)</w:t>
            </w:r>
          </w:p>
        </w:tc>
        <w:tc>
          <w:tcPr>
            <w:tcW w:w="1216" w:type="dxa"/>
            <w:hideMark/>
          </w:tcPr>
          <w:p>
            <w:pPr>
              <w:rPr>
                <w:noProof/>
                <w:vertAlign w:val="subscript"/>
              </w:rPr>
            </w:pPr>
            <w:r>
              <w:rPr>
                <w:noProof/>
              </w:rPr>
              <w:t>CH</w:t>
            </w:r>
            <w:r>
              <w:rPr>
                <w:noProof/>
                <w:vertAlign w:val="subscript"/>
              </w:rPr>
              <w:t>4</w:t>
            </w:r>
          </w:p>
          <w:p>
            <w:pPr>
              <w:rPr>
                <w:noProof/>
              </w:rPr>
            </w:pPr>
            <w:r>
              <w:rPr>
                <w:noProof/>
              </w:rPr>
              <w:t>(mg/kWh)</w:t>
            </w:r>
          </w:p>
        </w:tc>
        <w:tc>
          <w:tcPr>
            <w:tcW w:w="1216" w:type="dxa"/>
            <w:hideMark/>
          </w:tcPr>
          <w:p>
            <w:pPr>
              <w:rPr>
                <w:noProof/>
              </w:rPr>
            </w:pPr>
            <w:r>
              <w:rPr>
                <w:noProof/>
              </w:rPr>
              <w:t>NO</w:t>
            </w:r>
            <w:r>
              <w:rPr>
                <w:noProof/>
                <w:vertAlign w:val="subscript"/>
              </w:rPr>
              <w:t>X</w:t>
            </w:r>
            <w:r>
              <w:rPr>
                <w:noProof/>
              </w:rPr>
              <w:t xml:space="preserve"> </w:t>
            </w:r>
            <w:r>
              <w:rPr>
                <w:noProof/>
                <w:vertAlign w:val="superscript"/>
              </w:rPr>
              <w:t>(1)</w:t>
            </w:r>
          </w:p>
          <w:p>
            <w:pPr>
              <w:rPr>
                <w:noProof/>
              </w:rPr>
            </w:pPr>
            <w:r>
              <w:rPr>
                <w:noProof/>
              </w:rPr>
              <w:t>(mg/kWh)</w:t>
            </w:r>
          </w:p>
        </w:tc>
        <w:tc>
          <w:tcPr>
            <w:tcW w:w="803" w:type="dxa"/>
            <w:hideMark/>
          </w:tcPr>
          <w:p>
            <w:pPr>
              <w:rPr>
                <w:noProof/>
                <w:vertAlign w:val="subscript"/>
              </w:rPr>
            </w:pPr>
            <w:r>
              <w:rPr>
                <w:noProof/>
              </w:rPr>
              <w:t>NH</w:t>
            </w:r>
            <w:r>
              <w:rPr>
                <w:noProof/>
                <w:vertAlign w:val="subscript"/>
              </w:rPr>
              <w:t>3</w:t>
            </w:r>
          </w:p>
          <w:p>
            <w:pPr>
              <w:rPr>
                <w:noProof/>
              </w:rPr>
            </w:pPr>
            <w:r>
              <w:rPr>
                <w:noProof/>
              </w:rPr>
              <w:t>(ppm)</w:t>
            </w:r>
          </w:p>
        </w:tc>
        <w:tc>
          <w:tcPr>
            <w:tcW w:w="1216" w:type="dxa"/>
            <w:hideMark/>
          </w:tcPr>
          <w:p>
            <w:pPr>
              <w:rPr>
                <w:noProof/>
              </w:rPr>
            </w:pPr>
            <w:r>
              <w:rPr>
                <w:noProof/>
              </w:rPr>
              <w:t>Kietųjų dalelių masė</w:t>
            </w:r>
          </w:p>
          <w:p>
            <w:pPr>
              <w:rPr>
                <w:noProof/>
                <w:vertAlign w:val="subscript"/>
              </w:rPr>
            </w:pPr>
            <w:r>
              <w:rPr>
                <w:noProof/>
              </w:rPr>
              <w:t>(mg/kWh)</w:t>
            </w:r>
          </w:p>
        </w:tc>
        <w:tc>
          <w:tcPr>
            <w:tcW w:w="1030" w:type="dxa"/>
            <w:hideMark/>
          </w:tcPr>
          <w:p>
            <w:pPr>
              <w:rPr>
                <w:noProof/>
              </w:rPr>
            </w:pPr>
            <w:r>
              <w:rPr>
                <w:noProof/>
              </w:rPr>
              <w:t>Kietųjų dalelių skaičius</w:t>
            </w:r>
          </w:p>
          <w:p>
            <w:pPr>
              <w:rPr>
                <w:noProof/>
                <w:vertAlign w:val="subscript"/>
              </w:rPr>
            </w:pPr>
            <w:r>
              <w:rPr>
                <w:noProof/>
              </w:rPr>
              <w:t>(#/kWh)</w:t>
            </w:r>
          </w:p>
        </w:tc>
      </w:tr>
      <w:tr>
        <w:trPr>
          <w:trHeight w:val="876"/>
        </w:trPr>
        <w:tc>
          <w:tcPr>
            <w:tcW w:w="993" w:type="dxa"/>
            <w:hideMark/>
          </w:tcPr>
          <w:p>
            <w:pPr>
              <w:rPr>
                <w:noProof/>
              </w:rPr>
            </w:pPr>
            <w:r>
              <w:rPr>
                <w:noProof/>
              </w:rPr>
              <w:t>WHSC (CI)</w:t>
            </w:r>
          </w:p>
        </w:tc>
        <w:tc>
          <w:tcPr>
            <w:tcW w:w="1276" w:type="dxa"/>
            <w:hideMark/>
          </w:tcPr>
          <w:p>
            <w:pPr>
              <w:rPr>
                <w:noProof/>
              </w:rPr>
            </w:pPr>
            <w:r>
              <w:rPr>
                <w:noProof/>
              </w:rPr>
              <w:t>1500</w:t>
            </w:r>
          </w:p>
        </w:tc>
        <w:tc>
          <w:tcPr>
            <w:tcW w:w="1262" w:type="dxa"/>
            <w:hideMark/>
          </w:tcPr>
          <w:p>
            <w:pPr>
              <w:rPr>
                <w:noProof/>
              </w:rPr>
            </w:pPr>
            <w:r>
              <w:rPr>
                <w:noProof/>
              </w:rPr>
              <w:t>130</w:t>
            </w:r>
          </w:p>
        </w:tc>
        <w:tc>
          <w:tcPr>
            <w:tcW w:w="1216" w:type="dxa"/>
          </w:tcPr>
          <w:p>
            <w:pPr>
              <w:rPr>
                <w:noProof/>
              </w:rPr>
            </w:pPr>
          </w:p>
        </w:tc>
        <w:tc>
          <w:tcPr>
            <w:tcW w:w="1216" w:type="dxa"/>
          </w:tcPr>
          <w:p>
            <w:pPr>
              <w:rPr>
                <w:noProof/>
              </w:rPr>
            </w:pPr>
          </w:p>
        </w:tc>
        <w:tc>
          <w:tcPr>
            <w:tcW w:w="1216" w:type="dxa"/>
            <w:hideMark/>
          </w:tcPr>
          <w:p>
            <w:pPr>
              <w:rPr>
                <w:noProof/>
              </w:rPr>
            </w:pPr>
            <w:r>
              <w:rPr>
                <w:noProof/>
              </w:rPr>
              <w:t>400</w:t>
            </w:r>
          </w:p>
        </w:tc>
        <w:tc>
          <w:tcPr>
            <w:tcW w:w="803" w:type="dxa"/>
            <w:hideMark/>
          </w:tcPr>
          <w:p>
            <w:pPr>
              <w:rPr>
                <w:noProof/>
              </w:rPr>
            </w:pPr>
            <w:r>
              <w:rPr>
                <w:noProof/>
              </w:rPr>
              <w:t>10</w:t>
            </w:r>
          </w:p>
        </w:tc>
        <w:tc>
          <w:tcPr>
            <w:tcW w:w="1216" w:type="dxa"/>
            <w:hideMark/>
          </w:tcPr>
          <w:p>
            <w:pPr>
              <w:rPr>
                <w:noProof/>
              </w:rPr>
            </w:pPr>
            <w:r>
              <w:rPr>
                <w:noProof/>
              </w:rPr>
              <w:t>10</w:t>
            </w:r>
          </w:p>
        </w:tc>
        <w:tc>
          <w:tcPr>
            <w:tcW w:w="1030" w:type="dxa"/>
            <w:hideMark/>
          </w:tcPr>
          <w:p>
            <w:pPr>
              <w:rPr>
                <w:noProof/>
                <w:vertAlign w:val="superscript"/>
              </w:rPr>
            </w:pPr>
            <w:r>
              <w:rPr>
                <w:noProof/>
              </w:rPr>
              <w:t>8,0 x 10</w:t>
            </w:r>
            <w:r>
              <w:rPr>
                <w:noProof/>
                <w:vertAlign w:val="superscript"/>
              </w:rPr>
              <w:t>11</w:t>
            </w:r>
          </w:p>
        </w:tc>
      </w:tr>
      <w:tr>
        <w:trPr>
          <w:trHeight w:val="859"/>
        </w:trPr>
        <w:tc>
          <w:tcPr>
            <w:tcW w:w="993" w:type="dxa"/>
            <w:hideMark/>
          </w:tcPr>
          <w:p>
            <w:pPr>
              <w:rPr>
                <w:noProof/>
              </w:rPr>
            </w:pPr>
            <w:r>
              <w:rPr>
                <w:noProof/>
              </w:rPr>
              <w:t>WHTC (CI)</w:t>
            </w:r>
          </w:p>
        </w:tc>
        <w:tc>
          <w:tcPr>
            <w:tcW w:w="1276" w:type="dxa"/>
            <w:hideMark/>
          </w:tcPr>
          <w:p>
            <w:pPr>
              <w:rPr>
                <w:noProof/>
              </w:rPr>
            </w:pPr>
            <w:r>
              <w:rPr>
                <w:noProof/>
              </w:rPr>
              <w:t>4000</w:t>
            </w:r>
          </w:p>
        </w:tc>
        <w:tc>
          <w:tcPr>
            <w:tcW w:w="1262" w:type="dxa"/>
            <w:hideMark/>
          </w:tcPr>
          <w:p>
            <w:pPr>
              <w:rPr>
                <w:noProof/>
              </w:rPr>
            </w:pPr>
            <w:r>
              <w:rPr>
                <w:noProof/>
              </w:rPr>
              <w:t>160</w:t>
            </w:r>
          </w:p>
        </w:tc>
        <w:tc>
          <w:tcPr>
            <w:tcW w:w="1216" w:type="dxa"/>
          </w:tcPr>
          <w:p>
            <w:pPr>
              <w:rPr>
                <w:noProof/>
              </w:rPr>
            </w:pPr>
          </w:p>
        </w:tc>
        <w:tc>
          <w:tcPr>
            <w:tcW w:w="1216" w:type="dxa"/>
          </w:tcPr>
          <w:p>
            <w:pPr>
              <w:rPr>
                <w:noProof/>
              </w:rPr>
            </w:pPr>
          </w:p>
        </w:tc>
        <w:tc>
          <w:tcPr>
            <w:tcW w:w="1216" w:type="dxa"/>
            <w:hideMark/>
          </w:tcPr>
          <w:p>
            <w:pPr>
              <w:rPr>
                <w:noProof/>
              </w:rPr>
            </w:pPr>
            <w:r>
              <w:rPr>
                <w:noProof/>
              </w:rPr>
              <w:t>460</w:t>
            </w:r>
          </w:p>
        </w:tc>
        <w:tc>
          <w:tcPr>
            <w:tcW w:w="803" w:type="dxa"/>
            <w:hideMark/>
          </w:tcPr>
          <w:p>
            <w:pPr>
              <w:rPr>
                <w:noProof/>
              </w:rPr>
            </w:pPr>
            <w:r>
              <w:rPr>
                <w:noProof/>
              </w:rPr>
              <w:t>10</w:t>
            </w:r>
          </w:p>
        </w:tc>
        <w:tc>
          <w:tcPr>
            <w:tcW w:w="1216" w:type="dxa"/>
            <w:hideMark/>
          </w:tcPr>
          <w:p>
            <w:pPr>
              <w:rPr>
                <w:noProof/>
              </w:rPr>
            </w:pPr>
            <w:r>
              <w:rPr>
                <w:noProof/>
              </w:rPr>
              <w:t>10</w:t>
            </w:r>
          </w:p>
        </w:tc>
        <w:tc>
          <w:tcPr>
            <w:tcW w:w="1030" w:type="dxa"/>
            <w:hideMark/>
          </w:tcPr>
          <w:p>
            <w:pPr>
              <w:rPr>
                <w:noProof/>
                <w:vertAlign w:val="superscript"/>
              </w:rPr>
            </w:pPr>
            <w:r>
              <w:rPr>
                <w:noProof/>
              </w:rPr>
              <w:t>6,0 x 10</w:t>
            </w:r>
            <w:r>
              <w:rPr>
                <w:noProof/>
                <w:vertAlign w:val="superscript"/>
              </w:rPr>
              <w:t>11</w:t>
            </w:r>
          </w:p>
        </w:tc>
      </w:tr>
      <w:tr>
        <w:trPr>
          <w:trHeight w:val="876"/>
        </w:trPr>
        <w:tc>
          <w:tcPr>
            <w:tcW w:w="993" w:type="dxa"/>
            <w:hideMark/>
          </w:tcPr>
          <w:p>
            <w:pPr>
              <w:rPr>
                <w:noProof/>
              </w:rPr>
            </w:pPr>
            <w:r>
              <w:rPr>
                <w:noProof/>
              </w:rPr>
              <w:t xml:space="preserve">WHTC (PI) </w:t>
            </w:r>
          </w:p>
        </w:tc>
        <w:tc>
          <w:tcPr>
            <w:tcW w:w="1276" w:type="dxa"/>
            <w:hideMark/>
          </w:tcPr>
          <w:p>
            <w:pPr>
              <w:rPr>
                <w:noProof/>
              </w:rPr>
            </w:pPr>
            <w:r>
              <w:rPr>
                <w:noProof/>
              </w:rPr>
              <w:t>4000</w:t>
            </w:r>
          </w:p>
        </w:tc>
        <w:tc>
          <w:tcPr>
            <w:tcW w:w="1262" w:type="dxa"/>
          </w:tcPr>
          <w:p>
            <w:pPr>
              <w:rPr>
                <w:noProof/>
              </w:rPr>
            </w:pPr>
          </w:p>
        </w:tc>
        <w:tc>
          <w:tcPr>
            <w:tcW w:w="1216" w:type="dxa"/>
            <w:hideMark/>
          </w:tcPr>
          <w:p>
            <w:pPr>
              <w:rPr>
                <w:noProof/>
              </w:rPr>
            </w:pPr>
            <w:r>
              <w:rPr>
                <w:noProof/>
              </w:rPr>
              <w:t>160</w:t>
            </w:r>
          </w:p>
        </w:tc>
        <w:tc>
          <w:tcPr>
            <w:tcW w:w="1216" w:type="dxa"/>
            <w:hideMark/>
          </w:tcPr>
          <w:p>
            <w:pPr>
              <w:rPr>
                <w:noProof/>
              </w:rPr>
            </w:pPr>
            <w:r>
              <w:rPr>
                <w:noProof/>
              </w:rPr>
              <w:t>500</w:t>
            </w:r>
          </w:p>
        </w:tc>
        <w:tc>
          <w:tcPr>
            <w:tcW w:w="1216" w:type="dxa"/>
            <w:hideMark/>
          </w:tcPr>
          <w:p>
            <w:pPr>
              <w:rPr>
                <w:noProof/>
              </w:rPr>
            </w:pPr>
            <w:r>
              <w:rPr>
                <w:noProof/>
              </w:rPr>
              <w:t>460</w:t>
            </w:r>
          </w:p>
        </w:tc>
        <w:tc>
          <w:tcPr>
            <w:tcW w:w="803" w:type="dxa"/>
            <w:hideMark/>
          </w:tcPr>
          <w:p>
            <w:pPr>
              <w:rPr>
                <w:noProof/>
              </w:rPr>
            </w:pPr>
            <w:r>
              <w:rPr>
                <w:noProof/>
              </w:rPr>
              <w:t>10</w:t>
            </w:r>
          </w:p>
        </w:tc>
        <w:tc>
          <w:tcPr>
            <w:tcW w:w="1216" w:type="dxa"/>
            <w:hideMark/>
          </w:tcPr>
          <w:p>
            <w:pPr>
              <w:rPr>
                <w:noProof/>
              </w:rPr>
            </w:pPr>
            <w:r>
              <w:rPr>
                <w:noProof/>
              </w:rPr>
              <w:t>10</w:t>
            </w:r>
          </w:p>
        </w:tc>
        <w:tc>
          <w:tcPr>
            <w:tcW w:w="1030" w:type="dxa"/>
            <w:hideMark/>
          </w:tcPr>
          <w:p>
            <w:pPr>
              <w:rPr>
                <w:noProof/>
              </w:rPr>
            </w:pPr>
            <w:r>
              <w:rPr>
                <w:noProof/>
              </w:rPr>
              <w:t>6,0 x 10</w:t>
            </w:r>
            <w:r>
              <w:rPr>
                <w:noProof/>
                <w:vertAlign w:val="superscript"/>
              </w:rPr>
              <w:t>11</w:t>
            </w:r>
          </w:p>
        </w:tc>
      </w:tr>
    </w:tbl>
    <w:p>
      <w:pPr>
        <w:rPr>
          <w:noProof/>
        </w:rPr>
      </w:pPr>
      <w:r>
        <w:rPr>
          <w:noProof/>
        </w:rPr>
        <w:t>Pastaba.</w:t>
      </w:r>
    </w:p>
    <w:p>
      <w:pPr>
        <w:pStyle w:val="Point0"/>
        <w:spacing w:before="0" w:after="0"/>
        <w:rPr>
          <w:noProof/>
        </w:rPr>
      </w:pPr>
      <w:r>
        <w:rPr>
          <w:noProof/>
        </w:rPr>
        <w:t>PI =</w:t>
      </w:r>
      <w:r>
        <w:rPr>
          <w:noProof/>
        </w:rPr>
        <w:tab/>
        <w:t>priverstinis uždegimas.</w:t>
      </w:r>
    </w:p>
    <w:p>
      <w:pPr>
        <w:pStyle w:val="Point0"/>
        <w:spacing w:before="0" w:after="0"/>
        <w:rPr>
          <w:noProof/>
        </w:rPr>
      </w:pPr>
      <w:r>
        <w:rPr>
          <w:noProof/>
        </w:rPr>
        <w:t>CI =</w:t>
      </w:r>
      <w:r>
        <w:rPr>
          <w:noProof/>
        </w:rPr>
        <w:tab/>
        <w:t>kompresinis uždegimas.</w:t>
      </w:r>
    </w:p>
    <w:p>
      <w:pPr>
        <w:rPr>
          <w:noProof/>
        </w:rPr>
      </w:pPr>
      <w:r>
        <w:rPr>
          <w:noProof/>
          <w:vertAlign w:val="superscript"/>
        </w:rPr>
        <w:t>(1)</w:t>
      </w:r>
      <w:r>
        <w:rPr>
          <w:noProof/>
        </w:rPr>
        <w:tab/>
        <w:t>Vėliau NO</w:t>
      </w:r>
      <w:r>
        <w:rPr>
          <w:noProof/>
          <w:vertAlign w:val="subscript"/>
        </w:rPr>
        <w:t>x</w:t>
      </w:r>
      <w:r>
        <w:rPr>
          <w:noProof/>
        </w:rPr>
        <w:t xml:space="preserve"> ribinėje vertėje gali būti nustatytas leidžiamas NO</w:t>
      </w:r>
      <w:r>
        <w:rPr>
          <w:noProof/>
          <w:vertAlign w:val="subscript"/>
        </w:rPr>
        <w:t>2</w:t>
      </w:r>
      <w:r>
        <w:rPr>
          <w:noProof/>
        </w:rPr>
        <w:t xml:space="preserve"> komponento lygis.“;</w:t>
      </w:r>
    </w:p>
    <w:p>
      <w:pPr>
        <w:rPr>
          <w:noProof/>
        </w:rPr>
      </w:pPr>
      <w:r>
        <w:rPr>
          <w:noProof/>
        </w:rPr>
        <w:t>b)</w:t>
      </w:r>
      <w:r>
        <w:rPr>
          <w:noProof/>
        </w:rPr>
        <w:tab/>
        <w:t>III priedas iš dalies keičiamas taip:</w:t>
      </w:r>
    </w:p>
    <w:p>
      <w:pPr>
        <w:ind w:firstLine="720"/>
        <w:rPr>
          <w:noProof/>
        </w:rPr>
      </w:pPr>
      <w:r>
        <w:rPr>
          <w:noProof/>
        </w:rPr>
        <w:t>i)</w:t>
      </w:r>
      <w:r>
        <w:rPr>
          <w:noProof/>
        </w:rPr>
        <w:tab/>
        <w:t>2 skirsnis iš dalies keičiamas taip:</w:t>
      </w:r>
    </w:p>
    <w:p>
      <w:pPr>
        <w:ind w:left="131" w:firstLine="578"/>
        <w:rPr>
          <w:noProof/>
        </w:rPr>
      </w:pPr>
      <w:r>
        <w:rPr>
          <w:noProof/>
        </w:rPr>
        <w:t>– 2.1 punkto šešta įtrauka pakeičiama taip:</w:t>
      </w:r>
    </w:p>
    <w:p>
      <w:pPr>
        <w:ind w:left="709"/>
        <w:rPr>
          <w:noProof/>
        </w:rPr>
      </w:pPr>
      <w:r>
        <w:rPr>
          <w:noProof/>
        </w:rPr>
        <w:t>„—</w:t>
      </w:r>
      <w:r>
        <w:rPr>
          <w:noProof/>
        </w:rPr>
        <w:tab/>
        <w:t>Kaštai sunkiosioms transporto priemonėms paskirstomi objektyviai ir skaidriai atsižvelgiant į tai, kokią tinklo eismo dalį sudaro šios transporto priemonės, ir į su tuo susijusius kaštus. Sunkiųjų transporto priemonių nuvažiuotų kilometrų skaičius šiuo tikslu gali būti koreguojamas pagal objektyviai pagrįstus ekvivalentiškumo koeficientus, pvz., nustatytuosius 4 punkte (*).</w:t>
      </w:r>
    </w:p>
    <w:p>
      <w:pPr>
        <w:rPr>
          <w:noProof/>
        </w:rPr>
      </w:pPr>
      <w:r>
        <w:rPr>
          <w:noProof/>
        </w:rPr>
        <w:t>________</w:t>
      </w:r>
    </w:p>
    <w:p>
      <w:pPr>
        <w:rPr>
          <w:noProof/>
        </w:rPr>
      </w:pPr>
      <w:r>
        <w:rPr>
          <w:noProof/>
        </w:rPr>
        <w:t>*</w:t>
      </w:r>
      <w:r>
        <w:rPr>
          <w:noProof/>
        </w:rPr>
        <w:tab/>
        <w:t>Taikydamos ekvivalentiškumo koeficientus valstybės narės gali atsižvelgti į kelių statybą, kuri plėtojama laipsniškai arba pagal ilgo gyvavimo ciklo modelį.“;</w:t>
      </w:r>
    </w:p>
    <w:p>
      <w:pPr>
        <w:ind w:left="709"/>
        <w:rPr>
          <w:noProof/>
        </w:rPr>
      </w:pPr>
      <w:r>
        <w:rPr>
          <w:noProof/>
        </w:rPr>
        <w:t>– 2.2 punkto antra įtrauka pakeičiama taip:</w:t>
      </w:r>
    </w:p>
    <w:p>
      <w:pPr>
        <w:ind w:left="709"/>
        <w:rPr>
          <w:noProof/>
        </w:rPr>
      </w:pPr>
      <w:r>
        <w:rPr>
          <w:noProof/>
        </w:rPr>
        <w:t>„—</w:t>
      </w:r>
      <w:r>
        <w:rPr>
          <w:noProof/>
        </w:rPr>
        <w:tab/>
        <w:t>Tokie kaštai sunkiosioms transporto priemonėms ir kitoms transporto priemonėms paskirstomi remiantis faktiškai nuvažiuotų ir prognozuojamų nuvažiuoti kilometrų skaičiumi ir gali būti koreguojami pagal objektyviai pagrįstus ekvivalentiškumo koeficientus, pvz., nustatytuosius 4 punkte.“;</w:t>
      </w:r>
    </w:p>
    <w:p>
      <w:pPr>
        <w:ind w:left="709"/>
        <w:rPr>
          <w:noProof/>
        </w:rPr>
      </w:pPr>
      <w:r>
        <w:rPr>
          <w:noProof/>
        </w:rPr>
        <w:t>ii)</w:t>
      </w:r>
      <w:r>
        <w:rPr>
          <w:noProof/>
        </w:rPr>
        <w:tab/>
        <w:t>4 skirsnio pavadinimas ir pirma įtrauka pakeičiami taip:</w:t>
      </w:r>
    </w:p>
    <w:p>
      <w:pPr>
        <w:ind w:left="720" w:hanging="720"/>
        <w:rPr>
          <w:noProof/>
        </w:rPr>
      </w:pPr>
      <w:r>
        <w:rPr>
          <w:noProof/>
        </w:rPr>
        <w:t>„4.</w:t>
      </w:r>
      <w:r>
        <w:rPr>
          <w:noProof/>
        </w:rPr>
        <w:tab/>
        <w:t>SUNKIŲJŲ TRANSPORTO PRIEMONIŲ EISMO DALIS, EKVIVALENTIŠKUMO KOEFICIENTAI IR KOREGAVIMO MECHANIZMAS</w:t>
      </w:r>
    </w:p>
    <w:p>
      <w:pPr>
        <w:ind w:left="720" w:hanging="720"/>
        <w:rPr>
          <w:noProof/>
        </w:rPr>
      </w:pPr>
      <w:r>
        <w:rPr>
          <w:noProof/>
        </w:rPr>
        <w:t>–</w:t>
      </w:r>
      <w:r>
        <w:rPr>
          <w:noProof/>
        </w:rPr>
        <w:tab/>
        <w:t>Rinkliavų apskaičiavimas grindžiamas faktinėmis arba prognozuojamomis dalimis, kurias sudaro sunkiųjų transporto priemonių nuvažiuoti kilometrai, jeigu pageidaujama, pakoreguoti taikant ekvivalentiškumo koeficientus, kad būtų tinkamai atsižvelgta į šių transporto priemonių naudojimui skirtos infrastruktūros statybos ir remonto padidėjusius kaštus.“;</w:t>
      </w:r>
    </w:p>
    <w:p>
      <w:pPr>
        <w:rPr>
          <w:noProof/>
        </w:rPr>
      </w:pPr>
      <w:r>
        <w:rPr>
          <w:noProof/>
        </w:rPr>
        <w:t>c)</w:t>
      </w:r>
      <w:r>
        <w:rPr>
          <w:noProof/>
        </w:rPr>
        <w:tab/>
        <w:t>IIIa priedas pakeičiamas taip:</w:t>
      </w:r>
    </w:p>
    <w:p>
      <w:pPr>
        <w:pStyle w:val="Annexetitreacte"/>
        <w:rPr>
          <w:noProof/>
        </w:rPr>
      </w:pPr>
      <w:r>
        <w:rPr>
          <w:noProof/>
        </w:rPr>
        <w:t>„IIIa PRIEDAS</w:t>
      </w:r>
    </w:p>
    <w:p>
      <w:pPr>
        <w:pStyle w:val="ManualHeading1"/>
        <w:ind w:left="851" w:hanging="851"/>
        <w:rPr>
          <w:noProof/>
        </w:rPr>
      </w:pPr>
      <w:r>
        <w:rPr>
          <w:i/>
          <w:noProof/>
        </w:rPr>
        <w:t>BŪTINIAUSI IŠORINIŲ KAŠTŲ MOKESČIO TAIKYMO REIKALAVIMAI</w:t>
      </w:r>
    </w:p>
    <w:p>
      <w:pPr>
        <w:rPr>
          <w:noProof/>
        </w:rPr>
      </w:pPr>
      <w:r>
        <w:rPr>
          <w:noProof/>
        </w:rPr>
        <w:t>Šiame priede nustatomi būtiniausi reikalavimai, kurių turi būti laikomasi taikant išorinių kaštų mokestį ir, jei taikoma, apskaičiuojant maksimalų išorinių kaštų mokestį.</w:t>
      </w:r>
    </w:p>
    <w:p>
      <w:pPr>
        <w:pStyle w:val="ManualHeading2"/>
        <w:ind w:left="851" w:hanging="851"/>
        <w:rPr>
          <w:noProof/>
        </w:rPr>
      </w:pPr>
      <w:r>
        <w:rPr>
          <w:noProof/>
        </w:rPr>
        <w:t>1.</w:t>
      </w:r>
      <w:r>
        <w:rPr>
          <w:noProof/>
        </w:rPr>
        <w:tab/>
      </w:r>
      <w:r>
        <w:rPr>
          <w:i/>
          <w:noProof/>
        </w:rPr>
        <w:t>Atitinkamos kelių tinklo dalys</w:t>
      </w:r>
    </w:p>
    <w:p>
      <w:pPr>
        <w:rPr>
          <w:noProof/>
        </w:rPr>
      </w:pPr>
      <w:r>
        <w:rPr>
          <w:noProof/>
        </w:rPr>
        <w:t>Valstybė narė tiksliai nurodo jos kelių tinklo dalį arba dalis, kuriose ketinama taikyti išorinių kaštų mokestį.</w:t>
      </w:r>
    </w:p>
    <w:p>
      <w:pPr>
        <w:rPr>
          <w:noProof/>
        </w:rPr>
      </w:pPr>
      <w:r>
        <w:rPr>
          <w:noProof/>
        </w:rPr>
        <w:t>Kai valstybė narė ketina taikyti išorinių kaštų mokestį tik vienoje arba keliose kelių tinklo, kurį sudaro transeuropiniam tinklui priklausanti jos dalis ir jos greitkeliai, dalyse, ta dalis arba dalys pasirenkamos atlikus įvertinimą, kurio metu nustatyta, kad:</w:t>
      </w:r>
    </w:p>
    <w:p>
      <w:pPr>
        <w:pStyle w:val="Tiret0"/>
        <w:numPr>
          <w:ilvl w:val="0"/>
          <w:numId w:val="5"/>
        </w:numPr>
        <w:ind w:left="851"/>
        <w:rPr>
          <w:noProof/>
        </w:rPr>
      </w:pPr>
      <w:r>
        <w:rPr>
          <w:noProof/>
        </w:rPr>
        <w:t xml:space="preserve">žala aplinkai, daroma transporto priemonėms naudojant kelius, kuriuose taikomas išorinių kaštų mokestis, yra didesnė nei vidutiniška daroma žala, vertinant </w:t>
      </w:r>
      <w:r>
        <w:rPr>
          <w:noProof/>
          <w:color w:val="FF0000"/>
        </w:rPr>
        <w:t>pagal oro kokybės ataskaitas, nacionalinę išmetamų teršalų apskaitą, eismo apimtį, o triukšmą vertinant pagal Direktyvą 2002/49/EB</w:t>
      </w:r>
      <w:r>
        <w:rPr>
          <w:noProof/>
        </w:rPr>
        <w:t>, arba</w:t>
      </w:r>
    </w:p>
    <w:p>
      <w:pPr>
        <w:pStyle w:val="Tiret0"/>
        <w:ind w:left="851"/>
        <w:rPr>
          <w:noProof/>
        </w:rPr>
      </w:pPr>
      <w:r>
        <w:rPr>
          <w:noProof/>
        </w:rPr>
        <w:t>išorinių kaštų mokesčio įvedimas kitose taip sudaryto kelių tinklo dalyse galėtų turėti neigiamą poveikį aplinkai ar kelių saugai, arba išorinių kaštų mokesčio taikymas ir surinkimas jose sąlygotų neproporcingai dideles išlaidas.</w:t>
      </w:r>
    </w:p>
    <w:p>
      <w:pPr>
        <w:pStyle w:val="ManualHeading2"/>
        <w:ind w:left="851" w:hanging="851"/>
        <w:rPr>
          <w:noProof/>
        </w:rPr>
      </w:pPr>
      <w:r>
        <w:rPr>
          <w:noProof/>
        </w:rPr>
        <w:t>2.</w:t>
      </w:r>
      <w:r>
        <w:rPr>
          <w:noProof/>
        </w:rPr>
        <w:tab/>
      </w:r>
      <w:r>
        <w:rPr>
          <w:i/>
          <w:noProof/>
        </w:rPr>
        <w:t>Transporto priemonės, keliai ir laikotarpiai</w:t>
      </w:r>
    </w:p>
    <w:p>
      <w:pPr>
        <w:rPr>
          <w:noProof/>
        </w:rPr>
      </w:pPr>
      <w:r>
        <w:rPr>
          <w:noProof/>
        </w:rPr>
        <w:t>Jei valstybė narė ketina taikyti didesnius išorinių kaštų mokesčius nei IIIb priede nurodytos pamatinės vertės, ji Komisijai praneša transporto priemonių klasifikaciją, pagal kurią diferencijuojamas išorinių kaštų mokestis. Ji taip pat informuoja Komisiją apie tai, kur yra keliai, kuriems taikomi didesni išorinių kaštų mokesčiai (toliau – priemiestiniai keliai (įskaitant greitkelius)), ir keliai, kuriems taikomi mažesni išorinių kaštų mokesčiai (toliau – tarpmiestiniai keliai (įskaitant greitkelius)).</w:t>
      </w:r>
    </w:p>
    <w:p>
      <w:pPr>
        <w:rPr>
          <w:noProof/>
        </w:rPr>
      </w:pPr>
      <w:r>
        <w:rPr>
          <w:noProof/>
        </w:rPr>
        <w:t>Atitinkamais atvejais ji taip pat informuoja Komisiją apie tikslius laikotarpius, atitinkančius nakties metą, kuriais gali būti taikomas didesnis išorinių triukšmo kaštų mokestis, atspindintis didesnius triukšmo keliamus nepatogumus.</w:t>
      </w:r>
    </w:p>
    <w:p>
      <w:pPr>
        <w:rPr>
          <w:noProof/>
        </w:rPr>
      </w:pPr>
      <w:r>
        <w:rPr>
          <w:noProof/>
        </w:rPr>
        <w:t>Kelių klasifikavimas į priemiestinius kelius (įskaitant greitkelius) ir tarpmiestinius kelius (įskaitant greitkelius) ir laikotarpių apibrėžimas grindžiami objektyviais kriterijais, susijusiais su taršos poveikiu keliams ir jų apylinkėms, pvz., gyventojų tankumu, metine vidutine oro tarša (visų pirma KD</w:t>
      </w:r>
      <w:r>
        <w:rPr>
          <w:noProof/>
          <w:vertAlign w:val="subscript"/>
        </w:rPr>
        <w:t>10</w:t>
      </w:r>
      <w:r>
        <w:rPr>
          <w:noProof/>
        </w:rPr>
        <w:t xml:space="preserve"> ir NO</w:t>
      </w:r>
      <w:r>
        <w:rPr>
          <w:noProof/>
          <w:vertAlign w:val="subscript"/>
        </w:rPr>
        <w:t>2</w:t>
      </w:r>
      <w:r>
        <w:rPr>
          <w:noProof/>
        </w:rPr>
        <w:t>) ir dienų (KD</w:t>
      </w:r>
      <w:r>
        <w:rPr>
          <w:noProof/>
          <w:vertAlign w:val="subscript"/>
        </w:rPr>
        <w:t>10</w:t>
      </w:r>
      <w:r>
        <w:rPr>
          <w:noProof/>
        </w:rPr>
        <w:t xml:space="preserve"> atveju) bei valandų (NO</w:t>
      </w:r>
      <w:r>
        <w:rPr>
          <w:noProof/>
          <w:vertAlign w:val="subscript"/>
        </w:rPr>
        <w:t>2</w:t>
      </w:r>
      <w:r>
        <w:rPr>
          <w:noProof/>
        </w:rPr>
        <w:t xml:space="preserve"> atveju), kuriomis viršijamos pagal Direktyvą 2008/50/EB nustatytos vertės, skaičiumi. Naudoti kriterijai nurodomi pranešime.</w:t>
      </w:r>
    </w:p>
    <w:p>
      <w:pPr>
        <w:pStyle w:val="ManualHeading2"/>
        <w:ind w:left="851" w:hanging="851"/>
        <w:rPr>
          <w:noProof/>
        </w:rPr>
      </w:pPr>
      <w:r>
        <w:rPr>
          <w:noProof/>
        </w:rPr>
        <w:t>3.</w:t>
      </w:r>
      <w:r>
        <w:rPr>
          <w:noProof/>
        </w:rPr>
        <w:tab/>
      </w:r>
      <w:r>
        <w:rPr>
          <w:i/>
          <w:noProof/>
        </w:rPr>
        <w:t>Mokesčio suma</w:t>
      </w:r>
    </w:p>
    <w:p>
      <w:pPr>
        <w:rPr>
          <w:rFonts w:eastAsia="Arial Unicode MS"/>
          <w:noProof/>
        </w:rPr>
      </w:pPr>
      <w:r>
        <w:rPr>
          <w:noProof/>
        </w:rPr>
        <w:t>Šis skirsnis taikomas, kai valstybė narė ketina taikyti didesnius išorinių kaštų mokesčius nei IIIb priede nurodytos pamatinės vertės.</w:t>
      </w:r>
    </w:p>
    <w:p>
      <w:pPr>
        <w:rPr>
          <w:noProof/>
        </w:rPr>
      </w:pPr>
      <w:r>
        <w:rPr>
          <w:noProof/>
        </w:rPr>
        <w:t>Valstybė narė arba atitinkamais atvejais nepriklausoma institucija kiekvienai transporto priemonės klasei, kelio tipui ir laikotarpiui nustato vieną konkrečią sumą. Tokia apmokestinimo struktūra turi būti skaidri, skelbiama viešai ir visiems naudotojams taikoma vienodomis sąlygomis. Informacija turėtų būti skelbiama likus pakankamai laiko iki įgyvendinimo. Visi parametrai, duomenys ir kita informacija, reikalingi norint suprasti, kaip skaičiuojami įvairūs išorinių kaštų elementai, skelbiami viešai.</w:t>
      </w:r>
    </w:p>
    <w:p>
      <w:pPr>
        <w:rPr>
          <w:noProof/>
        </w:rPr>
      </w:pPr>
      <w:r>
        <w:rPr>
          <w:noProof/>
        </w:rPr>
        <w:t>Nustatydama mokesčius, valstybė narė arba atitinkamais atvejais nepriklausoma institucija vadovaujasi efektyvios kainodaros principu, pagal kurį kaina yra artima apmokestinamos transporto priemonės naudojimo socialiniams ribiniams kaštams.</w:t>
      </w:r>
    </w:p>
    <w:p>
      <w:pPr>
        <w:rPr>
          <w:noProof/>
        </w:rPr>
      </w:pPr>
      <w:r>
        <w:rPr>
          <w:noProof/>
        </w:rPr>
        <w:t>Mokestis nustatomas atsižvelgus į eismo nukreipimo riziką ir visą kitą neigiamą poveikį kelių eismo saugai, aplinkai bei grūstims ir į priemones, kuriomis galima šią riziką sumažinti.</w:t>
      </w:r>
    </w:p>
    <w:p>
      <w:pPr>
        <w:rPr>
          <w:noProof/>
        </w:rPr>
      </w:pPr>
      <w:r>
        <w:rPr>
          <w:noProof/>
        </w:rPr>
        <w:t>Valstybė narė arba atitinkamais atvejais nepriklausoma institucija stebi apmokestinimo schemos veiksmingumą mažinant kelių transporto daromą žalą aplinkai. Prireikus ji kas dvejus metus koreguoja apmokestinimo struktūrą ir atitinkamai transporto priemonių klasei, kelio tipui ir laikotarpiui nustatytą konkrečią mokesčio sumą atsižvelgdama į transporto pasiūlos ir paklausos pokyčius.</w:t>
      </w:r>
    </w:p>
    <w:p>
      <w:pPr>
        <w:pStyle w:val="ManualHeading3"/>
        <w:rPr>
          <w:i w:val="0"/>
          <w:iCs/>
          <w:noProof/>
        </w:rPr>
      </w:pPr>
      <w:r>
        <w:rPr>
          <w:b/>
          <w:noProof/>
        </w:rPr>
        <w:t>4.</w:t>
      </w:r>
      <w:r>
        <w:rPr>
          <w:noProof/>
        </w:rPr>
        <w:tab/>
      </w:r>
      <w:r>
        <w:rPr>
          <w:b/>
          <w:i w:val="0"/>
          <w:noProof/>
        </w:rPr>
        <w:t>Išorinių kaštų elementai</w:t>
      </w:r>
      <w:r>
        <w:rPr>
          <w:i w:val="0"/>
          <w:noProof/>
        </w:rPr>
        <w:t xml:space="preserve"> </w:t>
      </w:r>
    </w:p>
    <w:p>
      <w:pPr>
        <w:pStyle w:val="ManualHeading3"/>
        <w:rPr>
          <w:noProof/>
        </w:rPr>
      </w:pPr>
      <w:r>
        <w:rPr>
          <w:noProof/>
        </w:rPr>
        <w:t>4.1.</w:t>
      </w:r>
      <w:r>
        <w:rPr>
          <w:noProof/>
        </w:rPr>
        <w:tab/>
        <w:t>Eismo oro taršos kaštai</w:t>
      </w:r>
    </w:p>
    <w:p>
      <w:pPr>
        <w:rPr>
          <w:noProof/>
        </w:rPr>
      </w:pPr>
      <w:r>
        <w:rPr>
          <w:noProof/>
        </w:rPr>
        <w:t>Jei valstybė narė ketina taikyti didesnius išorinių kaštų mokesčius nei IIIb priede nurodytos pamatinės vertės, ta valstybė narė arba atitinkamais atvejais nepriklausoma institucija apskaičiuoja apmokestinamus eismo oro taršos kaštus pagal šią formulę:</w:t>
      </w:r>
    </w:p>
    <w:p>
      <w:pPr>
        <w:rPr>
          <w:noProof/>
        </w:rPr>
      </w:pPr>
      <w:r>
        <w:rPr>
          <w:noProof/>
          <w:lang w:val="en-US" w:eastAsia="en-US" w:bidi="ar-SA"/>
        </w:rPr>
        <w:drawing>
          <wp:inline distT="0" distB="0" distL="0" distR="0">
            <wp:extent cx="1714500" cy="2290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14125" cy="229013"/>
                    </a:xfrm>
                    <a:prstGeom prst="rect">
                      <a:avLst/>
                    </a:prstGeom>
                  </pic:spPr>
                </pic:pic>
              </a:graphicData>
            </a:graphic>
          </wp:inline>
        </w:drawing>
      </w:r>
    </w:p>
    <w:p>
      <w:pPr>
        <w:rPr>
          <w:noProof/>
        </w:rPr>
      </w:pPr>
      <w:r>
        <w:rPr>
          <w:noProof/>
        </w:rPr>
        <w:t>čia:</w:t>
      </w:r>
    </w:p>
    <w:tbl>
      <w:tblPr>
        <w:tblW w:w="0" w:type="auto"/>
        <w:tblLayout w:type="fixed"/>
        <w:tblLook w:val="0000" w:firstRow="0" w:lastRow="0" w:firstColumn="0" w:lastColumn="0" w:noHBand="0" w:noVBand="0"/>
      </w:tblPr>
      <w:tblGrid>
        <w:gridCol w:w="557"/>
        <w:gridCol w:w="1022"/>
        <w:gridCol w:w="557"/>
        <w:gridCol w:w="7150"/>
      </w:tblGrid>
      <w:tr>
        <w:tc>
          <w:tcPr>
            <w:tcW w:w="557" w:type="dxa"/>
          </w:tcPr>
          <w:p>
            <w:pPr>
              <w:pStyle w:val="NormalLeft"/>
              <w:rPr>
                <w:noProof/>
              </w:rPr>
            </w:pPr>
            <w:r>
              <w:rPr>
                <w:noProof/>
              </w:rPr>
              <w:t>—</w:t>
            </w:r>
          </w:p>
        </w:tc>
        <w:tc>
          <w:tcPr>
            <w:tcW w:w="1022" w:type="dxa"/>
          </w:tcPr>
          <w:p>
            <w:pPr>
              <w:pStyle w:val="NormalLeft"/>
              <w:rPr>
                <w:noProof/>
              </w:rPr>
            </w:pPr>
            <w:r>
              <w:rPr>
                <w:noProof/>
              </w:rPr>
              <w:t>PCV</w:t>
            </w:r>
            <w:r>
              <w:rPr>
                <w:noProof/>
                <w:vertAlign w:val="subscript"/>
              </w:rPr>
              <w:t>ij</w:t>
            </w:r>
          </w:p>
        </w:tc>
        <w:tc>
          <w:tcPr>
            <w:tcW w:w="557" w:type="dxa"/>
          </w:tcPr>
          <w:p>
            <w:pPr>
              <w:pStyle w:val="NormalLeft"/>
              <w:rPr>
                <w:noProof/>
              </w:rPr>
            </w:pPr>
            <w:r>
              <w:rPr>
                <w:noProof/>
              </w:rPr>
              <w:t>=</w:t>
            </w:r>
          </w:p>
        </w:tc>
        <w:tc>
          <w:tcPr>
            <w:tcW w:w="7150" w:type="dxa"/>
          </w:tcPr>
          <w:p>
            <w:pPr>
              <w:pStyle w:val="NormalLeft"/>
              <w:rPr>
                <w:noProof/>
              </w:rPr>
            </w:pPr>
            <w:r>
              <w:rPr>
                <w:noProof/>
              </w:rPr>
              <w:t>i klasės transporto priemonės oro taršos kaštai j tipo kelyje (EUR/transporto priemonės km)</w:t>
            </w:r>
          </w:p>
        </w:tc>
      </w:tr>
      <w:tr>
        <w:tc>
          <w:tcPr>
            <w:tcW w:w="557" w:type="dxa"/>
          </w:tcPr>
          <w:p>
            <w:pPr>
              <w:pStyle w:val="NormalLeft"/>
              <w:rPr>
                <w:noProof/>
              </w:rPr>
            </w:pPr>
            <w:r>
              <w:rPr>
                <w:noProof/>
              </w:rPr>
              <w:t>—</w:t>
            </w:r>
          </w:p>
        </w:tc>
        <w:tc>
          <w:tcPr>
            <w:tcW w:w="1022" w:type="dxa"/>
          </w:tcPr>
          <w:p>
            <w:pPr>
              <w:pStyle w:val="NormalLeft"/>
              <w:rPr>
                <w:noProof/>
              </w:rPr>
            </w:pPr>
            <w:r>
              <w:rPr>
                <w:noProof/>
              </w:rPr>
              <w:t>EF</w:t>
            </w:r>
            <w:r>
              <w:rPr>
                <w:noProof/>
                <w:vertAlign w:val="subscript"/>
              </w:rPr>
              <w:t>ik</w:t>
            </w:r>
          </w:p>
        </w:tc>
        <w:tc>
          <w:tcPr>
            <w:tcW w:w="557" w:type="dxa"/>
          </w:tcPr>
          <w:p>
            <w:pPr>
              <w:pStyle w:val="NormalLeft"/>
              <w:rPr>
                <w:noProof/>
              </w:rPr>
            </w:pPr>
            <w:r>
              <w:rPr>
                <w:noProof/>
              </w:rPr>
              <w:t>=</w:t>
            </w:r>
          </w:p>
        </w:tc>
        <w:tc>
          <w:tcPr>
            <w:tcW w:w="7150" w:type="dxa"/>
          </w:tcPr>
          <w:p>
            <w:pPr>
              <w:pStyle w:val="NormalLeft"/>
              <w:rPr>
                <w:noProof/>
              </w:rPr>
            </w:pPr>
            <w:r>
              <w:rPr>
                <w:noProof/>
              </w:rPr>
              <w:t>k teršalo ir i klasės transporto priemonės išmetamųjų teršalų koeficientas (g/transporto priemonės km)</w:t>
            </w:r>
          </w:p>
        </w:tc>
      </w:tr>
      <w:tr>
        <w:tc>
          <w:tcPr>
            <w:tcW w:w="557" w:type="dxa"/>
          </w:tcPr>
          <w:p>
            <w:pPr>
              <w:pStyle w:val="NormalLeft"/>
              <w:rPr>
                <w:noProof/>
              </w:rPr>
            </w:pPr>
            <w:r>
              <w:rPr>
                <w:noProof/>
              </w:rPr>
              <w:t>—</w:t>
            </w:r>
          </w:p>
        </w:tc>
        <w:tc>
          <w:tcPr>
            <w:tcW w:w="1022" w:type="dxa"/>
          </w:tcPr>
          <w:p>
            <w:pPr>
              <w:pStyle w:val="NormalLeft"/>
              <w:rPr>
                <w:noProof/>
              </w:rPr>
            </w:pPr>
            <w:r>
              <w:rPr>
                <w:noProof/>
              </w:rPr>
              <w:t>PC</w:t>
            </w:r>
            <w:r>
              <w:rPr>
                <w:noProof/>
                <w:vertAlign w:val="subscript"/>
              </w:rPr>
              <w:t>jk</w:t>
            </w:r>
          </w:p>
        </w:tc>
        <w:tc>
          <w:tcPr>
            <w:tcW w:w="557" w:type="dxa"/>
          </w:tcPr>
          <w:p>
            <w:pPr>
              <w:pStyle w:val="NormalLeft"/>
              <w:rPr>
                <w:noProof/>
              </w:rPr>
            </w:pPr>
            <w:r>
              <w:rPr>
                <w:noProof/>
              </w:rPr>
              <w:t>=</w:t>
            </w:r>
          </w:p>
        </w:tc>
        <w:tc>
          <w:tcPr>
            <w:tcW w:w="7150" w:type="dxa"/>
          </w:tcPr>
          <w:p>
            <w:pPr>
              <w:pStyle w:val="NormalLeft"/>
              <w:rPr>
                <w:noProof/>
              </w:rPr>
            </w:pPr>
            <w:r>
              <w:rPr>
                <w:noProof/>
              </w:rPr>
              <w:t>k teršalo kaštai pinigine išraiška j tipo kelyje (EUR/g)</w:t>
            </w:r>
          </w:p>
        </w:tc>
      </w:tr>
    </w:tbl>
    <w:p>
      <w:pPr>
        <w:rPr>
          <w:noProof/>
        </w:rPr>
      </w:pPr>
    </w:p>
    <w:p>
      <w:pPr>
        <w:rPr>
          <w:noProof/>
        </w:rPr>
      </w:pPr>
      <w:r>
        <w:rPr>
          <w:noProof/>
        </w:rPr>
        <w:t>Išmetamųjų teršalų koeficientai yra tokie patys kaip ir tie, kuriuos valstybės narės naudoja rengdamos nacionalinę išmetamųjų teršalų apskaitą, numatytą Europos Parlamento ir Tarybos direktyvoje (ES) 2016/2284 dėl tam tikrų valstybėse narėse į atmosferą išmetamų teršalų kiekio mažinimo* (pagal kurią reikalaujama naudoti EMEP/EEA gaires dėl į atmosferą išmetamų teršalų inventorizavimo**). Teršalų kaštų piniginę išraišką apskaičiuoja valstybė narė arba atitinkamais atvejais 7c straipsnio 4 dalyje nurodyta nepriklausoma institucija, naudodama moksliškai patvirtintus metodus.</w:t>
      </w:r>
    </w:p>
    <w:p>
      <w:pPr>
        <w:rPr>
          <w:noProof/>
        </w:rPr>
      </w:pPr>
      <w:r>
        <w:rPr>
          <w:noProof/>
        </w:rPr>
        <w:t>Valstybė narė arba atitinkamais atvejais nepriklausoma institucija apskaičiuodama oro taršos kaštų vertę gali taikyti alternatyvius moksliškai pagrįstus metodus, panaudodama oro teršalų matavimo duomenis ir oro taršos kaštų vietinės vertės piniginę išraišką.</w:t>
      </w:r>
    </w:p>
    <w:p>
      <w:pPr>
        <w:pStyle w:val="ManualHeading3"/>
        <w:rPr>
          <w:noProof/>
        </w:rPr>
      </w:pPr>
      <w:r>
        <w:rPr>
          <w:noProof/>
        </w:rPr>
        <w:t>4.2.</w:t>
      </w:r>
      <w:r>
        <w:rPr>
          <w:noProof/>
        </w:rPr>
        <w:tab/>
        <w:t>Eismo akustinės taršos kaštai</w:t>
      </w:r>
    </w:p>
    <w:p>
      <w:pPr>
        <w:rPr>
          <w:noProof/>
        </w:rPr>
      </w:pPr>
      <w:r>
        <w:rPr>
          <w:noProof/>
        </w:rPr>
        <w:t>Jei valstybės narės numatyti taikyti išorinių kaštų mokesčiai yra didesni nei IIIb priede nurodytos pamatinės vertės, ta valstybė narė arba atitinkamais atvejais nepriklausoma institucija apskaičiuoja apmokestinamus eismo akustinės taršos kaštus pagal šias formules:</w:t>
      </w:r>
    </w:p>
    <w:p>
      <w:pPr>
        <w:rPr>
          <w:noProof/>
        </w:rPr>
      </w:pPr>
      <w:r>
        <w:rPr>
          <w:noProof/>
          <w:lang w:val="en-US" w:eastAsia="en-US" w:bidi="ar-SA"/>
        </w:rPr>
        <w:drawing>
          <wp:inline distT="0" distB="0" distL="0" distR="0">
            <wp:extent cx="2673997"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667416" cy="959657"/>
                    </a:xfrm>
                    <a:prstGeom prst="rect">
                      <a:avLst/>
                    </a:prstGeom>
                  </pic:spPr>
                </pic:pic>
              </a:graphicData>
            </a:graphic>
          </wp:inline>
        </w:drawing>
      </w:r>
    </w:p>
    <w:p>
      <w:pPr>
        <w:rPr>
          <w:noProof/>
        </w:rPr>
      </w:pPr>
      <w:r>
        <w:rPr>
          <w:noProof/>
        </w:rPr>
        <w:t>čia:</w:t>
      </w:r>
    </w:p>
    <w:tbl>
      <w:tblPr>
        <w:tblW w:w="0" w:type="auto"/>
        <w:tblLayout w:type="fixed"/>
        <w:tblLook w:val="0000" w:firstRow="0" w:lastRow="0" w:firstColumn="0" w:lastColumn="0" w:noHBand="0" w:noVBand="0"/>
      </w:tblPr>
      <w:tblGrid>
        <w:gridCol w:w="557"/>
        <w:gridCol w:w="1207"/>
        <w:gridCol w:w="372"/>
        <w:gridCol w:w="7150"/>
      </w:tblGrid>
      <w:tr>
        <w:tc>
          <w:tcPr>
            <w:tcW w:w="55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c>
          <w:tcPr>
            <w:tcW w:w="120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NCV</w:t>
            </w:r>
            <w:r>
              <w:rPr>
                <w:noProof/>
                <w:vertAlign w:val="subscript"/>
              </w:rPr>
              <w:t>j</w:t>
            </w:r>
            <w:r>
              <w:rPr>
                <w:noProof/>
              </w:rPr>
              <w:t xml:space="preserve"> =</w:t>
            </w:r>
          </w:p>
        </w:tc>
        <w:tc>
          <w:tcPr>
            <w:tcW w:w="37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71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vienos sunkiasvorių krovinių transporto priemonės triukšmo kaštai j tipo kelyje (EUR/transporto priemonės km)</w:t>
            </w:r>
          </w:p>
        </w:tc>
      </w:tr>
      <w:tr>
        <w:tc>
          <w:tcPr>
            <w:tcW w:w="55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c>
          <w:tcPr>
            <w:tcW w:w="120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NC</w:t>
            </w:r>
            <w:r>
              <w:rPr>
                <w:noProof/>
                <w:vertAlign w:val="subscript"/>
              </w:rPr>
              <w:t>jk</w:t>
            </w:r>
            <w:r>
              <w:rPr>
                <w:noProof/>
              </w:rPr>
              <w:t xml:space="preserve"> =</w:t>
            </w:r>
          </w:p>
        </w:tc>
        <w:tc>
          <w:tcPr>
            <w:tcW w:w="37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71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vienam asmeniui tenkantys triukšmo kaštai j tipo kelyje esant k lygio triukšmui (EUR/asmeniui)</w:t>
            </w:r>
          </w:p>
        </w:tc>
      </w:tr>
      <w:tr>
        <w:tc>
          <w:tcPr>
            <w:tcW w:w="55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c>
          <w:tcPr>
            <w:tcW w:w="120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POP</w:t>
            </w:r>
            <w:r>
              <w:rPr>
                <w:noProof/>
                <w:vertAlign w:val="subscript"/>
              </w:rPr>
              <w:t>k</w:t>
            </w:r>
            <w:r>
              <w:rPr>
                <w:noProof/>
              </w:rPr>
              <w:t xml:space="preserve"> =</w:t>
            </w:r>
          </w:p>
        </w:tc>
        <w:tc>
          <w:tcPr>
            <w:tcW w:w="37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71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gyventojų, kasdien patiriančių k lygio triukšmą, skaičius viename kilometre (asmenų/km)</w:t>
            </w:r>
          </w:p>
        </w:tc>
      </w:tr>
      <w:tr>
        <w:tc>
          <w:tcPr>
            <w:tcW w:w="55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c>
          <w:tcPr>
            <w:tcW w:w="120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WADT =</w:t>
            </w:r>
          </w:p>
        </w:tc>
        <w:tc>
          <w:tcPr>
            <w:tcW w:w="37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71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dienos eismo svertinis vidurkis (lengvųjų automobilių ekvivalentu)</w:t>
            </w:r>
          </w:p>
        </w:tc>
      </w:tr>
      <w:tr>
        <w:tc>
          <w:tcPr>
            <w:tcW w:w="55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c>
          <w:tcPr>
            <w:tcW w:w="120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a ir b</w:t>
            </w:r>
          </w:p>
        </w:tc>
        <w:tc>
          <w:tcPr>
            <w:tcW w:w="37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71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yra svertiniai koeficientai, kuriuos valstybė narė nustato taip, kad gautas triukšmo mokesčio svertinis vidurkis už transporto priemonės kilometrą atitiktų NCV</w:t>
            </w:r>
            <w:r>
              <w:rPr>
                <w:noProof/>
                <w:vertAlign w:val="subscript"/>
              </w:rPr>
              <w:t>j</w:t>
            </w:r>
            <w:r>
              <w:rPr>
                <w:noProof/>
              </w:rPr>
              <w:t xml:space="preserve"> (kasdien).</w:t>
            </w:r>
          </w:p>
        </w:tc>
      </w:tr>
    </w:tbl>
    <w:p>
      <w:pPr>
        <w:rPr>
          <w:noProof/>
        </w:rPr>
      </w:pPr>
    </w:p>
    <w:p>
      <w:pPr>
        <w:rPr>
          <w:noProof/>
        </w:rPr>
      </w:pPr>
      <w:r>
        <w:rPr>
          <w:noProof/>
        </w:rPr>
        <w:t>Eismo akustinė tarša siejama su triukšmo poveikiu netoli kelio esantiems piliečiams.</w:t>
      </w:r>
    </w:p>
    <w:p>
      <w:pPr>
        <w:rPr>
          <w:noProof/>
        </w:rPr>
      </w:pPr>
      <w:r>
        <w:rPr>
          <w:noProof/>
        </w:rPr>
        <w:t>k lygio triukšmą patiriančių gyventojų skaičius imamas iš strateginių triukšmo žemėlapių, parengtų pagal Direktyvos 2002/49/EB*** 7 straipsnį.</w:t>
      </w:r>
    </w:p>
    <w:p>
      <w:pPr>
        <w:rPr>
          <w:noProof/>
        </w:rPr>
      </w:pPr>
      <w:r>
        <w:rPr>
          <w:noProof/>
        </w:rPr>
        <w:t>Vienam asmeniui tenkančius kaštus esant k lygio triukšmui apskaičiuoja valstybė narė arba atitinkamais atvejais nepriklausoma institucija moksliškai patvirtintais metodais.</w:t>
      </w:r>
    </w:p>
    <w:p>
      <w:pPr>
        <w:rPr>
          <w:noProof/>
        </w:rPr>
      </w:pPr>
      <w:r>
        <w:rPr>
          <w:noProof/>
        </w:rPr>
        <w:t>Dienos eismo svertiniam vidurkiui nustatyti naudojamas sunkiasvorių krovinių transporto priemonių ir lengvųjų automobilių ekvivalentiškumo koeficientas „e“, gaunamas remiantis vidutinio automobilio ir vidutinės sunkiasvorių krovinių transporto priemonės skleidžiamo triukšmo lygiu ir atsižvelgiant į 2014 m. balandžio 16 d. Europos Parlamento ir Tarybos reglamentą (ES) Nr. 540/2014 dėl variklinių transporto priemonių ir keičiamųjų triukšmo slopinimo sistemų garso lygio, kuriuo iš dalies keičiama Direktyva 2007/46/EB bei panaikinama Direktyva 70/157/EEB.</w:t>
      </w:r>
    </w:p>
    <w:p>
      <w:pPr>
        <w:rPr>
          <w:noProof/>
        </w:rPr>
      </w:pPr>
      <w:r>
        <w:rPr>
          <w:noProof/>
        </w:rPr>
        <w:t>Valstybė narė arba atitinkamais atvejais nepriklausoma institucija gali nustatyti skirtingus triukšmo mokesčius, siekdama skatinti naudoti tylesnes transporto priemones, jeigu dėl to nediskriminuojamos užsienio transporto priemonės.</w:t>
      </w:r>
    </w:p>
    <w:p>
      <w:pPr>
        <w:rPr>
          <w:noProof/>
        </w:rPr>
      </w:pPr>
      <w:r>
        <w:rPr>
          <w:noProof/>
        </w:rPr>
        <w:t>_____________</w:t>
      </w:r>
    </w:p>
    <w:p>
      <w:pPr>
        <w:rPr>
          <w:noProof/>
        </w:rPr>
      </w:pPr>
      <w:r>
        <w:rPr>
          <w:noProof/>
        </w:rPr>
        <w:t>*</w:t>
      </w:r>
      <w:r>
        <w:rPr>
          <w:noProof/>
        </w:rPr>
        <w:tab/>
        <w:t xml:space="preserve">2016 m. gruodžio 14 d. Europos Parlamento ir Tarybos direktyva (ES) 2016/2284 dėl tam tikrų valstybėse narėse į atmosferą išmetamų teršalų kiekio mažinimo, kuria iš dalies keičiama Direktyva 2003/35/EB ir panaikinama Direktyva 2001/81/EB (OL L 344, 2016 12 17, p. 1). </w:t>
      </w:r>
    </w:p>
    <w:p>
      <w:pPr>
        <w:rPr>
          <w:noProof/>
        </w:rPr>
      </w:pPr>
      <w:r>
        <w:rPr>
          <w:noProof/>
        </w:rPr>
        <w:t>**</w:t>
      </w:r>
      <w:r>
        <w:rPr>
          <w:noProof/>
        </w:rPr>
        <w:tab/>
        <w:t>Europos aplinkos agentūros metodika http://www.eea.europa.eu//publications/emep-eea-guidebook-2016</w:t>
      </w:r>
    </w:p>
    <w:p>
      <w:pPr>
        <w:rPr>
          <w:noProof/>
        </w:rPr>
      </w:pPr>
      <w:r>
        <w:rPr>
          <w:noProof/>
        </w:rPr>
        <w:t>***</w:t>
      </w:r>
      <w:r>
        <w:rPr>
          <w:noProof/>
        </w:rPr>
        <w:tab/>
        <w:t>2002 m. birželio 25 d. Europos Parlamento ir Tarybos direktyva 2002/49/EB dėl aplinkos triukšmo įvertinimo ir valdymo (OL L 189, 2002 7 18, p. 12).“;</w:t>
      </w:r>
    </w:p>
    <w:p>
      <w:pPr>
        <w:rPr>
          <w:noProof/>
        </w:rPr>
      </w:pPr>
    </w:p>
    <w:p>
      <w:pPr>
        <w:rPr>
          <w:noProof/>
        </w:rPr>
      </w:pPr>
      <w:r>
        <w:rPr>
          <w:noProof/>
        </w:rPr>
        <w:t>d)</w:t>
      </w:r>
      <w:r>
        <w:rPr>
          <w:noProof/>
        </w:rPr>
        <w:tab/>
        <w:t>IIIb priedas pakeičiamas taip:</w:t>
      </w:r>
    </w:p>
    <w:p>
      <w:pPr>
        <w:pStyle w:val="Annexetitreacte"/>
        <w:rPr>
          <w:noProof/>
        </w:rPr>
      </w:pPr>
      <w:r>
        <w:rPr>
          <w:noProof/>
        </w:rPr>
        <w:t>„IIIb PRIEDAS</w:t>
      </w:r>
    </w:p>
    <w:p>
      <w:pPr>
        <w:pStyle w:val="NormalCentered"/>
        <w:rPr>
          <w:b/>
          <w:bCs/>
          <w:noProof/>
        </w:rPr>
      </w:pPr>
      <w:r>
        <w:rPr>
          <w:b/>
          <w:noProof/>
        </w:rPr>
        <w:t xml:space="preserve"> IŠORINIŲ KAŠTŲ MOKESČIO PAMATINĖS VERTĖS</w:t>
      </w:r>
    </w:p>
    <w:p>
      <w:pPr>
        <w:rPr>
          <w:noProof/>
        </w:rPr>
      </w:pPr>
      <w:r>
        <w:rPr>
          <w:noProof/>
        </w:rPr>
        <w:t>Šiame priede nustatomos išorinių kaštų mokesčio, įskaitant oro taršos ir triukšmo kaštus, pamatinės vertės.</w:t>
      </w:r>
    </w:p>
    <w:p>
      <w:pPr>
        <w:spacing w:before="100" w:beforeAutospacing="1" w:after="100" w:afterAutospacing="1"/>
        <w:ind w:left="800" w:hanging="400"/>
        <w:rPr>
          <w:rFonts w:eastAsia="Arial Unicode MS"/>
          <w:noProof/>
        </w:rPr>
      </w:pPr>
      <w:r>
        <w:rPr>
          <w:i/>
          <w:noProof/>
        </w:rPr>
        <w:t>1 lentelė.</w:t>
      </w:r>
      <w:r>
        <w:rPr>
          <w:noProof/>
        </w:rPr>
        <w:t>  </w:t>
      </w:r>
      <w:r>
        <w:rPr>
          <w:i/>
          <w:noProof/>
        </w:rPr>
        <w:t>Dėl sunkiasvorių krovinių transporto priemonių patiriamų išorinių kaštų pamatinės vertės</w:t>
      </w:r>
    </w:p>
    <w:tbl>
      <w:tblPr>
        <w:tblW w:w="8740" w:type="dxa"/>
        <w:jc w:val="center"/>
        <w:tblCellSpacing w:w="0" w:type="dxa"/>
        <w:tblInd w:w="-278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61"/>
        <w:gridCol w:w="3091"/>
        <w:gridCol w:w="1677"/>
        <w:gridCol w:w="1611"/>
      </w:tblGrid>
      <w:tr>
        <w:trPr>
          <w:tblCellSpacing w:w="0" w:type="dxa"/>
          <w:jc w:val="center"/>
        </w:trPr>
        <w:tc>
          <w:tcPr>
            <w:tcW w:w="1366" w:type="pct"/>
            <w:tcBorders>
              <w:top w:val="outset" w:sz="6" w:space="0" w:color="auto"/>
              <w:left w:val="outset" w:sz="6" w:space="0" w:color="auto"/>
              <w:bottom w:val="outset" w:sz="6" w:space="0" w:color="auto"/>
              <w:right w:val="outset" w:sz="6" w:space="0" w:color="auto"/>
            </w:tcBorders>
          </w:tcPr>
          <w:p>
            <w:pPr>
              <w:spacing w:before="100" w:beforeAutospacing="1" w:after="100" w:afterAutospacing="1"/>
              <w:rPr>
                <w:b/>
                <w:bCs/>
                <w:noProof/>
              </w:rPr>
            </w:pPr>
            <w:r>
              <w:rPr>
                <w:b/>
                <w:noProof/>
              </w:rPr>
              <w:t>Transporto priemonių klasė</w:t>
            </w: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b/>
                <w:bCs/>
                <w:noProof/>
              </w:rPr>
            </w:pPr>
            <w:r>
              <w:rPr>
                <w:b/>
                <w:noProof/>
              </w:rPr>
              <w:t>Centų už transporto priemonės nuvažiuotus km</w:t>
            </w:r>
          </w:p>
        </w:tc>
        <w:tc>
          <w:tcPr>
            <w:tcW w:w="974"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b/>
                <w:bCs/>
                <w:noProof/>
              </w:rPr>
            </w:pPr>
            <w:r>
              <w:rPr>
                <w:b/>
                <w:noProof/>
              </w:rPr>
              <w:t>Priemiestiniai rajonai</w:t>
            </w:r>
            <w:r>
              <w:rPr>
                <w:b/>
                <w:noProof/>
                <w:vertAlign w:val="superscript"/>
              </w:rPr>
              <w:t>(1)</w:t>
            </w:r>
          </w:p>
        </w:tc>
        <w:tc>
          <w:tcPr>
            <w:tcW w:w="877"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b/>
                <w:bCs/>
                <w:noProof/>
              </w:rPr>
            </w:pPr>
            <w:r>
              <w:rPr>
                <w:b/>
                <w:noProof/>
              </w:rPr>
              <w:t>Tarpmiestiniai rajonai</w:t>
            </w:r>
            <w:r>
              <w:rPr>
                <w:b/>
                <w:noProof/>
                <w:vertAlign w:val="superscript"/>
              </w:rPr>
              <w:t>(2)</w:t>
            </w:r>
          </w:p>
        </w:tc>
      </w:tr>
      <w:tr>
        <w:trPr>
          <w:tblCellSpacing w:w="0" w:type="dxa"/>
          <w:jc w:val="center"/>
        </w:trPr>
        <w:tc>
          <w:tcPr>
            <w:tcW w:w="1366" w:type="pct"/>
            <w:vMerge w:val="restart"/>
            <w:tcBorders>
              <w:top w:val="outset" w:sz="6" w:space="0" w:color="auto"/>
              <w:left w:val="outset" w:sz="6" w:space="0" w:color="auto"/>
              <w:right w:val="outset" w:sz="6" w:space="0" w:color="auto"/>
            </w:tcBorders>
          </w:tcPr>
          <w:p>
            <w:pPr>
              <w:spacing w:before="100" w:beforeAutospacing="1" w:after="100" w:afterAutospacing="1"/>
              <w:rPr>
                <w:noProof/>
              </w:rPr>
            </w:pPr>
            <w:r>
              <w:rPr>
                <w:noProof/>
              </w:rPr>
              <w:t xml:space="preserve">Sunkiasvorių krovinių transporto priemonės, kurių didžiausias leidžiamas pakrautos transporto priemonės bendrasis svoris </w:t>
            </w:r>
          </w:p>
          <w:p>
            <w:pPr>
              <w:spacing w:before="100" w:beforeAutospacing="1" w:after="100" w:afterAutospacing="1"/>
              <w:rPr>
                <w:noProof/>
              </w:rPr>
            </w:pPr>
            <w:r>
              <w:rPr>
                <w:noProof/>
              </w:rPr>
              <w:t>yra mažesnis kaip 14 tonų</w:t>
            </w:r>
          </w:p>
          <w:p>
            <w:pPr>
              <w:spacing w:before="100" w:beforeAutospacing="1" w:after="100" w:afterAutospacing="1"/>
              <w:rPr>
                <w:noProof/>
              </w:rPr>
            </w:pPr>
            <w:r>
              <w:rPr>
                <w:noProof/>
              </w:rPr>
              <w:t>arba kurios turi dvi ašis</w:t>
            </w: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0</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13,3</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8,3</w:t>
            </w:r>
          </w:p>
        </w:tc>
      </w:tr>
      <w:tr>
        <w:trPr>
          <w:tblCellSpacing w:w="0" w:type="dxa"/>
          <w:jc w:val="center"/>
        </w:trPr>
        <w:tc>
          <w:tcPr>
            <w:tcW w:w="1366" w:type="pct"/>
            <w:vMerge/>
            <w:tcBorders>
              <w:left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9,1</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5,4</w:t>
            </w:r>
          </w:p>
        </w:tc>
      </w:tr>
      <w:tr>
        <w:trPr>
          <w:tblCellSpacing w:w="0" w:type="dxa"/>
          <w:jc w:val="center"/>
        </w:trPr>
        <w:tc>
          <w:tcPr>
            <w:tcW w:w="1366" w:type="pct"/>
            <w:vMerge/>
            <w:tcBorders>
              <w:left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8,8</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5,4</w:t>
            </w:r>
          </w:p>
        </w:tc>
      </w:tr>
      <w:tr>
        <w:trPr>
          <w:tblCellSpacing w:w="0" w:type="dxa"/>
          <w:jc w:val="center"/>
        </w:trPr>
        <w:tc>
          <w:tcPr>
            <w:tcW w:w="1366" w:type="pct"/>
            <w:vMerge/>
            <w:tcBorders>
              <w:left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7,7</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4,3</w:t>
            </w:r>
          </w:p>
        </w:tc>
      </w:tr>
      <w:tr>
        <w:trPr>
          <w:tblCellSpacing w:w="0" w:type="dxa"/>
          <w:jc w:val="center"/>
        </w:trPr>
        <w:tc>
          <w:tcPr>
            <w:tcW w:w="1366" w:type="pct"/>
            <w:vMerge/>
            <w:tcBorders>
              <w:left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IV</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5,9</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3,1</w:t>
            </w:r>
          </w:p>
        </w:tc>
      </w:tr>
      <w:tr>
        <w:trPr>
          <w:tblCellSpacing w:w="0" w:type="dxa"/>
          <w:jc w:val="center"/>
        </w:trPr>
        <w:tc>
          <w:tcPr>
            <w:tcW w:w="1366" w:type="pct"/>
            <w:vMerge/>
            <w:tcBorders>
              <w:left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5,7</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1,9</w:t>
            </w:r>
          </w:p>
        </w:tc>
      </w:tr>
      <w:tr>
        <w:trPr>
          <w:tblCellSpacing w:w="0" w:type="dxa"/>
          <w:jc w:val="center"/>
        </w:trPr>
        <w:tc>
          <w:tcPr>
            <w:tcW w:w="1366" w:type="pct"/>
            <w:vMerge/>
            <w:tcBorders>
              <w:left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3,2</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0,6</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Mažiau taršios nei EURO VI</w:t>
            </w:r>
          </w:p>
        </w:tc>
        <w:tc>
          <w:tcPr>
            <w:tcW w:w="974" w:type="pct"/>
            <w:tcBorders>
              <w:top w:val="outset" w:sz="6" w:space="0" w:color="auto"/>
              <w:left w:val="outset" w:sz="6" w:space="0" w:color="auto"/>
              <w:bottom w:val="outset" w:sz="6" w:space="0" w:color="auto"/>
              <w:right w:val="outset" w:sz="6" w:space="0" w:color="auto"/>
            </w:tcBorders>
            <w:shd w:val="clear" w:color="auto" w:fill="auto"/>
            <w:vAlign w:val="center"/>
            <w:hideMark/>
          </w:tcPr>
          <w:p>
            <w:pPr>
              <w:spacing w:before="100" w:beforeAutospacing="1" w:after="100" w:afterAutospacing="1"/>
              <w:contextualSpacing/>
              <w:jc w:val="center"/>
              <w:rPr>
                <w:noProof/>
              </w:rPr>
            </w:pPr>
            <w:r>
              <w:rPr>
                <w:noProof/>
              </w:rPr>
              <w:t>2,5</w:t>
            </w:r>
          </w:p>
        </w:tc>
        <w:tc>
          <w:tcPr>
            <w:tcW w:w="877" w:type="pct"/>
            <w:tcBorders>
              <w:top w:val="outset" w:sz="6" w:space="0" w:color="auto"/>
              <w:left w:val="outset" w:sz="6" w:space="0" w:color="auto"/>
              <w:bottom w:val="outset" w:sz="6" w:space="0" w:color="auto"/>
              <w:right w:val="outset" w:sz="6" w:space="0" w:color="auto"/>
            </w:tcBorders>
            <w:shd w:val="clear" w:color="auto" w:fill="auto"/>
            <w:vAlign w:val="center"/>
            <w:hideMark/>
          </w:tcPr>
          <w:p>
            <w:pPr>
              <w:spacing w:before="100" w:beforeAutospacing="1" w:after="100" w:afterAutospacing="1"/>
              <w:contextualSpacing/>
              <w:jc w:val="center"/>
              <w:rPr>
                <w:noProof/>
              </w:rPr>
            </w:pPr>
            <w:r>
              <w:rPr>
                <w:noProof/>
              </w:rPr>
              <w:t>0,3</w:t>
            </w:r>
          </w:p>
        </w:tc>
      </w:tr>
      <w:tr>
        <w:trPr>
          <w:tblCellSpacing w:w="0" w:type="dxa"/>
          <w:jc w:val="center"/>
        </w:trPr>
        <w:tc>
          <w:tcPr>
            <w:tcW w:w="1366" w:type="pct"/>
            <w:vMerge w:val="restart"/>
            <w:tcBorders>
              <w:left w:val="outset" w:sz="6" w:space="0" w:color="auto"/>
              <w:bottom w:val="outset" w:sz="6" w:space="0" w:color="auto"/>
              <w:right w:val="outset" w:sz="6" w:space="0" w:color="auto"/>
            </w:tcBorders>
          </w:tcPr>
          <w:p>
            <w:pPr>
              <w:spacing w:before="100" w:beforeAutospacing="1" w:after="100" w:afterAutospacing="1"/>
              <w:rPr>
                <w:noProof/>
              </w:rPr>
            </w:pPr>
            <w:r>
              <w:rPr>
                <w:noProof/>
              </w:rPr>
              <w:t xml:space="preserve">Sunkiasvorių krovinių transporto priemonės, kurių didžiausias leidžiamas pakrautos transporto priemonės bendrasis svoris </w:t>
            </w:r>
          </w:p>
          <w:p>
            <w:pPr>
              <w:spacing w:before="100" w:beforeAutospacing="1" w:after="100" w:afterAutospacing="1"/>
              <w:rPr>
                <w:noProof/>
              </w:rPr>
            </w:pPr>
            <w:r>
              <w:rPr>
                <w:noProof/>
              </w:rPr>
              <w:t xml:space="preserve">yra 14–28 tonos </w:t>
            </w:r>
          </w:p>
          <w:p>
            <w:pPr>
              <w:spacing w:before="100" w:beforeAutospacing="1" w:after="100" w:afterAutospacing="1"/>
              <w:rPr>
                <w:noProof/>
              </w:rPr>
            </w:pPr>
            <w:r>
              <w:rPr>
                <w:noProof/>
              </w:rPr>
              <w:t>arba kurios turi tris ašis</w:t>
            </w: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0</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23,3</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15,1</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16,4</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10,1</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15,7</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10,0</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13,5</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8,2</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IV</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9,5</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5,7</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8,9</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3,7</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3,6</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0,8</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Mažiau taršios nei EURO VI</w:t>
            </w:r>
          </w:p>
        </w:tc>
        <w:tc>
          <w:tcPr>
            <w:tcW w:w="974"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2,5</w:t>
            </w:r>
          </w:p>
        </w:tc>
        <w:tc>
          <w:tcPr>
            <w:tcW w:w="877"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0,3</w:t>
            </w:r>
          </w:p>
        </w:tc>
      </w:tr>
      <w:tr>
        <w:trPr>
          <w:tblCellSpacing w:w="0" w:type="dxa"/>
          <w:jc w:val="center"/>
        </w:trPr>
        <w:tc>
          <w:tcPr>
            <w:tcW w:w="1366" w:type="pct"/>
            <w:vMerge w:val="restart"/>
            <w:tcBorders>
              <w:left w:val="outset" w:sz="6" w:space="0" w:color="auto"/>
              <w:bottom w:val="outset" w:sz="6" w:space="0" w:color="auto"/>
              <w:right w:val="outset" w:sz="6" w:space="0" w:color="auto"/>
            </w:tcBorders>
          </w:tcPr>
          <w:p>
            <w:pPr>
              <w:spacing w:before="100" w:beforeAutospacing="1" w:after="100" w:afterAutospacing="1"/>
              <w:rPr>
                <w:noProof/>
              </w:rPr>
            </w:pPr>
            <w:r>
              <w:rPr>
                <w:noProof/>
              </w:rPr>
              <w:t xml:space="preserve">Sunkiasvorių krovinių transporto priemonės, kurių didžiausias leidžiamas pakrautos transporto priemonės bendrasis svoris </w:t>
            </w:r>
          </w:p>
          <w:p>
            <w:pPr>
              <w:spacing w:before="100" w:beforeAutospacing="1" w:after="100" w:afterAutospacing="1"/>
              <w:rPr>
                <w:noProof/>
              </w:rPr>
            </w:pPr>
            <w:r>
              <w:rPr>
                <w:noProof/>
              </w:rPr>
              <w:t xml:space="preserve">yra 28–40 tonų </w:t>
            </w:r>
          </w:p>
          <w:p>
            <w:pPr>
              <w:spacing w:before="100" w:beforeAutospacing="1" w:after="100" w:afterAutospacing="1"/>
              <w:rPr>
                <w:noProof/>
              </w:rPr>
            </w:pPr>
            <w:r>
              <w:rPr>
                <w:noProof/>
              </w:rPr>
              <w:t>arba kurios turi keturias ašis</w:t>
            </w: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0</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30,4</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19,7</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22,6</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13,9</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21,3</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13,9</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17,8</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11,2</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IV</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12,2</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7,7</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9,2</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4,0</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3,5</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0,8</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Mažiau taršios nei EURO VI</w:t>
            </w:r>
          </w:p>
        </w:tc>
        <w:tc>
          <w:tcPr>
            <w:tcW w:w="974"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2,5</w:t>
            </w:r>
          </w:p>
        </w:tc>
        <w:tc>
          <w:tcPr>
            <w:tcW w:w="877"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0,3</w:t>
            </w:r>
          </w:p>
        </w:tc>
      </w:tr>
      <w:tr>
        <w:trPr>
          <w:tblCellSpacing w:w="0" w:type="dxa"/>
          <w:jc w:val="center"/>
        </w:trPr>
        <w:tc>
          <w:tcPr>
            <w:tcW w:w="1366" w:type="pct"/>
            <w:vMerge w:val="restart"/>
            <w:tcBorders>
              <w:left w:val="outset" w:sz="6" w:space="0" w:color="auto"/>
              <w:bottom w:val="outset" w:sz="6" w:space="0" w:color="auto"/>
              <w:right w:val="outset" w:sz="6" w:space="0" w:color="auto"/>
            </w:tcBorders>
          </w:tcPr>
          <w:p>
            <w:pPr>
              <w:spacing w:before="100" w:beforeAutospacing="1" w:after="100" w:afterAutospacing="1"/>
              <w:rPr>
                <w:noProof/>
              </w:rPr>
            </w:pPr>
            <w:r>
              <w:rPr>
                <w:noProof/>
              </w:rPr>
              <w:t xml:space="preserve">Sunkiasvorių krovinių transporto priemonės, kurių didžiausias leidžiamas pakrautos transporto priemonės bendrasis svoris </w:t>
            </w:r>
          </w:p>
          <w:p>
            <w:pPr>
              <w:spacing w:before="100" w:beforeAutospacing="1" w:after="100" w:afterAutospacing="1"/>
              <w:rPr>
                <w:noProof/>
              </w:rPr>
            </w:pPr>
            <w:r>
              <w:rPr>
                <w:noProof/>
              </w:rPr>
              <w:t xml:space="preserve">yra didesnis kaip 40 tonų </w:t>
            </w:r>
          </w:p>
          <w:p>
            <w:pPr>
              <w:spacing w:before="100" w:beforeAutospacing="1" w:after="100" w:afterAutospacing="1"/>
              <w:rPr>
                <w:noProof/>
              </w:rPr>
            </w:pPr>
            <w:r>
              <w:rPr>
                <w:noProof/>
              </w:rPr>
              <w:t>arba kurios turi penkias ar daugiau ašių</w:t>
            </w: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0</w:t>
            </w:r>
          </w:p>
        </w:tc>
        <w:tc>
          <w:tcPr>
            <w:tcW w:w="974"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43,0</w:t>
            </w:r>
          </w:p>
        </w:tc>
        <w:tc>
          <w:tcPr>
            <w:tcW w:w="877"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28,6</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w:t>
            </w:r>
          </w:p>
        </w:tc>
        <w:tc>
          <w:tcPr>
            <w:tcW w:w="974"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31,5</w:t>
            </w:r>
          </w:p>
        </w:tc>
        <w:tc>
          <w:tcPr>
            <w:tcW w:w="877"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19,8</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w:t>
            </w:r>
          </w:p>
        </w:tc>
        <w:tc>
          <w:tcPr>
            <w:tcW w:w="974"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29,2</w:t>
            </w:r>
          </w:p>
        </w:tc>
        <w:tc>
          <w:tcPr>
            <w:tcW w:w="877"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19,4</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III</w:t>
            </w:r>
          </w:p>
        </w:tc>
        <w:tc>
          <w:tcPr>
            <w:tcW w:w="974"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24,0</w:t>
            </w:r>
          </w:p>
        </w:tc>
        <w:tc>
          <w:tcPr>
            <w:tcW w:w="877"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15,6</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IV</w:t>
            </w:r>
          </w:p>
        </w:tc>
        <w:tc>
          <w:tcPr>
            <w:tcW w:w="974"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16,2</w:t>
            </w:r>
          </w:p>
        </w:tc>
        <w:tc>
          <w:tcPr>
            <w:tcW w:w="877"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10,6</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w:t>
            </w:r>
          </w:p>
        </w:tc>
        <w:tc>
          <w:tcPr>
            <w:tcW w:w="974"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9,8</w:t>
            </w:r>
          </w:p>
        </w:tc>
        <w:tc>
          <w:tcPr>
            <w:tcW w:w="877"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4,7</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3,6</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contextualSpacing/>
              <w:rPr>
                <w:noProof/>
              </w:rPr>
            </w:pPr>
            <w:r>
              <w:rPr>
                <w:noProof/>
              </w:rPr>
              <w:t>Mažiau taršios nei EURO VI</w:t>
            </w:r>
          </w:p>
        </w:tc>
        <w:tc>
          <w:tcPr>
            <w:tcW w:w="974"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2,5</w:t>
            </w:r>
          </w:p>
        </w:tc>
        <w:tc>
          <w:tcPr>
            <w:tcW w:w="877"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0,3</w:t>
            </w:r>
          </w:p>
        </w:tc>
      </w:tr>
    </w:tbl>
    <w:p>
      <w:pPr>
        <w:rPr>
          <w:rFonts w:eastAsia="Arial Unicode MS"/>
          <w:noProof/>
        </w:rPr>
      </w:pPr>
      <w:r>
        <w:rPr>
          <w:noProof/>
          <w:vertAlign w:val="superscript"/>
        </w:rPr>
        <w:t xml:space="preserve">(1) </w:t>
      </w:r>
      <w:r>
        <w:rPr>
          <w:noProof/>
        </w:rPr>
        <w:t>Priemiestiniai rajonai – rajonai, kuriuose gyventojų tankumas yra 150–900 gyventojų/km</w:t>
      </w:r>
      <w:r>
        <w:rPr>
          <w:noProof/>
          <w:vertAlign w:val="superscript"/>
        </w:rPr>
        <w:t>2</w:t>
      </w:r>
      <w:r>
        <w:rPr>
          <w:noProof/>
        </w:rPr>
        <w:t xml:space="preserve"> (vidutinis gyventojų tankis – 300 gyventojų/km</w:t>
      </w:r>
      <w:r>
        <w:rPr>
          <w:noProof/>
          <w:vertAlign w:val="superscript"/>
        </w:rPr>
        <w:t>2</w:t>
      </w:r>
      <w:r>
        <w:rPr>
          <w:noProof/>
        </w:rPr>
        <w:t>).</w:t>
      </w:r>
    </w:p>
    <w:p>
      <w:pPr>
        <w:rPr>
          <w:rFonts w:eastAsia="Arial Unicode MS"/>
          <w:noProof/>
          <w:szCs w:val="24"/>
        </w:rPr>
      </w:pPr>
      <w:r>
        <w:rPr>
          <w:noProof/>
          <w:vertAlign w:val="superscript"/>
        </w:rPr>
        <w:t>(2)</w:t>
      </w:r>
      <w:r>
        <w:rPr>
          <w:noProof/>
        </w:rPr>
        <w:tab/>
        <w:t>Tarpmiestiniai rajonai – rajonai, kuriuose gyventojų tankis mažesnis nei 150 gyventojų/km</w:t>
      </w:r>
      <w:r>
        <w:rPr>
          <w:noProof/>
          <w:vertAlign w:val="superscript"/>
        </w:rPr>
        <w:t>2</w:t>
      </w:r>
      <w:r>
        <w:rPr>
          <w:noProof/>
        </w:rPr>
        <w:t>.</w:t>
      </w:r>
    </w:p>
    <w:p>
      <w:pPr>
        <w:spacing w:before="100" w:beforeAutospacing="1" w:after="100" w:afterAutospacing="1"/>
        <w:ind w:left="800" w:hanging="400"/>
        <w:rPr>
          <w:rFonts w:eastAsia="Arial Unicode MS"/>
          <w:i/>
          <w:iCs/>
          <w:noProof/>
        </w:rPr>
      </w:pPr>
      <w:r>
        <w:rPr>
          <w:i/>
          <w:noProof/>
        </w:rPr>
        <w:t>2 lentelė. Dėl tolimojo susisiekimo autobusų patiriamų išorinių kaštų pamatinės vertės</w:t>
      </w:r>
    </w:p>
    <w:tbl>
      <w:tblPr>
        <w:tblW w:w="8710" w:type="dxa"/>
        <w:jc w:val="center"/>
        <w:tblCellSpacing w:w="0" w:type="dxa"/>
        <w:tblInd w:w="-300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42"/>
        <w:gridCol w:w="3078"/>
        <w:gridCol w:w="1679"/>
        <w:gridCol w:w="1611"/>
      </w:tblGrid>
      <w:tr>
        <w:trPr>
          <w:tblCellSpacing w:w="0" w:type="dxa"/>
          <w:jc w:val="center"/>
        </w:trPr>
        <w:tc>
          <w:tcPr>
            <w:tcW w:w="1362" w:type="pct"/>
            <w:tcBorders>
              <w:top w:val="outset" w:sz="6" w:space="0" w:color="auto"/>
              <w:left w:val="outset" w:sz="6" w:space="0" w:color="auto"/>
              <w:bottom w:val="outset" w:sz="6" w:space="0" w:color="auto"/>
              <w:right w:val="outset" w:sz="6" w:space="0" w:color="auto"/>
            </w:tcBorders>
          </w:tcPr>
          <w:p>
            <w:pPr>
              <w:spacing w:before="100" w:beforeAutospacing="1" w:after="100" w:afterAutospacing="1"/>
              <w:rPr>
                <w:b/>
                <w:bCs/>
                <w:noProof/>
              </w:rPr>
            </w:pPr>
            <w:r>
              <w:rPr>
                <w:b/>
                <w:noProof/>
              </w:rPr>
              <w:t>Transporto priemonių klasė</w:t>
            </w: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b/>
                <w:bCs/>
                <w:noProof/>
              </w:rPr>
            </w:pPr>
            <w:r>
              <w:rPr>
                <w:b/>
                <w:noProof/>
              </w:rPr>
              <w:t>Centų už transporto priemonės nuvažiuotus km</w:t>
            </w:r>
          </w:p>
        </w:tc>
        <w:tc>
          <w:tcPr>
            <w:tcW w:w="981"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b/>
                <w:bCs/>
                <w:noProof/>
              </w:rPr>
            </w:pPr>
            <w:r>
              <w:rPr>
                <w:b/>
                <w:noProof/>
              </w:rPr>
              <w:t>Priemiestiniai rajonai</w:t>
            </w:r>
            <w:r>
              <w:rPr>
                <w:b/>
                <w:noProof/>
                <w:vertAlign w:val="superscript"/>
              </w:rPr>
              <w:t>(1)</w:t>
            </w:r>
          </w:p>
        </w:tc>
        <w:tc>
          <w:tcPr>
            <w:tcW w:w="872"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b/>
                <w:bCs/>
                <w:noProof/>
              </w:rPr>
            </w:pPr>
            <w:r>
              <w:rPr>
                <w:b/>
                <w:noProof/>
              </w:rPr>
              <w:t>Tarpmiestiniai rajonai</w:t>
            </w:r>
            <w:r>
              <w:rPr>
                <w:b/>
                <w:noProof/>
                <w:vertAlign w:val="superscript"/>
              </w:rPr>
              <w:t>(2)</w:t>
            </w:r>
          </w:p>
        </w:tc>
      </w:tr>
      <w:tr>
        <w:trPr>
          <w:tblCellSpacing w:w="0" w:type="dxa"/>
          <w:jc w:val="center"/>
        </w:trPr>
        <w:tc>
          <w:tcPr>
            <w:tcW w:w="1362" w:type="pct"/>
            <w:vMerge w:val="restart"/>
            <w:tcBorders>
              <w:top w:val="outset" w:sz="6" w:space="0" w:color="auto"/>
              <w:left w:val="outset" w:sz="6" w:space="0" w:color="auto"/>
              <w:right w:val="outset" w:sz="6" w:space="0" w:color="auto"/>
            </w:tcBorders>
          </w:tcPr>
          <w:p>
            <w:pPr>
              <w:spacing w:before="100" w:beforeAutospacing="1" w:after="100" w:afterAutospacing="1"/>
              <w:rPr>
                <w:noProof/>
              </w:rPr>
            </w:pPr>
            <w:r>
              <w:rPr>
                <w:noProof/>
              </w:rPr>
              <w:t>Tolimojo susisiekimo autobusai, kurių didžiausias leidžiamas pakrautos transporto priemonės bendrasis svoris yra 18 tonų</w:t>
            </w:r>
          </w:p>
          <w:p>
            <w:pPr>
              <w:spacing w:before="100" w:beforeAutospacing="1" w:after="100" w:afterAutospacing="1"/>
              <w:rPr>
                <w:noProof/>
              </w:rPr>
            </w:pPr>
            <w:r>
              <w:rPr>
                <w:noProof/>
              </w:rPr>
              <w:t>arba kurie turi dvi ašis</w:t>
            </w: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0</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20,3</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13,1</w:t>
            </w:r>
          </w:p>
        </w:tc>
      </w:tr>
      <w:tr>
        <w:trPr>
          <w:tblCellSpacing w:w="0" w:type="dxa"/>
          <w:jc w:val="center"/>
        </w:trPr>
        <w:tc>
          <w:tcPr>
            <w:tcW w:w="1362" w:type="pct"/>
            <w:vMerge/>
            <w:tcBorders>
              <w:left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16,0</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10,4</w:t>
            </w:r>
          </w:p>
        </w:tc>
      </w:tr>
      <w:tr>
        <w:trPr>
          <w:tblCellSpacing w:w="0" w:type="dxa"/>
          <w:jc w:val="center"/>
        </w:trPr>
        <w:tc>
          <w:tcPr>
            <w:tcW w:w="1362" w:type="pct"/>
            <w:vMerge/>
            <w:tcBorders>
              <w:left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15,6</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9,9</w:t>
            </w:r>
          </w:p>
        </w:tc>
      </w:tr>
      <w:tr>
        <w:trPr>
          <w:tblCellSpacing w:w="0" w:type="dxa"/>
          <w:jc w:val="center"/>
        </w:trPr>
        <w:tc>
          <w:tcPr>
            <w:tcW w:w="1362" w:type="pct"/>
            <w:vMerge/>
            <w:tcBorders>
              <w:left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13,9</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8,5</w:t>
            </w:r>
          </w:p>
        </w:tc>
      </w:tr>
      <w:tr>
        <w:trPr>
          <w:tblCellSpacing w:w="0" w:type="dxa"/>
          <w:jc w:val="center"/>
        </w:trPr>
        <w:tc>
          <w:tcPr>
            <w:tcW w:w="1362" w:type="pct"/>
            <w:vMerge/>
            <w:tcBorders>
              <w:left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IV</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10,0</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5,7</w:t>
            </w:r>
          </w:p>
        </w:tc>
      </w:tr>
      <w:tr>
        <w:trPr>
          <w:tblCellSpacing w:w="0" w:type="dxa"/>
          <w:jc w:val="center"/>
        </w:trPr>
        <w:tc>
          <w:tcPr>
            <w:tcW w:w="1362" w:type="pct"/>
            <w:vMerge/>
            <w:tcBorders>
              <w:left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9,0</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5,0</w:t>
            </w:r>
          </w:p>
        </w:tc>
      </w:tr>
      <w:tr>
        <w:trPr>
          <w:tblCellSpacing w:w="0" w:type="dxa"/>
          <w:jc w:val="center"/>
        </w:trPr>
        <w:tc>
          <w:tcPr>
            <w:tcW w:w="1362" w:type="pct"/>
            <w:vMerge/>
            <w:tcBorders>
              <w:left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2,8</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0,8</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Mažiau taršūs nei EURO VI</w:t>
            </w:r>
          </w:p>
        </w:tc>
        <w:tc>
          <w:tcPr>
            <w:tcW w:w="981"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1,4</w:t>
            </w:r>
          </w:p>
        </w:tc>
        <w:tc>
          <w:tcPr>
            <w:tcW w:w="872"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0,2</w:t>
            </w:r>
          </w:p>
        </w:tc>
      </w:tr>
      <w:tr>
        <w:trPr>
          <w:tblCellSpacing w:w="0" w:type="dxa"/>
          <w:jc w:val="center"/>
        </w:trPr>
        <w:tc>
          <w:tcPr>
            <w:tcW w:w="1362" w:type="pct"/>
            <w:vMerge w:val="restart"/>
            <w:tcBorders>
              <w:left w:val="outset" w:sz="6" w:space="0" w:color="auto"/>
              <w:bottom w:val="outset" w:sz="6" w:space="0" w:color="auto"/>
              <w:right w:val="outset" w:sz="6" w:space="0" w:color="auto"/>
            </w:tcBorders>
          </w:tcPr>
          <w:p>
            <w:pPr>
              <w:spacing w:before="100" w:beforeAutospacing="1" w:after="100" w:afterAutospacing="1"/>
              <w:rPr>
                <w:noProof/>
              </w:rPr>
            </w:pPr>
            <w:r>
              <w:rPr>
                <w:noProof/>
              </w:rPr>
              <w:t>Tolimojo susisiekimo autobusai, kurių didžiausias leidžiamas pakrautos transporto priemonės bendrasis svoris yra didesnis nei 18 tonų</w:t>
            </w:r>
          </w:p>
          <w:p>
            <w:pPr>
              <w:spacing w:before="100" w:beforeAutospacing="1" w:after="100" w:afterAutospacing="1"/>
              <w:rPr>
                <w:noProof/>
              </w:rPr>
            </w:pPr>
            <w:r>
              <w:rPr>
                <w:noProof/>
              </w:rPr>
              <w:t>arba kurie turi tris ar daugiau ašių</w:t>
            </w: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0</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24,9</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16,2</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19,2</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12,3</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18,5</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12,0</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15,7</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9,8</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IV</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10,6</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6,6</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10,2</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5,2</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2,8</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0,8</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Mažiau taršūs nei EURO VI</w:t>
            </w:r>
          </w:p>
        </w:tc>
        <w:tc>
          <w:tcPr>
            <w:tcW w:w="981"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1,4</w:t>
            </w:r>
          </w:p>
        </w:tc>
        <w:tc>
          <w:tcPr>
            <w:tcW w:w="872"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0,2</w:t>
            </w:r>
          </w:p>
        </w:tc>
      </w:tr>
    </w:tbl>
    <w:p>
      <w:pPr>
        <w:rPr>
          <w:rFonts w:eastAsia="Arial Unicode MS"/>
          <w:noProof/>
        </w:rPr>
      </w:pPr>
      <w:r>
        <w:rPr>
          <w:noProof/>
          <w:vertAlign w:val="superscript"/>
        </w:rPr>
        <w:t xml:space="preserve">(1) </w:t>
      </w:r>
      <w:r>
        <w:rPr>
          <w:noProof/>
        </w:rPr>
        <w:t>Priemiestiniai rajonai – rajonai, kuriuose gyventojų tankis yra 150–900 gyventojų/km</w:t>
      </w:r>
      <w:r>
        <w:rPr>
          <w:noProof/>
          <w:vertAlign w:val="superscript"/>
        </w:rPr>
        <w:t>2</w:t>
      </w:r>
      <w:r>
        <w:rPr>
          <w:noProof/>
        </w:rPr>
        <w:t xml:space="preserve"> (vidutinis gyventojų tankis – 300 gyventojų/km</w:t>
      </w:r>
      <w:r>
        <w:rPr>
          <w:noProof/>
          <w:vertAlign w:val="superscript"/>
        </w:rPr>
        <w:t>2</w:t>
      </w:r>
      <w:r>
        <w:rPr>
          <w:noProof/>
        </w:rPr>
        <w:t>).</w:t>
      </w:r>
    </w:p>
    <w:p>
      <w:pPr>
        <w:rPr>
          <w:noProof/>
        </w:rPr>
      </w:pPr>
      <w:r>
        <w:rPr>
          <w:noProof/>
          <w:vertAlign w:val="superscript"/>
        </w:rPr>
        <w:t xml:space="preserve">(2) </w:t>
      </w:r>
      <w:r>
        <w:rPr>
          <w:noProof/>
        </w:rPr>
        <w:t>Tarpmiestiniai rajonai – rajonai, kuriuose gyventojų tankis mažesnis nei 150 gyventojų/km</w:t>
      </w:r>
      <w:r>
        <w:rPr>
          <w:noProof/>
          <w:vertAlign w:val="superscript"/>
        </w:rPr>
        <w:t>2</w:t>
      </w:r>
      <w:r>
        <w:rPr>
          <w:noProof/>
        </w:rPr>
        <w:t>.</w:t>
      </w:r>
    </w:p>
    <w:p>
      <w:pPr>
        <w:rPr>
          <w:noProof/>
        </w:rPr>
      </w:pPr>
    </w:p>
    <w:p>
      <w:pPr>
        <w:rPr>
          <w:noProof/>
        </w:rPr>
      </w:pPr>
      <w:r>
        <w:rPr>
          <w:noProof/>
        </w:rPr>
        <w:t>Kalnuotose vietovėse ir aplink aglomeracijas 1 ir 2 lentelėse pateiktas vertes galima dauginti iš koeficiento, kuris yra mažesnis arba lygus 2, jeigu tai pateisinama mažesne sklaida, kelių nuolydžiu, aukščiu virš jūros lygio arba temperatūros inversija.“;</w:t>
      </w:r>
    </w:p>
    <w:p>
      <w:pPr>
        <w:rPr>
          <w:noProof/>
        </w:rPr>
      </w:pPr>
    </w:p>
    <w:p>
      <w:pPr>
        <w:rPr>
          <w:noProof/>
        </w:rPr>
      </w:pPr>
      <w:r>
        <w:rPr>
          <w:noProof/>
        </w:rPr>
        <w:t>e)</w:t>
      </w:r>
      <w:r>
        <w:rPr>
          <w:noProof/>
        </w:rPr>
        <w:tab/>
        <w:t>IV priedo lentelė pavadinimu „Transporto priemonių junginiai (sujungtos transporto priemonės ir autotraukiniai)“ pakeičiama taip:</w:t>
      </w:r>
    </w:p>
    <w:p>
      <w:pPr>
        <w:pStyle w:val="ManualHeading1"/>
        <w:ind w:left="851" w:hanging="851"/>
        <w:rPr>
          <w:noProof/>
        </w:rPr>
      </w:pPr>
      <w:r>
        <w:rPr>
          <w:noProof/>
        </w:rPr>
        <w:t>„Transporto priemonių junginiai (sujungtosios transporto priemonės ir autotraukiniai)</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2"/>
        <w:gridCol w:w="48"/>
        <w:gridCol w:w="1929"/>
        <w:gridCol w:w="13"/>
        <w:gridCol w:w="21"/>
        <w:gridCol w:w="1802"/>
        <w:gridCol w:w="27"/>
        <w:gridCol w:w="1943"/>
        <w:gridCol w:w="6"/>
        <w:gridCol w:w="1659"/>
        <w:gridCol w:w="36"/>
      </w:tblGrid>
      <w:tr>
        <w:trPr>
          <w:gridAfter w:val="1"/>
          <w:wAfter w:w="36" w:type="dxa"/>
        </w:trPr>
        <w:tc>
          <w:tcPr>
            <w:tcW w:w="3807" w:type="dxa"/>
            <w:gridSpan w:val="4"/>
          </w:tcPr>
          <w:p>
            <w:pPr>
              <w:jc w:val="center"/>
              <w:rPr>
                <w:noProof/>
              </w:rPr>
            </w:pPr>
            <w:r>
              <w:rPr>
                <w:noProof/>
              </w:rPr>
              <w:t>Varomosios ašys su pneumatine pakaba arba lygiaverte pripažįstama pakaba</w:t>
            </w:r>
          </w:p>
        </w:tc>
        <w:tc>
          <w:tcPr>
            <w:tcW w:w="3808" w:type="dxa"/>
            <w:gridSpan w:val="4"/>
          </w:tcPr>
          <w:p>
            <w:pPr>
              <w:jc w:val="center"/>
              <w:rPr>
                <w:noProof/>
              </w:rPr>
            </w:pPr>
            <w:r>
              <w:rPr>
                <w:noProof/>
              </w:rPr>
              <w:t>Kitos varomosios ašies pakabos sistemos</w:t>
            </w:r>
          </w:p>
        </w:tc>
        <w:tc>
          <w:tcPr>
            <w:tcW w:w="1671" w:type="dxa"/>
            <w:gridSpan w:val="2"/>
          </w:tcPr>
          <w:p>
            <w:pPr>
              <w:jc w:val="center"/>
              <w:rPr>
                <w:noProof/>
              </w:rPr>
            </w:pPr>
            <w:r>
              <w:rPr>
                <w:noProof/>
              </w:rPr>
              <w:t>Žalos klasė</w:t>
            </w:r>
          </w:p>
        </w:tc>
      </w:tr>
      <w:tr>
        <w:trPr>
          <w:gridAfter w:val="1"/>
          <w:wAfter w:w="36" w:type="dxa"/>
        </w:trPr>
        <w:tc>
          <w:tcPr>
            <w:tcW w:w="3807" w:type="dxa"/>
            <w:gridSpan w:val="4"/>
          </w:tcPr>
          <w:p>
            <w:pPr>
              <w:jc w:val="center"/>
              <w:rPr>
                <w:noProof/>
              </w:rPr>
            </w:pPr>
            <w:r>
              <w:rPr>
                <w:noProof/>
              </w:rPr>
              <w:t>Ašių skaičius ir didžiausias leidžiamas pakrautos transporto priemonės bendrasis svoris (tonomis)</w:t>
            </w:r>
          </w:p>
        </w:tc>
        <w:tc>
          <w:tcPr>
            <w:tcW w:w="3808" w:type="dxa"/>
            <w:gridSpan w:val="4"/>
          </w:tcPr>
          <w:p>
            <w:pPr>
              <w:jc w:val="center"/>
              <w:rPr>
                <w:noProof/>
              </w:rPr>
            </w:pPr>
            <w:r>
              <w:rPr>
                <w:noProof/>
              </w:rPr>
              <w:t>Ašių skaičius ir didžiausias leidžiamas pakrautos transporto priemonės bendrasis svoris (tonomis)</w:t>
            </w:r>
          </w:p>
        </w:tc>
        <w:tc>
          <w:tcPr>
            <w:tcW w:w="1671" w:type="dxa"/>
            <w:gridSpan w:val="2"/>
          </w:tcPr>
          <w:p>
            <w:pPr>
              <w:jc w:val="center"/>
              <w:rPr>
                <w:noProof/>
              </w:rPr>
            </w:pPr>
          </w:p>
        </w:tc>
      </w:tr>
      <w:tr>
        <w:trPr>
          <w:gridAfter w:val="1"/>
          <w:wAfter w:w="36" w:type="dxa"/>
        </w:trPr>
        <w:tc>
          <w:tcPr>
            <w:tcW w:w="1857" w:type="dxa"/>
            <w:gridSpan w:val="2"/>
          </w:tcPr>
          <w:p>
            <w:pPr>
              <w:jc w:val="center"/>
              <w:rPr>
                <w:noProof/>
              </w:rPr>
            </w:pPr>
            <w:r>
              <w:rPr>
                <w:noProof/>
              </w:rPr>
              <w:t>Ne mažiau kaip</w:t>
            </w:r>
          </w:p>
        </w:tc>
        <w:tc>
          <w:tcPr>
            <w:tcW w:w="1950" w:type="dxa"/>
            <w:gridSpan w:val="2"/>
          </w:tcPr>
          <w:p>
            <w:pPr>
              <w:jc w:val="center"/>
              <w:rPr>
                <w:noProof/>
              </w:rPr>
            </w:pPr>
            <w:r>
              <w:rPr>
                <w:noProof/>
              </w:rPr>
              <w:t>Mažiau kaip</w:t>
            </w:r>
          </w:p>
        </w:tc>
        <w:tc>
          <w:tcPr>
            <w:tcW w:w="1857" w:type="dxa"/>
            <w:gridSpan w:val="3"/>
          </w:tcPr>
          <w:p>
            <w:pPr>
              <w:jc w:val="center"/>
              <w:rPr>
                <w:noProof/>
              </w:rPr>
            </w:pPr>
            <w:r>
              <w:rPr>
                <w:noProof/>
              </w:rPr>
              <w:t>Ne mažiau kaip</w:t>
            </w:r>
          </w:p>
        </w:tc>
        <w:tc>
          <w:tcPr>
            <w:tcW w:w="1951" w:type="dxa"/>
          </w:tcPr>
          <w:p>
            <w:pPr>
              <w:jc w:val="center"/>
              <w:rPr>
                <w:noProof/>
              </w:rPr>
            </w:pPr>
            <w:r>
              <w:rPr>
                <w:noProof/>
              </w:rPr>
              <w:t>Mažiau kaip</w:t>
            </w:r>
          </w:p>
        </w:tc>
        <w:tc>
          <w:tcPr>
            <w:tcW w:w="1671" w:type="dxa"/>
            <w:gridSpan w:val="2"/>
          </w:tcPr>
          <w:p>
            <w:pPr>
              <w:jc w:val="center"/>
              <w:rPr>
                <w:noProof/>
              </w:rPr>
            </w:pPr>
          </w:p>
        </w:tc>
      </w:tr>
      <w:tr>
        <w:trPr>
          <w:gridAfter w:val="1"/>
          <w:wAfter w:w="36" w:type="dxa"/>
        </w:trPr>
        <w:tc>
          <w:tcPr>
            <w:tcW w:w="7615" w:type="dxa"/>
            <w:gridSpan w:val="8"/>
          </w:tcPr>
          <w:p>
            <w:pPr>
              <w:jc w:val="left"/>
              <w:rPr>
                <w:noProof/>
              </w:rPr>
            </w:pPr>
            <w:r>
              <w:rPr>
                <w:i/>
                <w:noProof/>
              </w:rPr>
              <w:t>2 + 1 ašys</w:t>
            </w:r>
          </w:p>
        </w:tc>
        <w:tc>
          <w:tcPr>
            <w:tcW w:w="1671" w:type="dxa"/>
            <w:gridSpan w:val="2"/>
          </w:tcPr>
          <w:p>
            <w:pPr>
              <w:jc w:val="left"/>
              <w:rPr>
                <w:noProof/>
              </w:rPr>
            </w:pPr>
          </w:p>
        </w:tc>
      </w:tr>
      <w:tr>
        <w:trPr>
          <w:gridAfter w:val="1"/>
          <w:wAfter w:w="36" w:type="dxa"/>
        </w:trPr>
        <w:tc>
          <w:tcPr>
            <w:tcW w:w="1857" w:type="dxa"/>
            <w:gridSpan w:val="2"/>
          </w:tcPr>
          <w:p>
            <w:pPr>
              <w:jc w:val="left"/>
              <w:rPr>
                <w:noProof/>
              </w:rPr>
            </w:pPr>
            <w:r>
              <w:rPr>
                <w:noProof/>
              </w:rPr>
              <w:t>7,5</w:t>
            </w:r>
          </w:p>
          <w:p>
            <w:pPr>
              <w:jc w:val="left"/>
              <w:rPr>
                <w:noProof/>
              </w:rPr>
            </w:pPr>
            <w:r>
              <w:rPr>
                <w:noProof/>
              </w:rPr>
              <w:t>12</w:t>
            </w:r>
          </w:p>
          <w:p>
            <w:pPr>
              <w:jc w:val="left"/>
              <w:rPr>
                <w:noProof/>
              </w:rPr>
            </w:pPr>
            <w:r>
              <w:rPr>
                <w:noProof/>
              </w:rPr>
              <w:t>14</w:t>
            </w:r>
          </w:p>
          <w:p>
            <w:pPr>
              <w:jc w:val="left"/>
              <w:rPr>
                <w:noProof/>
              </w:rPr>
            </w:pPr>
            <w:r>
              <w:rPr>
                <w:noProof/>
              </w:rPr>
              <w:t>16</w:t>
            </w:r>
          </w:p>
          <w:p>
            <w:pPr>
              <w:jc w:val="left"/>
              <w:rPr>
                <w:noProof/>
              </w:rPr>
            </w:pPr>
            <w:r>
              <w:rPr>
                <w:noProof/>
              </w:rPr>
              <w:t>18</w:t>
            </w:r>
          </w:p>
          <w:p>
            <w:pPr>
              <w:jc w:val="left"/>
              <w:rPr>
                <w:noProof/>
              </w:rPr>
            </w:pPr>
            <w:r>
              <w:rPr>
                <w:noProof/>
              </w:rPr>
              <w:t>20</w:t>
            </w:r>
          </w:p>
          <w:p>
            <w:pPr>
              <w:jc w:val="left"/>
              <w:rPr>
                <w:noProof/>
              </w:rPr>
            </w:pPr>
            <w:r>
              <w:rPr>
                <w:noProof/>
              </w:rPr>
              <w:t>22</w:t>
            </w:r>
          </w:p>
          <w:p>
            <w:pPr>
              <w:jc w:val="left"/>
              <w:rPr>
                <w:noProof/>
              </w:rPr>
            </w:pPr>
            <w:r>
              <w:rPr>
                <w:noProof/>
              </w:rPr>
              <w:t>23</w:t>
            </w:r>
          </w:p>
          <w:p>
            <w:pPr>
              <w:jc w:val="left"/>
              <w:rPr>
                <w:noProof/>
              </w:rPr>
            </w:pPr>
            <w:r>
              <w:rPr>
                <w:noProof/>
              </w:rPr>
              <w:t>25</w:t>
            </w:r>
          </w:p>
        </w:tc>
        <w:tc>
          <w:tcPr>
            <w:tcW w:w="1950" w:type="dxa"/>
            <w:gridSpan w:val="2"/>
          </w:tcPr>
          <w:p>
            <w:pPr>
              <w:jc w:val="left"/>
              <w:rPr>
                <w:noProof/>
              </w:rPr>
            </w:pPr>
            <w:r>
              <w:rPr>
                <w:noProof/>
              </w:rPr>
              <w:t>12</w:t>
            </w:r>
          </w:p>
          <w:p>
            <w:pPr>
              <w:jc w:val="left"/>
              <w:rPr>
                <w:noProof/>
              </w:rPr>
            </w:pPr>
            <w:r>
              <w:rPr>
                <w:noProof/>
              </w:rPr>
              <w:t>14</w:t>
            </w:r>
          </w:p>
          <w:p>
            <w:pPr>
              <w:jc w:val="left"/>
              <w:rPr>
                <w:noProof/>
              </w:rPr>
            </w:pPr>
            <w:r>
              <w:rPr>
                <w:noProof/>
              </w:rPr>
              <w:t>16</w:t>
            </w:r>
          </w:p>
          <w:p>
            <w:pPr>
              <w:jc w:val="left"/>
              <w:rPr>
                <w:noProof/>
              </w:rPr>
            </w:pPr>
            <w:r>
              <w:rPr>
                <w:noProof/>
              </w:rPr>
              <w:t>18</w:t>
            </w:r>
          </w:p>
          <w:p>
            <w:pPr>
              <w:jc w:val="left"/>
              <w:rPr>
                <w:noProof/>
              </w:rPr>
            </w:pPr>
            <w:r>
              <w:rPr>
                <w:noProof/>
              </w:rPr>
              <w:t>20</w:t>
            </w:r>
          </w:p>
          <w:p>
            <w:pPr>
              <w:jc w:val="left"/>
              <w:rPr>
                <w:noProof/>
              </w:rPr>
            </w:pPr>
            <w:r>
              <w:rPr>
                <w:noProof/>
              </w:rPr>
              <w:t>22</w:t>
            </w:r>
          </w:p>
          <w:p>
            <w:pPr>
              <w:jc w:val="left"/>
              <w:rPr>
                <w:noProof/>
              </w:rPr>
            </w:pPr>
            <w:r>
              <w:rPr>
                <w:noProof/>
              </w:rPr>
              <w:t>23</w:t>
            </w:r>
          </w:p>
          <w:p>
            <w:pPr>
              <w:jc w:val="left"/>
              <w:rPr>
                <w:noProof/>
              </w:rPr>
            </w:pPr>
            <w:r>
              <w:rPr>
                <w:noProof/>
              </w:rPr>
              <w:t>25</w:t>
            </w:r>
          </w:p>
          <w:p>
            <w:pPr>
              <w:jc w:val="left"/>
              <w:rPr>
                <w:noProof/>
              </w:rPr>
            </w:pPr>
            <w:r>
              <w:rPr>
                <w:noProof/>
              </w:rPr>
              <w:t>28</w:t>
            </w:r>
          </w:p>
        </w:tc>
        <w:tc>
          <w:tcPr>
            <w:tcW w:w="1857" w:type="dxa"/>
            <w:gridSpan w:val="3"/>
          </w:tcPr>
          <w:p>
            <w:pPr>
              <w:jc w:val="left"/>
              <w:rPr>
                <w:noProof/>
              </w:rPr>
            </w:pPr>
            <w:r>
              <w:rPr>
                <w:noProof/>
              </w:rPr>
              <w:t>7,5</w:t>
            </w:r>
          </w:p>
          <w:p>
            <w:pPr>
              <w:jc w:val="left"/>
              <w:rPr>
                <w:noProof/>
              </w:rPr>
            </w:pPr>
            <w:r>
              <w:rPr>
                <w:noProof/>
              </w:rPr>
              <w:t>12</w:t>
            </w:r>
          </w:p>
          <w:p>
            <w:pPr>
              <w:jc w:val="left"/>
              <w:rPr>
                <w:noProof/>
              </w:rPr>
            </w:pPr>
            <w:r>
              <w:rPr>
                <w:noProof/>
              </w:rPr>
              <w:t>14</w:t>
            </w:r>
          </w:p>
          <w:p>
            <w:pPr>
              <w:jc w:val="left"/>
              <w:rPr>
                <w:noProof/>
              </w:rPr>
            </w:pPr>
            <w:r>
              <w:rPr>
                <w:noProof/>
              </w:rPr>
              <w:t>16</w:t>
            </w:r>
          </w:p>
          <w:p>
            <w:pPr>
              <w:jc w:val="left"/>
              <w:rPr>
                <w:noProof/>
              </w:rPr>
            </w:pPr>
            <w:r>
              <w:rPr>
                <w:noProof/>
              </w:rPr>
              <w:t>18</w:t>
            </w:r>
          </w:p>
          <w:p>
            <w:pPr>
              <w:jc w:val="left"/>
              <w:rPr>
                <w:noProof/>
              </w:rPr>
            </w:pPr>
            <w:r>
              <w:rPr>
                <w:noProof/>
              </w:rPr>
              <w:t>20</w:t>
            </w:r>
          </w:p>
          <w:p>
            <w:pPr>
              <w:jc w:val="left"/>
              <w:rPr>
                <w:noProof/>
              </w:rPr>
            </w:pPr>
            <w:r>
              <w:rPr>
                <w:noProof/>
              </w:rPr>
              <w:t>22</w:t>
            </w:r>
          </w:p>
          <w:p>
            <w:pPr>
              <w:jc w:val="left"/>
              <w:rPr>
                <w:noProof/>
              </w:rPr>
            </w:pPr>
            <w:r>
              <w:rPr>
                <w:noProof/>
              </w:rPr>
              <w:t>23</w:t>
            </w:r>
          </w:p>
          <w:p>
            <w:pPr>
              <w:jc w:val="left"/>
              <w:rPr>
                <w:noProof/>
              </w:rPr>
            </w:pPr>
            <w:r>
              <w:rPr>
                <w:noProof/>
              </w:rPr>
              <w:t>25</w:t>
            </w:r>
          </w:p>
        </w:tc>
        <w:tc>
          <w:tcPr>
            <w:tcW w:w="1951" w:type="dxa"/>
          </w:tcPr>
          <w:p>
            <w:pPr>
              <w:jc w:val="left"/>
              <w:rPr>
                <w:noProof/>
              </w:rPr>
            </w:pPr>
            <w:r>
              <w:rPr>
                <w:noProof/>
              </w:rPr>
              <w:t>12</w:t>
            </w:r>
          </w:p>
          <w:p>
            <w:pPr>
              <w:jc w:val="left"/>
              <w:rPr>
                <w:noProof/>
              </w:rPr>
            </w:pPr>
            <w:r>
              <w:rPr>
                <w:noProof/>
              </w:rPr>
              <w:t>14</w:t>
            </w:r>
          </w:p>
          <w:p>
            <w:pPr>
              <w:jc w:val="left"/>
              <w:rPr>
                <w:noProof/>
              </w:rPr>
            </w:pPr>
            <w:r>
              <w:rPr>
                <w:noProof/>
              </w:rPr>
              <w:t>16</w:t>
            </w:r>
          </w:p>
          <w:p>
            <w:pPr>
              <w:jc w:val="left"/>
              <w:rPr>
                <w:noProof/>
              </w:rPr>
            </w:pPr>
            <w:r>
              <w:rPr>
                <w:noProof/>
              </w:rPr>
              <w:t>18</w:t>
            </w:r>
          </w:p>
          <w:p>
            <w:pPr>
              <w:jc w:val="left"/>
              <w:rPr>
                <w:noProof/>
              </w:rPr>
            </w:pPr>
            <w:r>
              <w:rPr>
                <w:noProof/>
              </w:rPr>
              <w:t>20</w:t>
            </w:r>
          </w:p>
          <w:p>
            <w:pPr>
              <w:jc w:val="left"/>
              <w:rPr>
                <w:noProof/>
              </w:rPr>
            </w:pPr>
            <w:r>
              <w:rPr>
                <w:noProof/>
              </w:rPr>
              <w:t>22</w:t>
            </w:r>
          </w:p>
          <w:p>
            <w:pPr>
              <w:jc w:val="left"/>
              <w:rPr>
                <w:noProof/>
              </w:rPr>
            </w:pPr>
            <w:r>
              <w:rPr>
                <w:noProof/>
              </w:rPr>
              <w:t>23</w:t>
            </w:r>
          </w:p>
          <w:p>
            <w:pPr>
              <w:jc w:val="left"/>
              <w:rPr>
                <w:noProof/>
              </w:rPr>
            </w:pPr>
            <w:r>
              <w:rPr>
                <w:noProof/>
              </w:rPr>
              <w:t>25</w:t>
            </w:r>
          </w:p>
          <w:p>
            <w:pPr>
              <w:jc w:val="left"/>
              <w:rPr>
                <w:noProof/>
              </w:rPr>
            </w:pPr>
            <w:r>
              <w:rPr>
                <w:noProof/>
              </w:rPr>
              <w:t>28</w:t>
            </w:r>
          </w:p>
        </w:tc>
        <w:tc>
          <w:tcPr>
            <w:tcW w:w="1671" w:type="dxa"/>
            <w:gridSpan w:val="2"/>
          </w:tcPr>
          <w:p>
            <w:pPr>
              <w:jc w:val="left"/>
              <w:rPr>
                <w:noProof/>
              </w:rPr>
            </w:pPr>
            <w:r>
              <w:rPr>
                <w:noProof/>
              </w:rPr>
              <w:t>I</w:t>
            </w:r>
          </w:p>
        </w:tc>
      </w:tr>
      <w:tr>
        <w:trPr>
          <w:gridAfter w:val="1"/>
          <w:wAfter w:w="36" w:type="dxa"/>
        </w:trPr>
        <w:tc>
          <w:tcPr>
            <w:tcW w:w="7615" w:type="dxa"/>
            <w:gridSpan w:val="8"/>
          </w:tcPr>
          <w:p>
            <w:pPr>
              <w:jc w:val="left"/>
              <w:rPr>
                <w:noProof/>
              </w:rPr>
            </w:pPr>
            <w:r>
              <w:rPr>
                <w:i/>
                <w:noProof/>
              </w:rPr>
              <w:t>2 + 2 ašys</w:t>
            </w:r>
          </w:p>
        </w:tc>
        <w:tc>
          <w:tcPr>
            <w:tcW w:w="1671" w:type="dxa"/>
            <w:gridSpan w:val="2"/>
          </w:tcPr>
          <w:p>
            <w:pPr>
              <w:jc w:val="left"/>
              <w:rPr>
                <w:noProof/>
              </w:rPr>
            </w:pPr>
          </w:p>
        </w:tc>
      </w:tr>
      <w:tr>
        <w:trPr>
          <w:gridAfter w:val="1"/>
          <w:wAfter w:w="36" w:type="dxa"/>
        </w:trPr>
        <w:tc>
          <w:tcPr>
            <w:tcW w:w="1857" w:type="dxa"/>
            <w:gridSpan w:val="2"/>
          </w:tcPr>
          <w:p>
            <w:pPr>
              <w:jc w:val="left"/>
              <w:rPr>
                <w:noProof/>
              </w:rPr>
            </w:pPr>
            <w:r>
              <w:rPr>
                <w:noProof/>
              </w:rPr>
              <w:t>23</w:t>
            </w:r>
          </w:p>
          <w:p>
            <w:pPr>
              <w:jc w:val="left"/>
              <w:rPr>
                <w:noProof/>
              </w:rPr>
            </w:pPr>
            <w:r>
              <w:rPr>
                <w:noProof/>
              </w:rPr>
              <w:t>25</w:t>
            </w:r>
          </w:p>
          <w:p>
            <w:pPr>
              <w:jc w:val="left"/>
              <w:rPr>
                <w:noProof/>
              </w:rPr>
            </w:pPr>
            <w:r>
              <w:rPr>
                <w:noProof/>
              </w:rPr>
              <w:t>26</w:t>
            </w:r>
          </w:p>
          <w:p>
            <w:pPr>
              <w:jc w:val="left"/>
              <w:rPr>
                <w:noProof/>
              </w:rPr>
            </w:pPr>
            <w:r>
              <w:rPr>
                <w:noProof/>
              </w:rPr>
              <w:t>28</w:t>
            </w:r>
          </w:p>
        </w:tc>
        <w:tc>
          <w:tcPr>
            <w:tcW w:w="1950" w:type="dxa"/>
            <w:gridSpan w:val="2"/>
          </w:tcPr>
          <w:p>
            <w:pPr>
              <w:jc w:val="left"/>
              <w:rPr>
                <w:noProof/>
              </w:rPr>
            </w:pPr>
            <w:r>
              <w:rPr>
                <w:noProof/>
              </w:rPr>
              <w:t>25</w:t>
            </w:r>
          </w:p>
          <w:p>
            <w:pPr>
              <w:jc w:val="left"/>
              <w:rPr>
                <w:noProof/>
              </w:rPr>
            </w:pPr>
            <w:r>
              <w:rPr>
                <w:noProof/>
              </w:rPr>
              <w:t>26</w:t>
            </w:r>
          </w:p>
          <w:p>
            <w:pPr>
              <w:jc w:val="left"/>
              <w:rPr>
                <w:noProof/>
              </w:rPr>
            </w:pPr>
            <w:r>
              <w:rPr>
                <w:noProof/>
              </w:rPr>
              <w:t>28</w:t>
            </w:r>
          </w:p>
          <w:p>
            <w:pPr>
              <w:jc w:val="left"/>
              <w:rPr>
                <w:noProof/>
              </w:rPr>
            </w:pPr>
            <w:r>
              <w:rPr>
                <w:noProof/>
              </w:rPr>
              <w:t>29</w:t>
            </w:r>
          </w:p>
        </w:tc>
        <w:tc>
          <w:tcPr>
            <w:tcW w:w="1857" w:type="dxa"/>
            <w:gridSpan w:val="3"/>
          </w:tcPr>
          <w:p>
            <w:pPr>
              <w:jc w:val="left"/>
              <w:rPr>
                <w:noProof/>
              </w:rPr>
            </w:pPr>
            <w:r>
              <w:rPr>
                <w:noProof/>
              </w:rPr>
              <w:t>23</w:t>
            </w:r>
          </w:p>
          <w:p>
            <w:pPr>
              <w:jc w:val="left"/>
              <w:rPr>
                <w:noProof/>
              </w:rPr>
            </w:pPr>
            <w:r>
              <w:rPr>
                <w:noProof/>
              </w:rPr>
              <w:t>25</w:t>
            </w:r>
          </w:p>
          <w:p>
            <w:pPr>
              <w:jc w:val="left"/>
              <w:rPr>
                <w:noProof/>
              </w:rPr>
            </w:pPr>
            <w:r>
              <w:rPr>
                <w:noProof/>
              </w:rPr>
              <w:t>26</w:t>
            </w:r>
          </w:p>
          <w:p>
            <w:pPr>
              <w:jc w:val="left"/>
              <w:rPr>
                <w:noProof/>
              </w:rPr>
            </w:pPr>
            <w:r>
              <w:rPr>
                <w:noProof/>
              </w:rPr>
              <w:t>28</w:t>
            </w:r>
          </w:p>
        </w:tc>
        <w:tc>
          <w:tcPr>
            <w:tcW w:w="1951" w:type="dxa"/>
          </w:tcPr>
          <w:p>
            <w:pPr>
              <w:jc w:val="left"/>
              <w:rPr>
                <w:noProof/>
              </w:rPr>
            </w:pPr>
            <w:r>
              <w:rPr>
                <w:noProof/>
              </w:rPr>
              <w:t>25</w:t>
            </w:r>
          </w:p>
          <w:p>
            <w:pPr>
              <w:jc w:val="left"/>
              <w:rPr>
                <w:noProof/>
              </w:rPr>
            </w:pPr>
            <w:r>
              <w:rPr>
                <w:noProof/>
              </w:rPr>
              <w:t>26</w:t>
            </w:r>
          </w:p>
          <w:p>
            <w:pPr>
              <w:jc w:val="left"/>
              <w:rPr>
                <w:noProof/>
              </w:rPr>
            </w:pPr>
            <w:r>
              <w:rPr>
                <w:noProof/>
              </w:rPr>
              <w:t>28</w:t>
            </w:r>
          </w:p>
          <w:p>
            <w:pPr>
              <w:jc w:val="left"/>
              <w:rPr>
                <w:noProof/>
              </w:rPr>
            </w:pPr>
            <w:r>
              <w:rPr>
                <w:noProof/>
              </w:rPr>
              <w:t>29</w:t>
            </w:r>
          </w:p>
        </w:tc>
        <w:tc>
          <w:tcPr>
            <w:tcW w:w="1671" w:type="dxa"/>
            <w:gridSpan w:val="2"/>
          </w:tcPr>
          <w:p>
            <w:pPr>
              <w:jc w:val="left"/>
              <w:rPr>
                <w:noProof/>
              </w:rPr>
            </w:pPr>
          </w:p>
        </w:tc>
      </w:tr>
      <w:tr>
        <w:trPr>
          <w:gridAfter w:val="1"/>
          <w:wAfter w:w="36" w:type="dxa"/>
        </w:trPr>
        <w:tc>
          <w:tcPr>
            <w:tcW w:w="1857" w:type="dxa"/>
            <w:gridSpan w:val="2"/>
          </w:tcPr>
          <w:p>
            <w:pPr>
              <w:jc w:val="left"/>
              <w:rPr>
                <w:noProof/>
              </w:rPr>
            </w:pPr>
            <w:r>
              <w:rPr>
                <w:noProof/>
              </w:rPr>
              <w:t>29</w:t>
            </w:r>
          </w:p>
        </w:tc>
        <w:tc>
          <w:tcPr>
            <w:tcW w:w="1950" w:type="dxa"/>
            <w:gridSpan w:val="2"/>
          </w:tcPr>
          <w:p>
            <w:pPr>
              <w:jc w:val="left"/>
              <w:rPr>
                <w:noProof/>
              </w:rPr>
            </w:pPr>
            <w:r>
              <w:rPr>
                <w:noProof/>
              </w:rPr>
              <w:t>31</w:t>
            </w:r>
          </w:p>
        </w:tc>
        <w:tc>
          <w:tcPr>
            <w:tcW w:w="1857" w:type="dxa"/>
            <w:gridSpan w:val="3"/>
          </w:tcPr>
          <w:p>
            <w:pPr>
              <w:jc w:val="left"/>
              <w:rPr>
                <w:noProof/>
              </w:rPr>
            </w:pPr>
            <w:r>
              <w:rPr>
                <w:noProof/>
              </w:rPr>
              <w:t>29</w:t>
            </w:r>
          </w:p>
        </w:tc>
        <w:tc>
          <w:tcPr>
            <w:tcW w:w="1951" w:type="dxa"/>
          </w:tcPr>
          <w:p>
            <w:pPr>
              <w:jc w:val="left"/>
              <w:rPr>
                <w:noProof/>
              </w:rPr>
            </w:pPr>
            <w:r>
              <w:rPr>
                <w:noProof/>
              </w:rPr>
              <w:t>31</w:t>
            </w:r>
          </w:p>
        </w:tc>
        <w:tc>
          <w:tcPr>
            <w:tcW w:w="1671" w:type="dxa"/>
            <w:gridSpan w:val="2"/>
          </w:tcPr>
          <w:p>
            <w:pPr>
              <w:jc w:val="left"/>
              <w:rPr>
                <w:noProof/>
              </w:rPr>
            </w:pPr>
            <w:r>
              <w:rPr>
                <w:noProof/>
              </w:rPr>
              <w:t>II</w:t>
            </w:r>
          </w:p>
        </w:tc>
      </w:tr>
      <w:tr>
        <w:trPr>
          <w:gridAfter w:val="1"/>
          <w:wAfter w:w="36" w:type="dxa"/>
        </w:trPr>
        <w:tc>
          <w:tcPr>
            <w:tcW w:w="1857" w:type="dxa"/>
            <w:gridSpan w:val="2"/>
          </w:tcPr>
          <w:p>
            <w:pPr>
              <w:jc w:val="left"/>
              <w:rPr>
                <w:noProof/>
              </w:rPr>
            </w:pPr>
            <w:r>
              <w:rPr>
                <w:noProof/>
              </w:rPr>
              <w:t>31</w:t>
            </w:r>
          </w:p>
        </w:tc>
        <w:tc>
          <w:tcPr>
            <w:tcW w:w="1950" w:type="dxa"/>
            <w:gridSpan w:val="2"/>
          </w:tcPr>
          <w:p>
            <w:pPr>
              <w:jc w:val="left"/>
              <w:rPr>
                <w:noProof/>
              </w:rPr>
            </w:pPr>
            <w:r>
              <w:rPr>
                <w:noProof/>
              </w:rPr>
              <w:t>33</w:t>
            </w:r>
          </w:p>
        </w:tc>
        <w:tc>
          <w:tcPr>
            <w:tcW w:w="1857" w:type="dxa"/>
            <w:gridSpan w:val="3"/>
          </w:tcPr>
          <w:p>
            <w:pPr>
              <w:jc w:val="left"/>
              <w:rPr>
                <w:noProof/>
              </w:rPr>
            </w:pPr>
            <w:r>
              <w:rPr>
                <w:noProof/>
              </w:rPr>
              <w:t>31</w:t>
            </w:r>
          </w:p>
        </w:tc>
        <w:tc>
          <w:tcPr>
            <w:tcW w:w="1951" w:type="dxa"/>
          </w:tcPr>
          <w:p>
            <w:pPr>
              <w:jc w:val="left"/>
              <w:rPr>
                <w:noProof/>
              </w:rPr>
            </w:pPr>
            <w:r>
              <w:rPr>
                <w:noProof/>
              </w:rPr>
              <w:t>33</w:t>
            </w:r>
          </w:p>
        </w:tc>
        <w:tc>
          <w:tcPr>
            <w:tcW w:w="1671" w:type="dxa"/>
            <w:gridSpan w:val="2"/>
          </w:tcPr>
          <w:p>
            <w:pPr>
              <w:jc w:val="left"/>
              <w:rPr>
                <w:noProof/>
              </w:rPr>
            </w:pPr>
          </w:p>
        </w:tc>
      </w:tr>
      <w:tr>
        <w:trPr>
          <w:gridAfter w:val="1"/>
          <w:wAfter w:w="36" w:type="dxa"/>
        </w:trPr>
        <w:tc>
          <w:tcPr>
            <w:tcW w:w="1857" w:type="dxa"/>
            <w:gridSpan w:val="2"/>
          </w:tcPr>
          <w:p>
            <w:pPr>
              <w:jc w:val="left"/>
              <w:rPr>
                <w:noProof/>
              </w:rPr>
            </w:pPr>
            <w:r>
              <w:rPr>
                <w:noProof/>
              </w:rPr>
              <w:t>33</w:t>
            </w:r>
          </w:p>
          <w:p>
            <w:pPr>
              <w:jc w:val="left"/>
              <w:rPr>
                <w:noProof/>
              </w:rPr>
            </w:pPr>
            <w:r>
              <w:rPr>
                <w:noProof/>
              </w:rPr>
              <w:t>36</w:t>
            </w:r>
          </w:p>
        </w:tc>
        <w:tc>
          <w:tcPr>
            <w:tcW w:w="1950" w:type="dxa"/>
            <w:gridSpan w:val="2"/>
          </w:tcPr>
          <w:p>
            <w:pPr>
              <w:jc w:val="left"/>
              <w:rPr>
                <w:noProof/>
              </w:rPr>
            </w:pPr>
            <w:r>
              <w:rPr>
                <w:noProof/>
              </w:rPr>
              <w:t>36</w:t>
            </w:r>
          </w:p>
          <w:p>
            <w:pPr>
              <w:jc w:val="left"/>
              <w:rPr>
                <w:noProof/>
              </w:rPr>
            </w:pPr>
            <w:r>
              <w:rPr>
                <w:noProof/>
              </w:rPr>
              <w:t>38</w:t>
            </w:r>
          </w:p>
        </w:tc>
        <w:tc>
          <w:tcPr>
            <w:tcW w:w="1857" w:type="dxa"/>
            <w:gridSpan w:val="3"/>
          </w:tcPr>
          <w:p>
            <w:pPr>
              <w:jc w:val="left"/>
              <w:rPr>
                <w:noProof/>
              </w:rPr>
            </w:pPr>
            <w:r>
              <w:rPr>
                <w:noProof/>
              </w:rPr>
              <w:t>33</w:t>
            </w:r>
          </w:p>
        </w:tc>
        <w:tc>
          <w:tcPr>
            <w:tcW w:w="1951" w:type="dxa"/>
          </w:tcPr>
          <w:p>
            <w:pPr>
              <w:jc w:val="left"/>
              <w:rPr>
                <w:noProof/>
              </w:rPr>
            </w:pPr>
            <w:r>
              <w:rPr>
                <w:noProof/>
              </w:rPr>
              <w:t>36</w:t>
            </w:r>
          </w:p>
        </w:tc>
        <w:tc>
          <w:tcPr>
            <w:tcW w:w="1671" w:type="dxa"/>
            <w:gridSpan w:val="2"/>
          </w:tcPr>
          <w:p>
            <w:pPr>
              <w:jc w:val="left"/>
              <w:rPr>
                <w:noProof/>
              </w:rPr>
            </w:pPr>
            <w:r>
              <w:rPr>
                <w:noProof/>
              </w:rPr>
              <w:t>III</w:t>
            </w:r>
          </w:p>
        </w:tc>
      </w:tr>
      <w:tr>
        <w:trPr>
          <w:gridAfter w:val="1"/>
          <w:wAfter w:w="36" w:type="dxa"/>
        </w:trPr>
        <w:tc>
          <w:tcPr>
            <w:tcW w:w="7615" w:type="dxa"/>
            <w:gridSpan w:val="8"/>
          </w:tcPr>
          <w:p>
            <w:pPr>
              <w:jc w:val="left"/>
              <w:rPr>
                <w:noProof/>
              </w:rPr>
            </w:pPr>
            <w:r>
              <w:rPr>
                <w:i/>
                <w:noProof/>
              </w:rPr>
              <w:t>2 + 3 ašys</w:t>
            </w:r>
          </w:p>
        </w:tc>
        <w:tc>
          <w:tcPr>
            <w:tcW w:w="1671" w:type="dxa"/>
            <w:gridSpan w:val="2"/>
          </w:tcPr>
          <w:p>
            <w:pPr>
              <w:jc w:val="left"/>
              <w:rPr>
                <w:noProof/>
              </w:rPr>
            </w:pPr>
            <w:r>
              <w:rPr>
                <w:noProof/>
              </w:rPr>
              <w:t>II</w:t>
            </w:r>
          </w:p>
        </w:tc>
      </w:tr>
      <w:tr>
        <w:trPr>
          <w:gridAfter w:val="1"/>
          <w:wAfter w:w="36" w:type="dxa"/>
        </w:trPr>
        <w:tc>
          <w:tcPr>
            <w:tcW w:w="1857" w:type="dxa"/>
            <w:gridSpan w:val="2"/>
          </w:tcPr>
          <w:p>
            <w:pPr>
              <w:jc w:val="left"/>
              <w:rPr>
                <w:noProof/>
              </w:rPr>
            </w:pPr>
            <w:r>
              <w:rPr>
                <w:noProof/>
              </w:rPr>
              <w:t>36</w:t>
            </w:r>
          </w:p>
          <w:p>
            <w:pPr>
              <w:jc w:val="left"/>
              <w:rPr>
                <w:noProof/>
              </w:rPr>
            </w:pPr>
            <w:r>
              <w:rPr>
                <w:noProof/>
              </w:rPr>
              <w:t>38</w:t>
            </w:r>
          </w:p>
        </w:tc>
        <w:tc>
          <w:tcPr>
            <w:tcW w:w="1950" w:type="dxa"/>
            <w:gridSpan w:val="2"/>
          </w:tcPr>
          <w:p>
            <w:pPr>
              <w:jc w:val="left"/>
              <w:rPr>
                <w:noProof/>
              </w:rPr>
            </w:pPr>
            <w:r>
              <w:rPr>
                <w:noProof/>
              </w:rPr>
              <w:t>38</w:t>
            </w:r>
          </w:p>
          <w:p>
            <w:pPr>
              <w:jc w:val="left"/>
              <w:rPr>
                <w:noProof/>
              </w:rPr>
            </w:pPr>
            <w:r>
              <w:rPr>
                <w:noProof/>
              </w:rPr>
              <w:t>40</w:t>
            </w:r>
          </w:p>
        </w:tc>
        <w:tc>
          <w:tcPr>
            <w:tcW w:w="1857" w:type="dxa"/>
            <w:gridSpan w:val="3"/>
          </w:tcPr>
          <w:p>
            <w:pPr>
              <w:jc w:val="left"/>
              <w:rPr>
                <w:noProof/>
              </w:rPr>
            </w:pPr>
            <w:r>
              <w:rPr>
                <w:noProof/>
              </w:rPr>
              <w:t>36</w:t>
            </w:r>
          </w:p>
        </w:tc>
        <w:tc>
          <w:tcPr>
            <w:tcW w:w="1951" w:type="dxa"/>
          </w:tcPr>
          <w:p>
            <w:pPr>
              <w:jc w:val="left"/>
              <w:rPr>
                <w:noProof/>
              </w:rPr>
            </w:pPr>
            <w:r>
              <w:rPr>
                <w:noProof/>
              </w:rPr>
              <w:t>38</w:t>
            </w:r>
          </w:p>
        </w:tc>
        <w:tc>
          <w:tcPr>
            <w:tcW w:w="1671" w:type="dxa"/>
            <w:gridSpan w:val="2"/>
          </w:tcPr>
          <w:p>
            <w:pPr>
              <w:jc w:val="left"/>
              <w:rPr>
                <w:noProof/>
              </w:rPr>
            </w:pPr>
          </w:p>
        </w:tc>
      </w:tr>
      <w:tr>
        <w:trPr>
          <w:gridAfter w:val="1"/>
          <w:wAfter w:w="36" w:type="dxa"/>
        </w:trPr>
        <w:tc>
          <w:tcPr>
            <w:tcW w:w="1857" w:type="dxa"/>
            <w:gridSpan w:val="2"/>
          </w:tcPr>
          <w:p>
            <w:pPr>
              <w:adjustRightInd w:val="0"/>
              <w:spacing w:before="0" w:after="0"/>
              <w:jc w:val="left"/>
              <w:rPr>
                <w:noProof/>
              </w:rPr>
            </w:pPr>
          </w:p>
        </w:tc>
        <w:tc>
          <w:tcPr>
            <w:tcW w:w="1950" w:type="dxa"/>
            <w:gridSpan w:val="2"/>
          </w:tcPr>
          <w:p>
            <w:pPr>
              <w:adjustRightInd w:val="0"/>
              <w:spacing w:before="0" w:after="0"/>
              <w:jc w:val="left"/>
              <w:rPr>
                <w:noProof/>
              </w:rPr>
            </w:pPr>
          </w:p>
        </w:tc>
        <w:tc>
          <w:tcPr>
            <w:tcW w:w="1857" w:type="dxa"/>
            <w:gridSpan w:val="3"/>
          </w:tcPr>
          <w:p>
            <w:pPr>
              <w:jc w:val="left"/>
              <w:rPr>
                <w:noProof/>
              </w:rPr>
            </w:pPr>
            <w:r>
              <w:rPr>
                <w:noProof/>
              </w:rPr>
              <w:t>38</w:t>
            </w:r>
          </w:p>
        </w:tc>
        <w:tc>
          <w:tcPr>
            <w:tcW w:w="1951" w:type="dxa"/>
          </w:tcPr>
          <w:p>
            <w:pPr>
              <w:jc w:val="left"/>
              <w:rPr>
                <w:noProof/>
              </w:rPr>
            </w:pPr>
            <w:r>
              <w:rPr>
                <w:noProof/>
              </w:rPr>
              <w:t>40</w:t>
            </w:r>
          </w:p>
        </w:tc>
        <w:tc>
          <w:tcPr>
            <w:tcW w:w="1671" w:type="dxa"/>
            <w:gridSpan w:val="2"/>
          </w:tcPr>
          <w:p>
            <w:pPr>
              <w:jc w:val="left"/>
              <w:rPr>
                <w:noProof/>
              </w:rPr>
            </w:pPr>
            <w:r>
              <w:rPr>
                <w:noProof/>
              </w:rPr>
              <w:t>III</w:t>
            </w:r>
          </w:p>
        </w:tc>
      </w:tr>
      <w:tr>
        <w:trPr>
          <w:gridAfter w:val="1"/>
          <w:wAfter w:w="36" w:type="dxa"/>
        </w:trPr>
        <w:tc>
          <w:tcPr>
            <w:tcW w:w="7615" w:type="dxa"/>
            <w:gridSpan w:val="8"/>
          </w:tcPr>
          <w:p>
            <w:pPr>
              <w:jc w:val="left"/>
              <w:rPr>
                <w:noProof/>
              </w:rPr>
            </w:pPr>
            <w:r>
              <w:rPr>
                <w:i/>
                <w:noProof/>
              </w:rPr>
              <w:t>3 + 2 ašys</w:t>
            </w:r>
          </w:p>
        </w:tc>
        <w:tc>
          <w:tcPr>
            <w:tcW w:w="1671" w:type="dxa"/>
            <w:gridSpan w:val="2"/>
          </w:tcPr>
          <w:p>
            <w:pPr>
              <w:jc w:val="left"/>
              <w:rPr>
                <w:noProof/>
              </w:rPr>
            </w:pPr>
            <w:r>
              <w:rPr>
                <w:noProof/>
              </w:rPr>
              <w:t>II</w:t>
            </w:r>
          </w:p>
        </w:tc>
      </w:tr>
      <w:tr>
        <w:trPr>
          <w:gridAfter w:val="1"/>
          <w:wAfter w:w="36" w:type="dxa"/>
        </w:trPr>
        <w:tc>
          <w:tcPr>
            <w:tcW w:w="1857" w:type="dxa"/>
            <w:gridSpan w:val="2"/>
          </w:tcPr>
          <w:p>
            <w:pPr>
              <w:jc w:val="left"/>
              <w:rPr>
                <w:noProof/>
              </w:rPr>
            </w:pPr>
            <w:r>
              <w:rPr>
                <w:noProof/>
              </w:rPr>
              <w:t>36</w:t>
            </w:r>
          </w:p>
          <w:p>
            <w:pPr>
              <w:jc w:val="left"/>
              <w:rPr>
                <w:noProof/>
              </w:rPr>
            </w:pPr>
            <w:r>
              <w:rPr>
                <w:noProof/>
              </w:rPr>
              <w:t>38</w:t>
            </w:r>
          </w:p>
        </w:tc>
        <w:tc>
          <w:tcPr>
            <w:tcW w:w="1950" w:type="dxa"/>
            <w:gridSpan w:val="2"/>
          </w:tcPr>
          <w:p>
            <w:pPr>
              <w:jc w:val="left"/>
              <w:rPr>
                <w:noProof/>
              </w:rPr>
            </w:pPr>
            <w:r>
              <w:rPr>
                <w:noProof/>
              </w:rPr>
              <w:t>38</w:t>
            </w:r>
          </w:p>
          <w:p>
            <w:pPr>
              <w:jc w:val="left"/>
              <w:rPr>
                <w:noProof/>
              </w:rPr>
            </w:pPr>
            <w:r>
              <w:rPr>
                <w:noProof/>
              </w:rPr>
              <w:t>40</w:t>
            </w:r>
          </w:p>
        </w:tc>
        <w:tc>
          <w:tcPr>
            <w:tcW w:w="1857" w:type="dxa"/>
            <w:gridSpan w:val="3"/>
          </w:tcPr>
          <w:p>
            <w:pPr>
              <w:jc w:val="left"/>
              <w:rPr>
                <w:noProof/>
              </w:rPr>
            </w:pPr>
            <w:r>
              <w:rPr>
                <w:noProof/>
              </w:rPr>
              <w:t>36</w:t>
            </w:r>
          </w:p>
        </w:tc>
        <w:tc>
          <w:tcPr>
            <w:tcW w:w="1951" w:type="dxa"/>
          </w:tcPr>
          <w:p>
            <w:pPr>
              <w:jc w:val="left"/>
              <w:rPr>
                <w:noProof/>
              </w:rPr>
            </w:pPr>
            <w:r>
              <w:rPr>
                <w:noProof/>
              </w:rPr>
              <w:t>38</w:t>
            </w:r>
          </w:p>
        </w:tc>
        <w:tc>
          <w:tcPr>
            <w:tcW w:w="1671" w:type="dxa"/>
            <w:gridSpan w:val="2"/>
          </w:tcPr>
          <w:p>
            <w:pPr>
              <w:jc w:val="left"/>
              <w:rPr>
                <w:noProof/>
              </w:rPr>
            </w:pPr>
          </w:p>
        </w:tc>
      </w:tr>
      <w:tr>
        <w:trPr>
          <w:gridAfter w:val="1"/>
          <w:wAfter w:w="36" w:type="dxa"/>
        </w:trPr>
        <w:tc>
          <w:tcPr>
            <w:tcW w:w="1857" w:type="dxa"/>
            <w:gridSpan w:val="2"/>
          </w:tcPr>
          <w:p>
            <w:pPr>
              <w:adjustRightInd w:val="0"/>
              <w:spacing w:before="0" w:after="0"/>
              <w:jc w:val="left"/>
              <w:rPr>
                <w:noProof/>
              </w:rPr>
            </w:pPr>
          </w:p>
        </w:tc>
        <w:tc>
          <w:tcPr>
            <w:tcW w:w="1950" w:type="dxa"/>
            <w:gridSpan w:val="2"/>
          </w:tcPr>
          <w:p>
            <w:pPr>
              <w:adjustRightInd w:val="0"/>
              <w:spacing w:before="0" w:after="0"/>
              <w:jc w:val="left"/>
              <w:rPr>
                <w:noProof/>
              </w:rPr>
            </w:pPr>
          </w:p>
        </w:tc>
        <w:tc>
          <w:tcPr>
            <w:tcW w:w="1857" w:type="dxa"/>
            <w:gridSpan w:val="3"/>
          </w:tcPr>
          <w:p>
            <w:pPr>
              <w:jc w:val="left"/>
              <w:rPr>
                <w:noProof/>
              </w:rPr>
            </w:pPr>
            <w:r>
              <w:rPr>
                <w:noProof/>
              </w:rPr>
              <w:t>38</w:t>
            </w:r>
          </w:p>
          <w:p>
            <w:pPr>
              <w:jc w:val="left"/>
              <w:rPr>
                <w:noProof/>
              </w:rPr>
            </w:pPr>
            <w:r>
              <w:rPr>
                <w:noProof/>
              </w:rPr>
              <w:t>40</w:t>
            </w:r>
          </w:p>
        </w:tc>
        <w:tc>
          <w:tcPr>
            <w:tcW w:w="1951" w:type="dxa"/>
          </w:tcPr>
          <w:p>
            <w:pPr>
              <w:jc w:val="left"/>
              <w:rPr>
                <w:noProof/>
              </w:rPr>
            </w:pPr>
            <w:r>
              <w:rPr>
                <w:noProof/>
              </w:rPr>
              <w:t>40</w:t>
            </w:r>
          </w:p>
          <w:p>
            <w:pPr>
              <w:jc w:val="left"/>
              <w:rPr>
                <w:noProof/>
              </w:rPr>
            </w:pPr>
            <w:r>
              <w:rPr>
                <w:noProof/>
              </w:rPr>
              <w:t>44</w:t>
            </w:r>
          </w:p>
        </w:tc>
        <w:tc>
          <w:tcPr>
            <w:tcW w:w="1671" w:type="dxa"/>
            <w:gridSpan w:val="2"/>
          </w:tcPr>
          <w:p>
            <w:pPr>
              <w:jc w:val="left"/>
              <w:rPr>
                <w:noProof/>
              </w:rPr>
            </w:pPr>
            <w:r>
              <w:rPr>
                <w:noProof/>
              </w:rPr>
              <w:t>III</w:t>
            </w:r>
          </w:p>
        </w:tc>
      </w:tr>
      <w:tr>
        <w:trPr>
          <w:gridAfter w:val="1"/>
          <w:wAfter w:w="36" w:type="dxa"/>
        </w:trPr>
        <w:tc>
          <w:tcPr>
            <w:tcW w:w="1857" w:type="dxa"/>
            <w:gridSpan w:val="2"/>
          </w:tcPr>
          <w:p>
            <w:pPr>
              <w:jc w:val="left"/>
              <w:rPr>
                <w:noProof/>
              </w:rPr>
            </w:pPr>
            <w:r>
              <w:rPr>
                <w:noProof/>
              </w:rPr>
              <w:t>40</w:t>
            </w:r>
          </w:p>
        </w:tc>
        <w:tc>
          <w:tcPr>
            <w:tcW w:w="1950" w:type="dxa"/>
            <w:gridSpan w:val="2"/>
          </w:tcPr>
          <w:p>
            <w:pPr>
              <w:jc w:val="left"/>
              <w:rPr>
                <w:noProof/>
              </w:rPr>
            </w:pPr>
            <w:r>
              <w:rPr>
                <w:noProof/>
              </w:rPr>
              <w:t>44</w:t>
            </w:r>
          </w:p>
        </w:tc>
        <w:tc>
          <w:tcPr>
            <w:tcW w:w="1857" w:type="dxa"/>
            <w:gridSpan w:val="3"/>
          </w:tcPr>
          <w:p>
            <w:pPr>
              <w:jc w:val="left"/>
              <w:rPr>
                <w:noProof/>
              </w:rPr>
            </w:pPr>
          </w:p>
        </w:tc>
        <w:tc>
          <w:tcPr>
            <w:tcW w:w="1951" w:type="dxa"/>
          </w:tcPr>
          <w:p>
            <w:pPr>
              <w:jc w:val="left"/>
              <w:rPr>
                <w:noProof/>
              </w:rPr>
            </w:pPr>
          </w:p>
        </w:tc>
        <w:tc>
          <w:tcPr>
            <w:tcW w:w="1671" w:type="dxa"/>
            <w:gridSpan w:val="2"/>
          </w:tcPr>
          <w:p>
            <w:pPr>
              <w:jc w:val="left"/>
              <w:rPr>
                <w:noProof/>
              </w:rPr>
            </w:pPr>
          </w:p>
        </w:tc>
      </w:tr>
      <w:tr>
        <w:trPr>
          <w:gridAfter w:val="1"/>
          <w:wAfter w:w="36" w:type="dxa"/>
        </w:trPr>
        <w:tc>
          <w:tcPr>
            <w:tcW w:w="7615" w:type="dxa"/>
            <w:gridSpan w:val="8"/>
          </w:tcPr>
          <w:p>
            <w:pPr>
              <w:jc w:val="left"/>
              <w:rPr>
                <w:noProof/>
              </w:rPr>
            </w:pPr>
            <w:r>
              <w:rPr>
                <w:i/>
                <w:noProof/>
              </w:rPr>
              <w:t>3 + 3 ašys</w:t>
            </w:r>
          </w:p>
        </w:tc>
        <w:tc>
          <w:tcPr>
            <w:tcW w:w="1671" w:type="dxa"/>
            <w:gridSpan w:val="2"/>
          </w:tcPr>
          <w:p>
            <w:pPr>
              <w:jc w:val="left"/>
              <w:rPr>
                <w:noProof/>
              </w:rPr>
            </w:pPr>
          </w:p>
        </w:tc>
      </w:tr>
      <w:tr>
        <w:trPr>
          <w:gridAfter w:val="1"/>
          <w:wAfter w:w="36" w:type="dxa"/>
        </w:trPr>
        <w:tc>
          <w:tcPr>
            <w:tcW w:w="1857" w:type="dxa"/>
            <w:gridSpan w:val="2"/>
          </w:tcPr>
          <w:p>
            <w:pPr>
              <w:jc w:val="left"/>
              <w:rPr>
                <w:noProof/>
              </w:rPr>
            </w:pPr>
            <w:r>
              <w:rPr>
                <w:noProof/>
              </w:rPr>
              <w:t>36</w:t>
            </w:r>
          </w:p>
          <w:p>
            <w:pPr>
              <w:jc w:val="left"/>
              <w:rPr>
                <w:noProof/>
              </w:rPr>
            </w:pPr>
            <w:r>
              <w:rPr>
                <w:noProof/>
              </w:rPr>
              <w:t>38</w:t>
            </w:r>
          </w:p>
        </w:tc>
        <w:tc>
          <w:tcPr>
            <w:tcW w:w="1950" w:type="dxa"/>
            <w:gridSpan w:val="2"/>
          </w:tcPr>
          <w:p>
            <w:pPr>
              <w:jc w:val="left"/>
              <w:rPr>
                <w:noProof/>
              </w:rPr>
            </w:pPr>
            <w:r>
              <w:rPr>
                <w:noProof/>
              </w:rPr>
              <w:t>38</w:t>
            </w:r>
          </w:p>
          <w:p>
            <w:pPr>
              <w:jc w:val="left"/>
              <w:rPr>
                <w:noProof/>
              </w:rPr>
            </w:pPr>
            <w:r>
              <w:rPr>
                <w:noProof/>
              </w:rPr>
              <w:t>40</w:t>
            </w:r>
          </w:p>
        </w:tc>
        <w:tc>
          <w:tcPr>
            <w:tcW w:w="1857" w:type="dxa"/>
            <w:gridSpan w:val="3"/>
          </w:tcPr>
          <w:p>
            <w:pPr>
              <w:jc w:val="left"/>
              <w:rPr>
                <w:noProof/>
              </w:rPr>
            </w:pPr>
            <w:r>
              <w:rPr>
                <w:noProof/>
              </w:rPr>
              <w:t>36</w:t>
            </w:r>
          </w:p>
        </w:tc>
        <w:tc>
          <w:tcPr>
            <w:tcW w:w="1951" w:type="dxa"/>
          </w:tcPr>
          <w:p>
            <w:pPr>
              <w:jc w:val="left"/>
              <w:rPr>
                <w:noProof/>
              </w:rPr>
            </w:pPr>
            <w:r>
              <w:rPr>
                <w:noProof/>
              </w:rPr>
              <w:t>38</w:t>
            </w:r>
          </w:p>
        </w:tc>
        <w:tc>
          <w:tcPr>
            <w:tcW w:w="1671" w:type="dxa"/>
            <w:gridSpan w:val="2"/>
          </w:tcPr>
          <w:p>
            <w:pPr>
              <w:jc w:val="left"/>
              <w:rPr>
                <w:noProof/>
              </w:rPr>
            </w:pPr>
            <w:r>
              <w:rPr>
                <w:noProof/>
              </w:rPr>
              <w:t>I</w:t>
            </w:r>
          </w:p>
        </w:tc>
      </w:tr>
      <w:tr>
        <w:trPr>
          <w:gridAfter w:val="1"/>
          <w:wAfter w:w="36" w:type="dxa"/>
        </w:trPr>
        <w:tc>
          <w:tcPr>
            <w:tcW w:w="1857" w:type="dxa"/>
            <w:gridSpan w:val="2"/>
          </w:tcPr>
          <w:p>
            <w:pPr>
              <w:adjustRightInd w:val="0"/>
              <w:spacing w:before="0" w:after="0"/>
              <w:jc w:val="left"/>
              <w:rPr>
                <w:noProof/>
              </w:rPr>
            </w:pPr>
          </w:p>
        </w:tc>
        <w:tc>
          <w:tcPr>
            <w:tcW w:w="1950" w:type="dxa"/>
            <w:gridSpan w:val="2"/>
          </w:tcPr>
          <w:p>
            <w:pPr>
              <w:adjustRightInd w:val="0"/>
              <w:spacing w:before="0" w:after="0"/>
              <w:jc w:val="left"/>
              <w:rPr>
                <w:noProof/>
              </w:rPr>
            </w:pPr>
          </w:p>
        </w:tc>
        <w:tc>
          <w:tcPr>
            <w:tcW w:w="1857" w:type="dxa"/>
            <w:gridSpan w:val="3"/>
          </w:tcPr>
          <w:p>
            <w:pPr>
              <w:jc w:val="left"/>
              <w:rPr>
                <w:noProof/>
              </w:rPr>
            </w:pPr>
            <w:r>
              <w:rPr>
                <w:noProof/>
              </w:rPr>
              <w:t>38</w:t>
            </w:r>
          </w:p>
        </w:tc>
        <w:tc>
          <w:tcPr>
            <w:tcW w:w="1951" w:type="dxa"/>
          </w:tcPr>
          <w:p>
            <w:pPr>
              <w:jc w:val="left"/>
              <w:rPr>
                <w:noProof/>
              </w:rPr>
            </w:pPr>
            <w:r>
              <w:rPr>
                <w:noProof/>
              </w:rPr>
              <w:t>40</w:t>
            </w:r>
          </w:p>
        </w:tc>
        <w:tc>
          <w:tcPr>
            <w:tcW w:w="1671" w:type="dxa"/>
            <w:gridSpan w:val="2"/>
          </w:tcPr>
          <w:p>
            <w:pPr>
              <w:jc w:val="left"/>
              <w:rPr>
                <w:noProof/>
              </w:rPr>
            </w:pPr>
            <w:r>
              <w:rPr>
                <w:noProof/>
              </w:rPr>
              <w:t>II</w:t>
            </w:r>
          </w:p>
        </w:tc>
      </w:tr>
      <w:tr>
        <w:trPr>
          <w:gridAfter w:val="1"/>
          <w:wAfter w:w="36" w:type="dxa"/>
        </w:trPr>
        <w:tc>
          <w:tcPr>
            <w:tcW w:w="1857" w:type="dxa"/>
            <w:gridSpan w:val="2"/>
          </w:tcPr>
          <w:p>
            <w:pPr>
              <w:jc w:val="left"/>
              <w:rPr>
                <w:noProof/>
              </w:rPr>
            </w:pPr>
            <w:r>
              <w:rPr>
                <w:noProof/>
              </w:rPr>
              <w:t>40</w:t>
            </w:r>
          </w:p>
        </w:tc>
        <w:tc>
          <w:tcPr>
            <w:tcW w:w="1950" w:type="dxa"/>
            <w:gridSpan w:val="2"/>
          </w:tcPr>
          <w:p>
            <w:pPr>
              <w:jc w:val="left"/>
              <w:rPr>
                <w:noProof/>
              </w:rPr>
            </w:pPr>
            <w:r>
              <w:rPr>
                <w:noProof/>
              </w:rPr>
              <w:t>44</w:t>
            </w:r>
          </w:p>
        </w:tc>
        <w:tc>
          <w:tcPr>
            <w:tcW w:w="1857" w:type="dxa"/>
            <w:gridSpan w:val="3"/>
          </w:tcPr>
          <w:p>
            <w:pPr>
              <w:jc w:val="left"/>
              <w:rPr>
                <w:noProof/>
              </w:rPr>
            </w:pPr>
            <w:r>
              <w:rPr>
                <w:noProof/>
              </w:rPr>
              <w:t>40</w:t>
            </w:r>
          </w:p>
        </w:tc>
        <w:tc>
          <w:tcPr>
            <w:tcW w:w="1951" w:type="dxa"/>
          </w:tcPr>
          <w:p>
            <w:pPr>
              <w:jc w:val="left"/>
              <w:rPr>
                <w:noProof/>
              </w:rPr>
            </w:pPr>
            <w:r>
              <w:rPr>
                <w:noProof/>
              </w:rPr>
              <w:t>44</w:t>
            </w:r>
          </w:p>
        </w:tc>
        <w:tc>
          <w:tcPr>
            <w:tcW w:w="1671" w:type="dxa"/>
            <w:gridSpan w:val="2"/>
          </w:tcPr>
          <w:p>
            <w:pPr>
              <w:jc w:val="left"/>
              <w:rPr>
                <w:noProof/>
              </w:rPr>
            </w:pPr>
          </w:p>
        </w:tc>
      </w:tr>
      <w:tr>
        <w:tblPrEx>
          <w:tblLook w:val="04A0" w:firstRow="1" w:lastRow="0" w:firstColumn="1" w:lastColumn="0" w:noHBand="0" w:noVBand="1"/>
        </w:tblPrEx>
        <w:tc>
          <w:tcPr>
            <w:tcW w:w="9322" w:type="dxa"/>
            <w:gridSpan w:val="11"/>
          </w:tcPr>
          <w:p>
            <w:pPr>
              <w:spacing w:before="100" w:beforeAutospacing="1" w:after="100" w:afterAutospacing="1"/>
              <w:rPr>
                <w:i/>
                <w:noProof/>
              </w:rPr>
            </w:pPr>
            <w:r>
              <w:rPr>
                <w:i/>
                <w:noProof/>
              </w:rPr>
              <w:t>7 ašys</w:t>
            </w:r>
          </w:p>
        </w:tc>
      </w:tr>
      <w:tr>
        <w:tblPrEx>
          <w:tblLook w:val="04A0" w:firstRow="1" w:lastRow="0" w:firstColumn="1" w:lastColumn="0" w:noHBand="0" w:noVBand="1"/>
        </w:tblPrEx>
        <w:tc>
          <w:tcPr>
            <w:tcW w:w="1809" w:type="dxa"/>
            <w:tcBorders>
              <w:bottom w:val="single" w:sz="4" w:space="0" w:color="auto"/>
            </w:tcBorders>
          </w:tcPr>
          <w:p>
            <w:pPr>
              <w:spacing w:before="100" w:beforeAutospacing="1" w:after="100" w:afterAutospacing="1"/>
              <w:rPr>
                <w:noProof/>
              </w:rPr>
            </w:pPr>
            <w:r>
              <w:rPr>
                <w:noProof/>
              </w:rPr>
              <w:t>40</w:t>
            </w:r>
          </w:p>
        </w:tc>
        <w:tc>
          <w:tcPr>
            <w:tcW w:w="1985" w:type="dxa"/>
            <w:gridSpan w:val="2"/>
            <w:tcBorders>
              <w:bottom w:val="single" w:sz="4" w:space="0" w:color="auto"/>
            </w:tcBorders>
          </w:tcPr>
          <w:p>
            <w:pPr>
              <w:spacing w:before="100" w:beforeAutospacing="1" w:after="100" w:afterAutospacing="1"/>
              <w:rPr>
                <w:noProof/>
              </w:rPr>
            </w:pPr>
            <w:r>
              <w:rPr>
                <w:noProof/>
              </w:rPr>
              <w:t>50</w:t>
            </w:r>
          </w:p>
        </w:tc>
        <w:tc>
          <w:tcPr>
            <w:tcW w:w="1843" w:type="dxa"/>
            <w:gridSpan w:val="3"/>
            <w:tcBorders>
              <w:bottom w:val="single" w:sz="4" w:space="0" w:color="auto"/>
            </w:tcBorders>
          </w:tcPr>
          <w:p>
            <w:pPr>
              <w:spacing w:before="100" w:beforeAutospacing="1" w:after="100" w:afterAutospacing="1"/>
              <w:rPr>
                <w:noProof/>
              </w:rPr>
            </w:pPr>
            <w:r>
              <w:rPr>
                <w:noProof/>
              </w:rPr>
              <w:t>40</w:t>
            </w:r>
          </w:p>
        </w:tc>
        <w:tc>
          <w:tcPr>
            <w:tcW w:w="1984" w:type="dxa"/>
            <w:gridSpan w:val="3"/>
            <w:tcBorders>
              <w:bottom w:val="single" w:sz="4" w:space="0" w:color="auto"/>
            </w:tcBorders>
          </w:tcPr>
          <w:p>
            <w:pPr>
              <w:spacing w:before="100" w:beforeAutospacing="1" w:after="100" w:afterAutospacing="1"/>
              <w:rPr>
                <w:noProof/>
              </w:rPr>
            </w:pPr>
            <w:r>
              <w:rPr>
                <w:noProof/>
              </w:rPr>
              <w:t>50</w:t>
            </w:r>
          </w:p>
        </w:tc>
        <w:tc>
          <w:tcPr>
            <w:tcW w:w="1701" w:type="dxa"/>
            <w:gridSpan w:val="2"/>
            <w:tcBorders>
              <w:bottom w:val="single" w:sz="4" w:space="0" w:color="auto"/>
            </w:tcBorders>
          </w:tcPr>
          <w:p>
            <w:pPr>
              <w:spacing w:before="100" w:beforeAutospacing="1" w:after="100" w:afterAutospacing="1"/>
              <w:rPr>
                <w:noProof/>
              </w:rPr>
            </w:pPr>
            <w:r>
              <w:rPr>
                <w:noProof/>
              </w:rPr>
              <w:t>II</w:t>
            </w:r>
          </w:p>
        </w:tc>
      </w:tr>
      <w:tr>
        <w:tblPrEx>
          <w:tblLook w:val="04A0" w:firstRow="1" w:lastRow="0" w:firstColumn="1" w:lastColumn="0" w:noHBand="0" w:noVBand="1"/>
        </w:tblPrEx>
        <w:tc>
          <w:tcPr>
            <w:tcW w:w="1809" w:type="dxa"/>
            <w:tcBorders>
              <w:top w:val="single" w:sz="4" w:space="0" w:color="auto"/>
              <w:left w:val="single" w:sz="4" w:space="0" w:color="auto"/>
              <w:bottom w:val="nil"/>
              <w:right w:val="single" w:sz="4" w:space="0" w:color="auto"/>
            </w:tcBorders>
          </w:tcPr>
          <w:p>
            <w:pPr>
              <w:spacing w:before="100" w:beforeAutospacing="1" w:after="100" w:afterAutospacing="1"/>
              <w:rPr>
                <w:noProof/>
              </w:rPr>
            </w:pPr>
            <w:r>
              <w:rPr>
                <w:noProof/>
              </w:rPr>
              <w:t>50</w:t>
            </w:r>
          </w:p>
        </w:tc>
        <w:tc>
          <w:tcPr>
            <w:tcW w:w="1985" w:type="dxa"/>
            <w:gridSpan w:val="2"/>
            <w:tcBorders>
              <w:top w:val="single" w:sz="4" w:space="0" w:color="auto"/>
              <w:left w:val="single" w:sz="4" w:space="0" w:color="auto"/>
              <w:bottom w:val="nil"/>
              <w:right w:val="single" w:sz="4" w:space="0" w:color="auto"/>
            </w:tcBorders>
          </w:tcPr>
          <w:p>
            <w:pPr>
              <w:spacing w:before="100" w:beforeAutospacing="1" w:after="100" w:afterAutospacing="1"/>
              <w:rPr>
                <w:noProof/>
              </w:rPr>
            </w:pPr>
            <w:r>
              <w:rPr>
                <w:noProof/>
              </w:rPr>
              <w:t>60</w:t>
            </w:r>
          </w:p>
        </w:tc>
        <w:tc>
          <w:tcPr>
            <w:tcW w:w="1843" w:type="dxa"/>
            <w:gridSpan w:val="3"/>
            <w:tcBorders>
              <w:top w:val="single" w:sz="4" w:space="0" w:color="auto"/>
              <w:left w:val="single" w:sz="4" w:space="0" w:color="auto"/>
              <w:bottom w:val="nil"/>
              <w:right w:val="single" w:sz="4" w:space="0" w:color="auto"/>
            </w:tcBorders>
          </w:tcPr>
          <w:p>
            <w:pPr>
              <w:spacing w:before="100" w:beforeAutospacing="1" w:after="100" w:afterAutospacing="1"/>
              <w:rPr>
                <w:noProof/>
              </w:rPr>
            </w:pPr>
            <w:r>
              <w:rPr>
                <w:noProof/>
              </w:rPr>
              <w:t>50</w:t>
            </w:r>
          </w:p>
        </w:tc>
        <w:tc>
          <w:tcPr>
            <w:tcW w:w="1984" w:type="dxa"/>
            <w:gridSpan w:val="3"/>
            <w:tcBorders>
              <w:top w:val="single" w:sz="4" w:space="0" w:color="auto"/>
              <w:left w:val="single" w:sz="4" w:space="0" w:color="auto"/>
              <w:bottom w:val="nil"/>
              <w:right w:val="single" w:sz="4" w:space="0" w:color="auto"/>
            </w:tcBorders>
          </w:tcPr>
          <w:p>
            <w:pPr>
              <w:spacing w:before="100" w:beforeAutospacing="1" w:after="100" w:afterAutospacing="1"/>
              <w:rPr>
                <w:noProof/>
              </w:rPr>
            </w:pPr>
            <w:r>
              <w:rPr>
                <w:noProof/>
              </w:rPr>
              <w:t>60</w:t>
            </w:r>
          </w:p>
        </w:tc>
        <w:tc>
          <w:tcPr>
            <w:tcW w:w="1701" w:type="dxa"/>
            <w:gridSpan w:val="2"/>
            <w:vMerge w:val="restart"/>
            <w:tcBorders>
              <w:top w:val="single" w:sz="4" w:space="0" w:color="auto"/>
              <w:left w:val="single" w:sz="4" w:space="0" w:color="auto"/>
              <w:right w:val="single" w:sz="4" w:space="0" w:color="auto"/>
            </w:tcBorders>
          </w:tcPr>
          <w:p>
            <w:pPr>
              <w:jc w:val="left"/>
              <w:rPr>
                <w:noProof/>
              </w:rPr>
            </w:pPr>
            <w:r>
              <w:rPr>
                <w:noProof/>
              </w:rPr>
              <w:t>III</w:t>
            </w:r>
          </w:p>
        </w:tc>
      </w:tr>
      <w:tr>
        <w:tblPrEx>
          <w:tblLook w:val="04A0" w:firstRow="1" w:lastRow="0" w:firstColumn="1" w:lastColumn="0" w:noHBand="0" w:noVBand="1"/>
        </w:tblPrEx>
        <w:tc>
          <w:tcPr>
            <w:tcW w:w="1809" w:type="dxa"/>
            <w:tcBorders>
              <w:top w:val="nil"/>
              <w:left w:val="single" w:sz="4" w:space="0" w:color="auto"/>
              <w:bottom w:val="single" w:sz="4" w:space="0" w:color="auto"/>
              <w:right w:val="single" w:sz="4" w:space="0" w:color="auto"/>
            </w:tcBorders>
          </w:tcPr>
          <w:p>
            <w:pPr>
              <w:spacing w:before="100" w:beforeAutospacing="1" w:after="100" w:afterAutospacing="1"/>
              <w:rPr>
                <w:noProof/>
              </w:rPr>
            </w:pPr>
            <w:r>
              <w:rPr>
                <w:noProof/>
              </w:rPr>
              <w:t>60</w:t>
            </w:r>
          </w:p>
        </w:tc>
        <w:tc>
          <w:tcPr>
            <w:tcW w:w="1985" w:type="dxa"/>
            <w:gridSpan w:val="2"/>
            <w:tcBorders>
              <w:top w:val="nil"/>
              <w:left w:val="single" w:sz="4" w:space="0" w:color="auto"/>
              <w:bottom w:val="single" w:sz="4" w:space="0" w:color="auto"/>
              <w:right w:val="single" w:sz="4" w:space="0" w:color="auto"/>
            </w:tcBorders>
          </w:tcPr>
          <w:p>
            <w:pPr>
              <w:spacing w:before="100" w:beforeAutospacing="1" w:after="100" w:afterAutospacing="1"/>
              <w:rPr>
                <w:noProof/>
              </w:rPr>
            </w:pPr>
          </w:p>
        </w:tc>
        <w:tc>
          <w:tcPr>
            <w:tcW w:w="1843" w:type="dxa"/>
            <w:gridSpan w:val="3"/>
            <w:tcBorders>
              <w:top w:val="nil"/>
              <w:left w:val="single" w:sz="4" w:space="0" w:color="auto"/>
              <w:bottom w:val="single" w:sz="4" w:space="0" w:color="auto"/>
              <w:right w:val="single" w:sz="4" w:space="0" w:color="auto"/>
            </w:tcBorders>
          </w:tcPr>
          <w:p>
            <w:pPr>
              <w:spacing w:before="100" w:beforeAutospacing="1" w:after="100" w:afterAutospacing="1"/>
              <w:rPr>
                <w:noProof/>
              </w:rPr>
            </w:pPr>
            <w:r>
              <w:rPr>
                <w:noProof/>
              </w:rPr>
              <w:t>60</w:t>
            </w:r>
          </w:p>
        </w:tc>
        <w:tc>
          <w:tcPr>
            <w:tcW w:w="1984" w:type="dxa"/>
            <w:gridSpan w:val="3"/>
            <w:tcBorders>
              <w:top w:val="nil"/>
              <w:left w:val="single" w:sz="4" w:space="0" w:color="auto"/>
              <w:bottom w:val="single" w:sz="4" w:space="0" w:color="auto"/>
              <w:right w:val="single" w:sz="4" w:space="0" w:color="auto"/>
            </w:tcBorders>
          </w:tcPr>
          <w:p>
            <w:pPr>
              <w:spacing w:before="100" w:beforeAutospacing="1" w:after="100" w:afterAutospacing="1"/>
              <w:rPr>
                <w:noProof/>
              </w:rPr>
            </w:pPr>
          </w:p>
        </w:tc>
        <w:tc>
          <w:tcPr>
            <w:tcW w:w="1701" w:type="dxa"/>
            <w:gridSpan w:val="2"/>
            <w:vMerge/>
            <w:tcBorders>
              <w:left w:val="single" w:sz="4" w:space="0" w:color="auto"/>
              <w:bottom w:val="single" w:sz="4" w:space="0" w:color="auto"/>
              <w:right w:val="single" w:sz="4" w:space="0" w:color="auto"/>
            </w:tcBorders>
          </w:tcPr>
          <w:p>
            <w:pPr>
              <w:spacing w:before="100" w:beforeAutospacing="1" w:after="100" w:afterAutospacing="1"/>
              <w:rPr>
                <w:noProof/>
              </w:rPr>
            </w:pPr>
          </w:p>
        </w:tc>
      </w:tr>
      <w:tr>
        <w:tblPrEx>
          <w:tblLook w:val="04A0" w:firstRow="1" w:lastRow="0" w:firstColumn="1" w:lastColumn="0" w:noHBand="0" w:noVBand="1"/>
        </w:tblPrEx>
        <w:tc>
          <w:tcPr>
            <w:tcW w:w="9322" w:type="dxa"/>
            <w:gridSpan w:val="11"/>
            <w:tcBorders>
              <w:top w:val="single" w:sz="4" w:space="0" w:color="auto"/>
            </w:tcBorders>
          </w:tcPr>
          <w:p>
            <w:pPr>
              <w:spacing w:before="100" w:beforeAutospacing="1" w:after="100" w:afterAutospacing="1"/>
              <w:rPr>
                <w:i/>
                <w:noProof/>
              </w:rPr>
            </w:pPr>
            <w:r>
              <w:rPr>
                <w:i/>
                <w:noProof/>
              </w:rPr>
              <w:t>8 arba 9 ašys</w:t>
            </w:r>
          </w:p>
        </w:tc>
      </w:tr>
      <w:tr>
        <w:tblPrEx>
          <w:tblLook w:val="04A0" w:firstRow="1" w:lastRow="0" w:firstColumn="1" w:lastColumn="0" w:noHBand="0" w:noVBand="1"/>
        </w:tblPrEx>
        <w:tc>
          <w:tcPr>
            <w:tcW w:w="1809" w:type="dxa"/>
          </w:tcPr>
          <w:p>
            <w:pPr>
              <w:spacing w:before="100" w:beforeAutospacing="1" w:after="100" w:afterAutospacing="1"/>
              <w:rPr>
                <w:noProof/>
              </w:rPr>
            </w:pPr>
            <w:r>
              <w:rPr>
                <w:noProof/>
              </w:rPr>
              <w:t>40</w:t>
            </w:r>
          </w:p>
        </w:tc>
        <w:tc>
          <w:tcPr>
            <w:tcW w:w="2019" w:type="dxa"/>
            <w:gridSpan w:val="4"/>
          </w:tcPr>
          <w:p>
            <w:pPr>
              <w:spacing w:before="100" w:beforeAutospacing="1" w:after="100" w:afterAutospacing="1"/>
              <w:rPr>
                <w:noProof/>
              </w:rPr>
            </w:pPr>
            <w:r>
              <w:rPr>
                <w:noProof/>
              </w:rPr>
              <w:t>50</w:t>
            </w:r>
          </w:p>
        </w:tc>
        <w:tc>
          <w:tcPr>
            <w:tcW w:w="1809" w:type="dxa"/>
          </w:tcPr>
          <w:p>
            <w:pPr>
              <w:spacing w:before="100" w:beforeAutospacing="1" w:after="100" w:afterAutospacing="1"/>
              <w:rPr>
                <w:noProof/>
              </w:rPr>
            </w:pPr>
            <w:r>
              <w:rPr>
                <w:noProof/>
              </w:rPr>
              <w:t>40</w:t>
            </w:r>
          </w:p>
        </w:tc>
        <w:tc>
          <w:tcPr>
            <w:tcW w:w="1984" w:type="dxa"/>
            <w:gridSpan w:val="3"/>
          </w:tcPr>
          <w:p>
            <w:pPr>
              <w:spacing w:before="100" w:beforeAutospacing="1" w:after="100" w:afterAutospacing="1"/>
              <w:rPr>
                <w:noProof/>
              </w:rPr>
            </w:pPr>
            <w:r>
              <w:rPr>
                <w:noProof/>
              </w:rPr>
              <w:t>50</w:t>
            </w:r>
          </w:p>
        </w:tc>
        <w:tc>
          <w:tcPr>
            <w:tcW w:w="1701" w:type="dxa"/>
            <w:gridSpan w:val="2"/>
          </w:tcPr>
          <w:p>
            <w:pPr>
              <w:spacing w:before="100" w:beforeAutospacing="1" w:after="100" w:afterAutospacing="1"/>
              <w:rPr>
                <w:noProof/>
              </w:rPr>
            </w:pPr>
            <w:r>
              <w:rPr>
                <w:noProof/>
              </w:rPr>
              <w:t>I</w:t>
            </w:r>
          </w:p>
        </w:tc>
      </w:tr>
      <w:tr>
        <w:tblPrEx>
          <w:tblLook w:val="04A0" w:firstRow="1" w:lastRow="0" w:firstColumn="1" w:lastColumn="0" w:noHBand="0" w:noVBand="1"/>
        </w:tblPrEx>
        <w:tc>
          <w:tcPr>
            <w:tcW w:w="1809" w:type="dxa"/>
          </w:tcPr>
          <w:p>
            <w:pPr>
              <w:spacing w:before="100" w:beforeAutospacing="1" w:after="100" w:afterAutospacing="1"/>
              <w:rPr>
                <w:noProof/>
              </w:rPr>
            </w:pPr>
            <w:r>
              <w:rPr>
                <w:noProof/>
              </w:rPr>
              <w:t>50</w:t>
            </w:r>
          </w:p>
        </w:tc>
        <w:tc>
          <w:tcPr>
            <w:tcW w:w="2019" w:type="dxa"/>
            <w:gridSpan w:val="4"/>
          </w:tcPr>
          <w:p>
            <w:pPr>
              <w:spacing w:before="100" w:beforeAutospacing="1" w:after="100" w:afterAutospacing="1"/>
              <w:rPr>
                <w:noProof/>
              </w:rPr>
            </w:pPr>
            <w:r>
              <w:rPr>
                <w:noProof/>
              </w:rPr>
              <w:t>60</w:t>
            </w:r>
          </w:p>
        </w:tc>
        <w:tc>
          <w:tcPr>
            <w:tcW w:w="1809" w:type="dxa"/>
          </w:tcPr>
          <w:p>
            <w:pPr>
              <w:spacing w:before="100" w:beforeAutospacing="1" w:after="100" w:afterAutospacing="1"/>
              <w:rPr>
                <w:noProof/>
              </w:rPr>
            </w:pPr>
            <w:r>
              <w:rPr>
                <w:noProof/>
              </w:rPr>
              <w:t>50</w:t>
            </w:r>
          </w:p>
        </w:tc>
        <w:tc>
          <w:tcPr>
            <w:tcW w:w="1984" w:type="dxa"/>
            <w:gridSpan w:val="3"/>
          </w:tcPr>
          <w:p>
            <w:pPr>
              <w:spacing w:before="100" w:beforeAutospacing="1" w:after="100" w:afterAutospacing="1"/>
              <w:rPr>
                <w:noProof/>
              </w:rPr>
            </w:pPr>
            <w:r>
              <w:rPr>
                <w:noProof/>
              </w:rPr>
              <w:t>60</w:t>
            </w:r>
          </w:p>
        </w:tc>
        <w:tc>
          <w:tcPr>
            <w:tcW w:w="1701" w:type="dxa"/>
            <w:gridSpan w:val="2"/>
          </w:tcPr>
          <w:p>
            <w:pPr>
              <w:spacing w:before="100" w:beforeAutospacing="1" w:after="100" w:afterAutospacing="1"/>
              <w:rPr>
                <w:noProof/>
              </w:rPr>
            </w:pPr>
            <w:r>
              <w:rPr>
                <w:noProof/>
              </w:rPr>
              <w:t>II</w:t>
            </w:r>
          </w:p>
        </w:tc>
      </w:tr>
      <w:tr>
        <w:tblPrEx>
          <w:tblLook w:val="04A0" w:firstRow="1" w:lastRow="0" w:firstColumn="1" w:lastColumn="0" w:noHBand="0" w:noVBand="1"/>
        </w:tblPrEx>
        <w:tc>
          <w:tcPr>
            <w:tcW w:w="3828" w:type="dxa"/>
            <w:gridSpan w:val="5"/>
          </w:tcPr>
          <w:p>
            <w:pPr>
              <w:spacing w:before="100" w:beforeAutospacing="1" w:after="100" w:afterAutospacing="1"/>
              <w:rPr>
                <w:noProof/>
              </w:rPr>
            </w:pPr>
            <w:r>
              <w:rPr>
                <w:noProof/>
              </w:rPr>
              <w:t>60</w:t>
            </w:r>
          </w:p>
        </w:tc>
        <w:tc>
          <w:tcPr>
            <w:tcW w:w="3793" w:type="dxa"/>
            <w:gridSpan w:val="4"/>
          </w:tcPr>
          <w:p>
            <w:pPr>
              <w:spacing w:before="100" w:beforeAutospacing="1" w:after="100" w:afterAutospacing="1"/>
              <w:rPr>
                <w:noProof/>
              </w:rPr>
            </w:pPr>
            <w:r>
              <w:rPr>
                <w:noProof/>
              </w:rPr>
              <w:t>60</w:t>
            </w:r>
          </w:p>
        </w:tc>
        <w:tc>
          <w:tcPr>
            <w:tcW w:w="1701" w:type="dxa"/>
            <w:gridSpan w:val="2"/>
          </w:tcPr>
          <w:p>
            <w:pPr>
              <w:spacing w:before="100" w:beforeAutospacing="1" w:after="100" w:afterAutospacing="1"/>
              <w:rPr>
                <w:noProof/>
              </w:rPr>
            </w:pPr>
            <w:r>
              <w:rPr>
                <w:noProof/>
              </w:rPr>
              <w:t>III“;</w:t>
            </w:r>
          </w:p>
        </w:tc>
      </w:tr>
    </w:tbl>
    <w:p>
      <w:pPr>
        <w:rPr>
          <w:noProof/>
        </w:rPr>
      </w:pPr>
    </w:p>
    <w:p>
      <w:pPr>
        <w:rPr>
          <w:noProof/>
        </w:rPr>
      </w:pPr>
      <w:r>
        <w:rPr>
          <w:noProof/>
        </w:rPr>
        <w:t>(2)</w:t>
      </w:r>
      <w:r>
        <w:rPr>
          <w:noProof/>
        </w:rPr>
        <w:tab/>
        <w:t>Pridedami šie V, VI ir VII priedai:</w:t>
      </w:r>
    </w:p>
    <w:p>
      <w:pPr>
        <w:jc w:val="center"/>
        <w:rPr>
          <w:rFonts w:eastAsia="Arial Unicode MS"/>
          <w:i/>
          <w:iCs/>
          <w:noProof/>
        </w:rPr>
      </w:pPr>
      <w:r>
        <w:rPr>
          <w:i/>
          <w:noProof/>
        </w:rPr>
        <w:t>„V PRIEDAS</w:t>
      </w:r>
    </w:p>
    <w:p>
      <w:pPr>
        <w:jc w:val="center"/>
        <w:rPr>
          <w:rFonts w:eastAsia="Arial Unicode MS"/>
          <w:b/>
          <w:bCs/>
          <w:noProof/>
        </w:rPr>
      </w:pPr>
      <w:r>
        <w:rPr>
          <w:b/>
          <w:noProof/>
        </w:rPr>
        <w:t>BŪTINIAUSI SPŪSČIŲ MOKESČIO TAIKYMO REIKALAVIMAI</w:t>
      </w:r>
    </w:p>
    <w:p>
      <w:pPr>
        <w:spacing w:after="0"/>
        <w:rPr>
          <w:rFonts w:eastAsia="Arial Unicode MS"/>
          <w:noProof/>
        </w:rPr>
      </w:pPr>
      <w:r>
        <w:rPr>
          <w:noProof/>
        </w:rPr>
        <w:t>Šiame priede nustatomi būtiniausi reikalavimai, kurių turi būti laikomasi taikant spūsčių mokestį.</w:t>
      </w:r>
    </w:p>
    <w:p>
      <w:pPr>
        <w:spacing w:after="0"/>
        <w:rPr>
          <w:rFonts w:eastAsia="Arial Unicode MS"/>
          <w:noProof/>
        </w:rPr>
      </w:pPr>
      <w:r>
        <w:rPr>
          <w:noProof/>
        </w:rPr>
        <w:t>1.   </w:t>
      </w:r>
      <w:r>
        <w:rPr>
          <w:b/>
          <w:noProof/>
        </w:rPr>
        <w:t xml:space="preserve"> Tinklo dalys, kurioms taikomas spūsčių mokestis, atitinkamos transporto priemonės ir laikotarpiai</w:t>
      </w:r>
    </w:p>
    <w:p>
      <w:pPr>
        <w:spacing w:after="0"/>
        <w:rPr>
          <w:rFonts w:eastAsia="Arial Unicode MS"/>
          <w:noProof/>
        </w:rPr>
      </w:pPr>
      <w:r>
        <w:rPr>
          <w:noProof/>
        </w:rPr>
        <w:t>Valstybės narės tiksliai nurodo:</w:t>
      </w:r>
    </w:p>
    <w:p>
      <w:pPr>
        <w:spacing w:after="0"/>
        <w:rPr>
          <w:rFonts w:eastAsia="Arial Unicode MS"/>
          <w:noProof/>
        </w:rPr>
      </w:pPr>
      <w:r>
        <w:rPr>
          <w:noProof/>
        </w:rPr>
        <w:t>a) 7 straipsnio 1 dalyje nurodyto kelių tinklo, kurį sudaro transeuropiniam tinklui priklausanti jos dalis ir jos greitkeliai, dalį arba dalis, kuriose ketinama taikyti spūsčių mokestį pagal 7da straipsnio 1 ir 3 dalis;</w:t>
      </w:r>
    </w:p>
    <w:p>
      <w:pPr>
        <w:spacing w:after="0"/>
        <w:rPr>
          <w:rFonts w:eastAsia="Arial Unicode MS"/>
          <w:noProof/>
        </w:rPr>
      </w:pPr>
      <w:r>
        <w:rPr>
          <w:noProof/>
        </w:rPr>
        <w:t>b) ar tinklo atkarpos, kuriose ketinama taikyti spūsčių mokestį, priklauso metropoliniams ar nemetropoliniams keliams. Klasifikuodamos kiekvieną kelio atkarpą valstybės narės remiasi 1 lentelėje pateiktais kriterijais;</w:t>
      </w:r>
    </w:p>
    <w:p>
      <w:pPr>
        <w:spacing w:after="0"/>
        <w:rPr>
          <w:rFonts w:eastAsia="Arial Unicode MS"/>
          <w:i/>
          <w:noProof/>
        </w:rPr>
      </w:pPr>
      <w:r>
        <w:rPr>
          <w:i/>
          <w:noProof/>
        </w:rPr>
        <w:t>1 lentelė. a punkte nurodyto tinklo kelių klasifikavimo į metropolinius ir nemetropolinius kriterijai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tc>
          <w:tcPr>
            <w:tcW w:w="4644" w:type="dxa"/>
            <w:shd w:val="clear" w:color="auto" w:fill="auto"/>
          </w:tcPr>
          <w:p>
            <w:pPr>
              <w:spacing w:after="0"/>
              <w:rPr>
                <w:rFonts w:eastAsia="Arial Unicode MS"/>
                <w:b/>
                <w:noProof/>
              </w:rPr>
            </w:pPr>
            <w:r>
              <w:rPr>
                <w:b/>
                <w:noProof/>
              </w:rPr>
              <w:t>Kelio kategorija</w:t>
            </w:r>
          </w:p>
        </w:tc>
        <w:tc>
          <w:tcPr>
            <w:tcW w:w="4644" w:type="dxa"/>
            <w:shd w:val="clear" w:color="auto" w:fill="auto"/>
          </w:tcPr>
          <w:p>
            <w:pPr>
              <w:spacing w:after="0"/>
              <w:rPr>
                <w:rFonts w:eastAsia="Arial Unicode MS"/>
                <w:b/>
                <w:noProof/>
              </w:rPr>
            </w:pPr>
            <w:r>
              <w:rPr>
                <w:b/>
                <w:noProof/>
              </w:rPr>
              <w:t>Klasifikavimo kriterijus</w:t>
            </w:r>
          </w:p>
        </w:tc>
      </w:tr>
      <w:tr>
        <w:tc>
          <w:tcPr>
            <w:tcW w:w="4644" w:type="dxa"/>
            <w:shd w:val="clear" w:color="auto" w:fill="auto"/>
          </w:tcPr>
          <w:p>
            <w:pPr>
              <w:spacing w:after="0"/>
              <w:rPr>
                <w:rFonts w:eastAsia="Arial Unicode MS"/>
                <w:noProof/>
              </w:rPr>
            </w:pPr>
            <w:r>
              <w:rPr>
                <w:noProof/>
              </w:rPr>
              <w:t>Metropoliniai</w:t>
            </w:r>
          </w:p>
        </w:tc>
        <w:tc>
          <w:tcPr>
            <w:tcW w:w="4644" w:type="dxa"/>
            <w:shd w:val="clear" w:color="auto" w:fill="auto"/>
          </w:tcPr>
          <w:p>
            <w:pPr>
              <w:spacing w:after="0"/>
              <w:rPr>
                <w:rFonts w:eastAsia="Arial Unicode MS"/>
                <w:noProof/>
              </w:rPr>
            </w:pPr>
            <w:r>
              <w:rPr>
                <w:noProof/>
              </w:rPr>
              <w:t>Tinklo atkarpos, esančios aglomeracijose, kuriose gyvena 250 000 ar daugiau gyventojų.</w:t>
            </w:r>
          </w:p>
        </w:tc>
      </w:tr>
      <w:tr>
        <w:tc>
          <w:tcPr>
            <w:tcW w:w="4644" w:type="dxa"/>
            <w:shd w:val="clear" w:color="auto" w:fill="auto"/>
          </w:tcPr>
          <w:p>
            <w:pPr>
              <w:spacing w:after="0"/>
              <w:rPr>
                <w:rFonts w:eastAsia="Arial Unicode MS"/>
                <w:noProof/>
              </w:rPr>
            </w:pPr>
            <w:r>
              <w:rPr>
                <w:noProof/>
              </w:rPr>
              <w:t>Nemetropoliniai</w:t>
            </w:r>
          </w:p>
        </w:tc>
        <w:tc>
          <w:tcPr>
            <w:tcW w:w="4644" w:type="dxa"/>
            <w:shd w:val="clear" w:color="auto" w:fill="auto"/>
          </w:tcPr>
          <w:p>
            <w:pPr>
              <w:spacing w:after="0"/>
              <w:rPr>
                <w:rFonts w:eastAsia="Arial Unicode MS"/>
                <w:noProof/>
              </w:rPr>
            </w:pPr>
            <w:r>
              <w:rPr>
                <w:noProof/>
              </w:rPr>
              <w:t>Tinklo atkarpos, nepriskiriamos metropoliniams keliams.</w:t>
            </w:r>
          </w:p>
        </w:tc>
      </w:tr>
    </w:tbl>
    <w:p>
      <w:pPr>
        <w:spacing w:after="0"/>
        <w:rPr>
          <w:rFonts w:eastAsia="Arial Unicode MS"/>
          <w:noProof/>
        </w:rPr>
      </w:pPr>
      <w:r>
        <w:rPr>
          <w:noProof/>
        </w:rPr>
        <w:t>c) mokesčio taikymo kiekviename atskirame segmente laikotarpius. Jei per apmokestinimo laikotarpį taikomi skirtingo dydžio mokesčiai, valstybės narės aiškiai nurodo kiekvieno konkretaus dydžio mokesčio taikymo pradžią ir pabaigą.</w:t>
      </w:r>
    </w:p>
    <w:p>
      <w:pPr>
        <w:spacing w:after="0"/>
        <w:rPr>
          <w:noProof/>
        </w:rPr>
      </w:pPr>
      <w:r>
        <w:rPr>
          <w:noProof/>
        </w:rPr>
        <w:t>Nustatydamos skirtingų kategorijų transporto priemonėms taikomų mokesčio dydžių proporciją valstybės narės naudoja 2 lentelėje pateiktus ekvivalentiškumo koeficientus.</w:t>
      </w:r>
    </w:p>
    <w:p>
      <w:pPr>
        <w:spacing w:after="0"/>
        <w:rPr>
          <w:rFonts w:eastAsia="Arial Unicode MS"/>
          <w:i/>
          <w:noProof/>
        </w:rPr>
      </w:pPr>
      <w:r>
        <w:rPr>
          <w:i/>
          <w:noProof/>
        </w:rPr>
        <w:t>2 lentelė. Ekvivalentiškumo koeficientai, naudojami nustatant skirtingų kategorijų transporto priemonėms taikomų spūsčių mokesčio dydžių proporciją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tc>
          <w:tcPr>
            <w:tcW w:w="4644" w:type="dxa"/>
          </w:tcPr>
          <w:p>
            <w:pPr>
              <w:spacing w:after="0"/>
              <w:rPr>
                <w:rFonts w:eastAsia="Arial Unicode MS"/>
                <w:b/>
                <w:noProof/>
              </w:rPr>
            </w:pPr>
            <w:r>
              <w:rPr>
                <w:b/>
                <w:noProof/>
              </w:rPr>
              <w:t>Transporto priemonių kategorija</w:t>
            </w:r>
          </w:p>
        </w:tc>
        <w:tc>
          <w:tcPr>
            <w:tcW w:w="4644" w:type="dxa"/>
          </w:tcPr>
          <w:p>
            <w:pPr>
              <w:spacing w:after="0"/>
              <w:rPr>
                <w:rFonts w:eastAsia="Arial Unicode MS"/>
                <w:b/>
                <w:noProof/>
              </w:rPr>
            </w:pPr>
            <w:r>
              <w:rPr>
                <w:b/>
                <w:noProof/>
              </w:rPr>
              <w:t>Ekvivalentiškumo koeficientas</w:t>
            </w:r>
          </w:p>
        </w:tc>
      </w:tr>
      <w:tr>
        <w:tc>
          <w:tcPr>
            <w:tcW w:w="4644" w:type="dxa"/>
          </w:tcPr>
          <w:p>
            <w:pPr>
              <w:spacing w:after="0"/>
              <w:rPr>
                <w:rFonts w:eastAsia="Arial Unicode MS"/>
                <w:noProof/>
              </w:rPr>
            </w:pPr>
            <w:r>
              <w:rPr>
                <w:noProof/>
              </w:rPr>
              <w:t>Lengvosios transporto priemonės</w:t>
            </w:r>
          </w:p>
        </w:tc>
        <w:tc>
          <w:tcPr>
            <w:tcW w:w="4644" w:type="dxa"/>
          </w:tcPr>
          <w:p>
            <w:pPr>
              <w:spacing w:after="0"/>
              <w:rPr>
                <w:rFonts w:eastAsia="Arial Unicode MS"/>
                <w:noProof/>
              </w:rPr>
            </w:pPr>
            <w:r>
              <w:rPr>
                <w:noProof/>
              </w:rPr>
              <w:t>1</w:t>
            </w:r>
          </w:p>
        </w:tc>
      </w:tr>
      <w:tr>
        <w:tc>
          <w:tcPr>
            <w:tcW w:w="4644" w:type="dxa"/>
          </w:tcPr>
          <w:p>
            <w:pPr>
              <w:spacing w:after="0"/>
              <w:rPr>
                <w:rFonts w:eastAsia="Arial Unicode MS"/>
                <w:noProof/>
              </w:rPr>
            </w:pPr>
            <w:r>
              <w:rPr>
                <w:noProof/>
              </w:rPr>
              <w:t>Vientisos sunkiasvorės krovininės transporto priemonės</w:t>
            </w:r>
          </w:p>
        </w:tc>
        <w:tc>
          <w:tcPr>
            <w:tcW w:w="4644" w:type="dxa"/>
          </w:tcPr>
          <w:p>
            <w:pPr>
              <w:spacing w:after="0"/>
              <w:rPr>
                <w:rFonts w:eastAsia="Arial Unicode MS"/>
                <w:noProof/>
              </w:rPr>
            </w:pPr>
            <w:r>
              <w:rPr>
                <w:noProof/>
              </w:rPr>
              <w:t>1,9</w:t>
            </w:r>
          </w:p>
        </w:tc>
      </w:tr>
      <w:tr>
        <w:tc>
          <w:tcPr>
            <w:tcW w:w="4644" w:type="dxa"/>
          </w:tcPr>
          <w:p>
            <w:pPr>
              <w:spacing w:after="0"/>
              <w:rPr>
                <w:rFonts w:eastAsia="Arial Unicode MS"/>
                <w:noProof/>
              </w:rPr>
            </w:pPr>
            <w:r>
              <w:rPr>
                <w:noProof/>
              </w:rPr>
              <w:t>Vietos ir tarpmiestiniai autobusai</w:t>
            </w:r>
          </w:p>
        </w:tc>
        <w:tc>
          <w:tcPr>
            <w:tcW w:w="4644" w:type="dxa"/>
          </w:tcPr>
          <w:p>
            <w:pPr>
              <w:spacing w:after="0"/>
              <w:rPr>
                <w:rFonts w:eastAsia="Arial Unicode MS"/>
                <w:noProof/>
              </w:rPr>
            </w:pPr>
            <w:r>
              <w:rPr>
                <w:noProof/>
              </w:rPr>
              <w:t>2,5</w:t>
            </w:r>
          </w:p>
        </w:tc>
      </w:tr>
      <w:tr>
        <w:tc>
          <w:tcPr>
            <w:tcW w:w="4644" w:type="dxa"/>
          </w:tcPr>
          <w:p>
            <w:pPr>
              <w:spacing w:after="0"/>
              <w:rPr>
                <w:rFonts w:eastAsia="Arial Unicode MS"/>
                <w:noProof/>
              </w:rPr>
            </w:pPr>
            <w:r>
              <w:rPr>
                <w:noProof/>
              </w:rPr>
              <w:t>Sujungtosios sunkiasvorės krovininės transporto priemonės</w:t>
            </w:r>
          </w:p>
        </w:tc>
        <w:tc>
          <w:tcPr>
            <w:tcW w:w="4644" w:type="dxa"/>
          </w:tcPr>
          <w:p>
            <w:pPr>
              <w:spacing w:after="0"/>
              <w:rPr>
                <w:rFonts w:eastAsia="Arial Unicode MS"/>
                <w:noProof/>
              </w:rPr>
            </w:pPr>
            <w:r>
              <w:rPr>
                <w:noProof/>
              </w:rPr>
              <w:t>2,9</w:t>
            </w:r>
          </w:p>
        </w:tc>
      </w:tr>
    </w:tbl>
    <w:p>
      <w:pPr>
        <w:spacing w:after="0"/>
        <w:rPr>
          <w:noProof/>
        </w:rPr>
      </w:pPr>
    </w:p>
    <w:p>
      <w:pPr>
        <w:spacing w:after="0"/>
        <w:rPr>
          <w:rFonts w:eastAsia="Arial Unicode MS"/>
          <w:noProof/>
        </w:rPr>
      </w:pPr>
      <w:r>
        <w:rPr>
          <w:noProof/>
        </w:rPr>
        <w:t>2.   </w:t>
      </w:r>
      <w:r>
        <w:rPr>
          <w:b/>
          <w:noProof/>
        </w:rPr>
        <w:t xml:space="preserve"> Mokesčio suma</w:t>
      </w:r>
    </w:p>
    <w:p>
      <w:pPr>
        <w:spacing w:after="0"/>
        <w:rPr>
          <w:rFonts w:eastAsia="Arial Unicode MS"/>
          <w:noProof/>
        </w:rPr>
      </w:pPr>
      <w:r>
        <w:rPr>
          <w:noProof/>
        </w:rPr>
        <w:t>Kiekvienai transporto priemonių kategorijai, kelio segmentui ir laikotarpiui valstybė narė arba atitinkamais atvejais nepriklausoma institucija nustato vieną konkrečią sumą laikydamasi šio priedo 1 skirsnio nuostatų ir atsižvelgdama į VI priedo lentelėje nurodytą atitinkamą maksimalią vertę. Tokia apmokestinimo struktūra turi būti skaidri, skelbiama viešai ir visiems naudotojams taikoma vienodomis sąlygomis.</w:t>
      </w:r>
    </w:p>
    <w:p>
      <w:pPr>
        <w:spacing w:after="0"/>
        <w:rPr>
          <w:rFonts w:eastAsia="Arial Unicode MS"/>
          <w:noProof/>
        </w:rPr>
      </w:pPr>
      <w:r>
        <w:rPr>
          <w:noProof/>
        </w:rPr>
        <w:t>Likus pakankamai laiko iki spūsčių mokesčio įvedimo valstybė narė paskelbia abu šiuos elementus:</w:t>
      </w:r>
    </w:p>
    <w:p>
      <w:pPr>
        <w:spacing w:after="0"/>
        <w:rPr>
          <w:rFonts w:eastAsia="Arial Unicode MS"/>
          <w:noProof/>
        </w:rPr>
      </w:pPr>
      <w:r>
        <w:rPr>
          <w:noProof/>
        </w:rPr>
        <w:t>a)</w:t>
      </w:r>
      <w:r>
        <w:rPr>
          <w:noProof/>
        </w:rPr>
        <w:tab/>
        <w:t>visus parametrus, duomenis ir kitą informaciją, būtinus norint suprasti, kaip nustatyta kelių ir transporto priemonių klasifikacija ir kaip apibrėžiami mokesčio taikymo laikotarpiai;</w:t>
      </w:r>
    </w:p>
    <w:p>
      <w:pPr>
        <w:spacing w:after="0"/>
        <w:rPr>
          <w:rFonts w:eastAsia="Arial Unicode MS"/>
          <w:noProof/>
        </w:rPr>
      </w:pPr>
      <w:r>
        <w:rPr>
          <w:noProof/>
        </w:rPr>
        <w:t>b)</w:t>
      </w:r>
      <w:r>
        <w:rPr>
          <w:noProof/>
        </w:rPr>
        <w:tab/>
        <w:t xml:space="preserve">išsamų kiekvienai transporto priemonių kategorijai, kelio atkarpai ir laikotarpiui taikomo spūsčių mokesčio aprašymą. </w:t>
      </w:r>
    </w:p>
    <w:p>
      <w:pPr>
        <w:spacing w:after="0"/>
        <w:rPr>
          <w:rFonts w:eastAsia="Arial Unicode MS"/>
          <w:noProof/>
        </w:rPr>
      </w:pPr>
      <w:r>
        <w:rPr>
          <w:noProof/>
        </w:rPr>
        <w:t>Valstybės narės pateikia Komisijai visą informaciją, skelbtiną pagal a ir b punktus.</w:t>
      </w:r>
    </w:p>
    <w:p>
      <w:pPr>
        <w:spacing w:after="0"/>
        <w:rPr>
          <w:rFonts w:eastAsia="Arial Unicode MS"/>
          <w:noProof/>
        </w:rPr>
      </w:pPr>
      <w:r>
        <w:rPr>
          <w:noProof/>
        </w:rPr>
        <w:t>Mokestis nustatomas tik atsižvelgus į eismo nukreipimo riziką ir jo neigiamą poveikį kelių eismo saugai, aplinkai bei grūstims ir į sprendimus, kuriais galima šią riziką sumažinti.</w:t>
      </w:r>
    </w:p>
    <w:p>
      <w:pPr>
        <w:spacing w:after="0"/>
        <w:rPr>
          <w:rFonts w:eastAsia="Arial Unicode MS"/>
          <w:noProof/>
        </w:rPr>
      </w:pPr>
      <w:r>
        <w:rPr>
          <w:noProof/>
        </w:rPr>
        <w:t>Valstybė narė arba atitinkamais atvejais nepriklausoma institucija stebi apmokestinimo schemos veiksmingumą mažinant grūstis. Prireikus ji kasmet koreguoja apmokestinimo struktūrą, apmokestinimo laikotarpį (-ius) ir konkrečią mokesčio sumą, nustatytą kiekvienai transporto priemonių kategorijai, kelio tipui ir laikotarpiui, atsižvelgdama į transporto pasiūlos ir paklausos pokyčius.</w:t>
      </w:r>
    </w:p>
    <w:p>
      <w:pPr>
        <w:spacing w:before="0" w:after="200" w:line="276" w:lineRule="auto"/>
        <w:jc w:val="left"/>
        <w:rPr>
          <w:rFonts w:eastAsia="Arial Unicode MS"/>
          <w:noProof/>
        </w:rPr>
      </w:pPr>
    </w:p>
    <w:p>
      <w:pPr>
        <w:jc w:val="center"/>
        <w:rPr>
          <w:rFonts w:eastAsia="Arial Unicode MS"/>
          <w:i/>
          <w:iCs/>
          <w:noProof/>
        </w:rPr>
      </w:pPr>
      <w:r>
        <w:rPr>
          <w:i/>
          <w:noProof/>
        </w:rPr>
        <w:t>VI PRIEDAS</w:t>
      </w:r>
    </w:p>
    <w:p>
      <w:pPr>
        <w:spacing w:after="0"/>
        <w:jc w:val="center"/>
        <w:rPr>
          <w:rFonts w:eastAsia="Arial Unicode MS"/>
          <w:b/>
          <w:bCs/>
          <w:noProof/>
        </w:rPr>
      </w:pPr>
      <w:r>
        <w:rPr>
          <w:b/>
          <w:noProof/>
        </w:rPr>
        <w:t>SPŪSČIŲ MOKESČIO MAKSIMALUSIS DYDIS</w:t>
      </w:r>
    </w:p>
    <w:p>
      <w:pPr>
        <w:spacing w:after="0"/>
        <w:rPr>
          <w:rFonts w:eastAsia="Arial Unicode MS"/>
          <w:noProof/>
        </w:rPr>
      </w:pPr>
      <w:r>
        <w:rPr>
          <w:noProof/>
        </w:rPr>
        <w:t>Šiame priede nustatomas maksimalus spūsčių mokesčio dydis.</w:t>
      </w:r>
    </w:p>
    <w:p>
      <w:pPr>
        <w:spacing w:after="0"/>
        <w:rPr>
          <w:rFonts w:eastAsia="Arial Unicode MS"/>
          <w:noProof/>
        </w:rPr>
      </w:pPr>
      <w:r>
        <w:rPr>
          <w:noProof/>
        </w:rPr>
        <w:t>Lentelėje pateikti maksimalieji dydžiai taikomi lengvosioms transporto priemonėms. Mokesčiai kitų kategorijų transporto priemonėms nustatomi lengvosioms transporto priemonėms taikomą mokestį dauginant iš V priedo lentelėje pateikto ekvivalentiškumo koeficiento.</w:t>
      </w:r>
    </w:p>
    <w:tbl>
      <w:tblPr>
        <w:tblpPr w:leftFromText="180" w:rightFromText="180" w:vertAnchor="text" w:horzAnchor="page" w:tblpX="1903" w:tblpY="709"/>
        <w:tblW w:w="6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2001"/>
        <w:gridCol w:w="2567"/>
      </w:tblGrid>
      <w:tr>
        <w:tc>
          <w:tcPr>
            <w:tcW w:w="1523" w:type="pct"/>
          </w:tcPr>
          <w:p>
            <w:pPr>
              <w:spacing w:before="100" w:beforeAutospacing="1" w:after="100" w:afterAutospacing="1"/>
              <w:jc w:val="center"/>
              <w:rPr>
                <w:b/>
                <w:bCs/>
                <w:noProof/>
              </w:rPr>
            </w:pPr>
            <w:r>
              <w:rPr>
                <w:b/>
                <w:noProof/>
              </w:rPr>
              <w:t>Centų už transporto priemonės nuvažiuotus km</w:t>
            </w:r>
          </w:p>
        </w:tc>
        <w:tc>
          <w:tcPr>
            <w:tcW w:w="1523" w:type="pct"/>
            <w:hideMark/>
          </w:tcPr>
          <w:p>
            <w:pPr>
              <w:spacing w:before="100" w:beforeAutospacing="1" w:after="100" w:afterAutospacing="1"/>
              <w:jc w:val="center"/>
              <w:rPr>
                <w:b/>
                <w:noProof/>
              </w:rPr>
            </w:pPr>
            <w:r>
              <w:rPr>
                <w:b/>
                <w:noProof/>
              </w:rPr>
              <w:t>Metropoliniai keliai</w:t>
            </w:r>
          </w:p>
        </w:tc>
        <w:tc>
          <w:tcPr>
            <w:tcW w:w="1954" w:type="pct"/>
            <w:hideMark/>
          </w:tcPr>
          <w:p>
            <w:pPr>
              <w:spacing w:before="100" w:beforeAutospacing="1" w:after="100" w:afterAutospacing="1"/>
              <w:jc w:val="center"/>
              <w:rPr>
                <w:b/>
                <w:noProof/>
              </w:rPr>
            </w:pPr>
            <w:r>
              <w:rPr>
                <w:b/>
                <w:noProof/>
              </w:rPr>
              <w:t>Nemetropoliniai keliai</w:t>
            </w:r>
          </w:p>
        </w:tc>
      </w:tr>
      <w:tr>
        <w:tc>
          <w:tcPr>
            <w:tcW w:w="1523" w:type="pct"/>
          </w:tcPr>
          <w:p>
            <w:pPr>
              <w:spacing w:before="100" w:beforeAutospacing="1" w:after="100" w:afterAutospacing="1"/>
              <w:jc w:val="center"/>
              <w:rPr>
                <w:noProof/>
              </w:rPr>
            </w:pPr>
            <w:r>
              <w:rPr>
                <w:noProof/>
              </w:rPr>
              <w:t>Greitkeliai</w:t>
            </w:r>
          </w:p>
        </w:tc>
        <w:tc>
          <w:tcPr>
            <w:tcW w:w="1523" w:type="pct"/>
            <w:hideMark/>
          </w:tcPr>
          <w:p>
            <w:pPr>
              <w:spacing w:before="100" w:beforeAutospacing="1" w:after="100" w:afterAutospacing="1"/>
              <w:jc w:val="center"/>
              <w:rPr>
                <w:noProof/>
              </w:rPr>
            </w:pPr>
            <w:r>
              <w:rPr>
                <w:noProof/>
              </w:rPr>
              <w:t>67</w:t>
            </w:r>
          </w:p>
        </w:tc>
        <w:tc>
          <w:tcPr>
            <w:tcW w:w="1954" w:type="pct"/>
            <w:hideMark/>
          </w:tcPr>
          <w:p>
            <w:pPr>
              <w:spacing w:before="100" w:beforeAutospacing="1" w:after="100" w:afterAutospacing="1"/>
              <w:jc w:val="center"/>
              <w:rPr>
                <w:noProof/>
              </w:rPr>
            </w:pPr>
            <w:r>
              <w:rPr>
                <w:noProof/>
              </w:rPr>
              <w:t>34</w:t>
            </w:r>
          </w:p>
        </w:tc>
      </w:tr>
      <w:tr>
        <w:tc>
          <w:tcPr>
            <w:tcW w:w="1523" w:type="pct"/>
          </w:tcPr>
          <w:p>
            <w:pPr>
              <w:spacing w:before="100" w:beforeAutospacing="1" w:after="100" w:afterAutospacing="1"/>
              <w:jc w:val="center"/>
              <w:rPr>
                <w:noProof/>
              </w:rPr>
            </w:pPr>
            <w:r>
              <w:rPr>
                <w:noProof/>
              </w:rPr>
              <w:t>Pagrindiniai keliai</w:t>
            </w:r>
          </w:p>
        </w:tc>
        <w:tc>
          <w:tcPr>
            <w:tcW w:w="1523" w:type="pct"/>
          </w:tcPr>
          <w:p>
            <w:pPr>
              <w:spacing w:before="100" w:beforeAutospacing="1" w:after="100" w:afterAutospacing="1"/>
              <w:jc w:val="center"/>
              <w:rPr>
                <w:noProof/>
              </w:rPr>
            </w:pPr>
            <w:r>
              <w:rPr>
                <w:noProof/>
              </w:rPr>
              <w:t>198</w:t>
            </w:r>
          </w:p>
        </w:tc>
        <w:tc>
          <w:tcPr>
            <w:tcW w:w="1954" w:type="pct"/>
          </w:tcPr>
          <w:p>
            <w:pPr>
              <w:spacing w:before="100" w:beforeAutospacing="1" w:after="100" w:afterAutospacing="1"/>
              <w:jc w:val="center"/>
              <w:rPr>
                <w:noProof/>
              </w:rPr>
            </w:pPr>
            <w:r>
              <w:rPr>
                <w:noProof/>
              </w:rPr>
              <w:t>66</w:t>
            </w:r>
          </w:p>
        </w:tc>
      </w:tr>
    </w:tbl>
    <w:p>
      <w:pPr>
        <w:spacing w:before="240" w:after="0"/>
        <w:ind w:left="806" w:hanging="403"/>
        <w:rPr>
          <w:rFonts w:eastAsia="Arial Unicode MS"/>
          <w:i/>
          <w:noProof/>
        </w:rPr>
      </w:pPr>
      <w:r>
        <w:rPr>
          <w:i/>
          <w:noProof/>
        </w:rPr>
        <w:t>Lentelė. Lengvosioms transporto priemonėms taikomo spūsčių mokesčio maksimalusis dydis</w:t>
      </w:r>
    </w:p>
    <w:p>
      <w:pPr>
        <w:spacing w:before="100" w:beforeAutospacing="1" w:after="0"/>
        <w:ind w:left="806" w:hanging="403"/>
        <w:rPr>
          <w:rFonts w:eastAsia="Arial Unicode MS"/>
          <w:i/>
          <w:noProof/>
        </w:rPr>
      </w:pPr>
    </w:p>
    <w:p>
      <w:pPr>
        <w:spacing w:before="100" w:beforeAutospacing="1" w:after="0"/>
        <w:ind w:left="806" w:hanging="403"/>
        <w:rPr>
          <w:rFonts w:eastAsia="Arial Unicode MS"/>
          <w:i/>
          <w:iCs/>
          <w:noProof/>
        </w:rPr>
      </w:pPr>
    </w:p>
    <w:p>
      <w:pPr>
        <w:jc w:val="center"/>
        <w:rPr>
          <w:rFonts w:eastAsia="Arial Unicode MS"/>
          <w:i/>
          <w:iCs/>
          <w:noProof/>
        </w:rPr>
      </w:pPr>
    </w:p>
    <w:p>
      <w:pPr>
        <w:spacing w:before="0" w:after="200" w:line="276" w:lineRule="auto"/>
        <w:jc w:val="left"/>
        <w:rPr>
          <w:rFonts w:eastAsia="Arial Unicode MS"/>
          <w:i/>
          <w:iCs/>
          <w:noProof/>
        </w:rPr>
      </w:pPr>
      <w:r>
        <w:rPr>
          <w:noProof/>
        </w:rPr>
        <w:br w:type="page"/>
      </w:r>
    </w:p>
    <w:p>
      <w:pPr>
        <w:jc w:val="center"/>
        <w:rPr>
          <w:rFonts w:eastAsia="Arial Unicode MS"/>
          <w:i/>
          <w:iCs/>
          <w:noProof/>
        </w:rPr>
      </w:pPr>
      <w:r>
        <w:rPr>
          <w:i/>
          <w:noProof/>
        </w:rPr>
        <w:t>VII PRIEDAS</w:t>
      </w:r>
    </w:p>
    <w:p>
      <w:pPr>
        <w:spacing w:after="0"/>
        <w:jc w:val="center"/>
        <w:rPr>
          <w:rFonts w:eastAsia="Arial Unicode MS"/>
          <w:b/>
          <w:bCs/>
          <w:noProof/>
        </w:rPr>
      </w:pPr>
      <w:r>
        <w:rPr>
          <w:b/>
          <w:noProof/>
        </w:rPr>
        <w:t>LANGVOSIOMS TRANSPORTO PRIEMONĖMS TAIKOMŲ RINKLIAVŲ IR NAUDOTOJO MOKESČIŲ DIFERENCIJAVIMAS</w:t>
      </w:r>
    </w:p>
    <w:p>
      <w:pPr>
        <w:spacing w:after="0"/>
        <w:rPr>
          <w:rFonts w:eastAsia="Arial Unicode MS"/>
          <w:noProof/>
        </w:rPr>
      </w:pPr>
    </w:p>
    <w:p>
      <w:pPr>
        <w:spacing w:after="0"/>
        <w:rPr>
          <w:rFonts w:eastAsia="Arial Unicode MS"/>
          <w:noProof/>
        </w:rPr>
      </w:pPr>
      <w:r>
        <w:rPr>
          <w:noProof/>
        </w:rPr>
        <w:t>Šiame priede nustatomos kategorijos pagal išmetamų teršalų kiekį, kuriomis remiantis diferencijuojamos rinkliavos ir naudotojo mokesčiai.</w:t>
      </w:r>
    </w:p>
    <w:p>
      <w:pPr>
        <w:spacing w:after="0"/>
        <w:rPr>
          <w:rFonts w:eastAsia="Arial Unicode MS"/>
          <w:noProof/>
        </w:rPr>
      </w:pPr>
      <w:r>
        <w:rPr>
          <w:noProof/>
        </w:rPr>
        <w:t>Išmetamų teršalų kiekis matuojamas pagal Komisijos reglamentą (ES) Nr. .../...*.</w:t>
      </w:r>
    </w:p>
    <w:p>
      <w:pPr>
        <w:spacing w:after="0"/>
        <w:rPr>
          <w:rFonts w:eastAsia="Arial Unicode MS"/>
          <w:noProof/>
        </w:rPr>
      </w:pPr>
      <w:r>
        <w:rPr>
          <w:noProof/>
        </w:rPr>
        <w:t>Mažiausi tarifai taikomi lengviesiems automobiliams ir lengvosioms komercinėms transporto priemonėms, išmetančioms pagal Europos Parlamento ir Tarybos Reglamentą (EB) Nr. 715/2007** išmatuotą konkretų CO</w:t>
      </w:r>
      <w:r>
        <w:rPr>
          <w:noProof/>
          <w:vertAlign w:val="subscript"/>
        </w:rPr>
        <w:t>2</w:t>
      </w:r>
      <w:r>
        <w:rPr>
          <w:noProof/>
        </w:rPr>
        <w:t xml:space="preserve"> kiekį, kuris yra mažesnis už kiekį, atitinkantį Europos Parlamento ir Tarybos reglamentuose (EB) Nr. 443/2009*** ir (ES) Nr. 510/2011**** nustatytus visam ES transporto priemonių parkui taikomus tikslus.</w:t>
      </w:r>
    </w:p>
    <w:p>
      <w:pPr>
        <w:spacing w:after="0"/>
        <w:rPr>
          <w:rFonts w:eastAsia="Arial Unicode MS"/>
          <w:i/>
          <w:noProof/>
        </w:rPr>
      </w:pPr>
      <w:r>
        <w:rPr>
          <w:i/>
          <w:noProof/>
        </w:rPr>
        <w:t>Lentelė. Lengvųjų transporto priemonių kategorijos pagal išmetamų teršalų kiekį</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1888"/>
        <w:gridCol w:w="1889"/>
        <w:gridCol w:w="1801"/>
        <w:gridCol w:w="1801"/>
      </w:tblGrid>
      <w:tr>
        <w:trPr>
          <w:trHeight w:val="832"/>
        </w:trPr>
        <w:tc>
          <w:tcPr>
            <w:tcW w:w="981" w:type="pct"/>
            <w:shd w:val="clear" w:color="auto" w:fill="FFFFFF" w:themeFill="background1"/>
            <w:vAlign w:val="center"/>
          </w:tcPr>
          <w:p>
            <w:pPr>
              <w:spacing w:before="100" w:beforeAutospacing="1" w:after="100" w:afterAutospacing="1"/>
              <w:jc w:val="center"/>
              <w:rPr>
                <w:b/>
                <w:noProof/>
              </w:rPr>
            </w:pPr>
            <w:r>
              <w:rPr>
                <w:b/>
                <w:noProof/>
              </w:rPr>
              <w:t>Atitikties koeficientas</w:t>
            </w:r>
          </w:p>
        </w:tc>
        <w:tc>
          <w:tcPr>
            <w:tcW w:w="1028" w:type="pct"/>
            <w:shd w:val="clear" w:color="auto" w:fill="FFFFFF" w:themeFill="background1"/>
            <w:vAlign w:val="center"/>
          </w:tcPr>
          <w:p>
            <w:pPr>
              <w:spacing w:before="100" w:beforeAutospacing="1" w:after="100" w:afterAutospacing="1"/>
              <w:jc w:val="center"/>
              <w:rPr>
                <w:b/>
                <w:noProof/>
              </w:rPr>
            </w:pPr>
            <w:r>
              <w:rPr>
                <w:b/>
                <w:noProof/>
              </w:rPr>
              <w:t>1,5-2,1</w:t>
            </w:r>
          </w:p>
        </w:tc>
        <w:tc>
          <w:tcPr>
            <w:tcW w:w="1029" w:type="pct"/>
            <w:shd w:val="clear" w:color="auto" w:fill="FFFFFF" w:themeFill="background1"/>
            <w:vAlign w:val="center"/>
          </w:tcPr>
          <w:p>
            <w:pPr>
              <w:spacing w:before="100" w:beforeAutospacing="1" w:after="100" w:afterAutospacing="1"/>
              <w:jc w:val="center"/>
              <w:rPr>
                <w:b/>
                <w:noProof/>
              </w:rPr>
            </w:pPr>
            <w:r>
              <w:rPr>
                <w:b/>
                <w:noProof/>
              </w:rPr>
              <w:t>1-1,5</w:t>
            </w:r>
          </w:p>
        </w:tc>
        <w:tc>
          <w:tcPr>
            <w:tcW w:w="981" w:type="pct"/>
            <w:shd w:val="clear" w:color="auto" w:fill="FFFFFF" w:themeFill="background1"/>
            <w:vAlign w:val="center"/>
          </w:tcPr>
          <w:p>
            <w:pPr>
              <w:spacing w:before="100" w:beforeAutospacing="1" w:after="100" w:afterAutospacing="1"/>
              <w:jc w:val="center"/>
              <w:rPr>
                <w:b/>
                <w:noProof/>
              </w:rPr>
            </w:pPr>
            <w:r>
              <w:rPr>
                <w:b/>
                <w:noProof/>
              </w:rPr>
              <w:t>Mažiau nei 1</w:t>
            </w:r>
          </w:p>
        </w:tc>
        <w:tc>
          <w:tcPr>
            <w:tcW w:w="981" w:type="pct"/>
            <w:shd w:val="clear" w:color="auto" w:fill="FFFFFF" w:themeFill="background1"/>
            <w:vAlign w:val="center"/>
          </w:tcPr>
          <w:p>
            <w:pPr>
              <w:spacing w:before="100" w:beforeAutospacing="1" w:after="100" w:afterAutospacing="1"/>
              <w:jc w:val="center"/>
              <w:rPr>
                <w:b/>
                <w:noProof/>
              </w:rPr>
            </w:pPr>
            <w:r>
              <w:rPr>
                <w:b/>
                <w:noProof/>
              </w:rPr>
              <w:t>Netaršios transporto priemonės</w:t>
            </w:r>
          </w:p>
        </w:tc>
      </w:tr>
      <w:tr>
        <w:trPr>
          <w:trHeight w:val="832"/>
        </w:trPr>
        <w:tc>
          <w:tcPr>
            <w:tcW w:w="981" w:type="pct"/>
            <w:vAlign w:val="center"/>
          </w:tcPr>
          <w:p>
            <w:pPr>
              <w:spacing w:before="100" w:beforeAutospacing="1" w:after="100" w:afterAutospacing="1"/>
              <w:jc w:val="center"/>
              <w:rPr>
                <w:b/>
                <w:noProof/>
              </w:rPr>
            </w:pPr>
            <w:r>
              <w:rPr>
                <w:b/>
                <w:noProof/>
              </w:rPr>
              <w:t>Mokestis už km</w:t>
            </w:r>
          </w:p>
        </w:tc>
        <w:tc>
          <w:tcPr>
            <w:tcW w:w="1028" w:type="pct"/>
            <w:shd w:val="clear" w:color="auto" w:fill="FFFFFF"/>
            <w:vAlign w:val="center"/>
          </w:tcPr>
          <w:p>
            <w:pPr>
              <w:spacing w:before="100" w:beforeAutospacing="1" w:after="100" w:afterAutospacing="1"/>
              <w:jc w:val="center"/>
              <w:rPr>
                <w:noProof/>
              </w:rPr>
            </w:pPr>
            <w:r>
              <w:rPr>
                <w:noProof/>
              </w:rPr>
              <w:t>10 % mažesnis už didžiausią tarifą</w:t>
            </w:r>
          </w:p>
        </w:tc>
        <w:tc>
          <w:tcPr>
            <w:tcW w:w="1029" w:type="pct"/>
            <w:vAlign w:val="center"/>
          </w:tcPr>
          <w:p>
            <w:pPr>
              <w:spacing w:before="100" w:beforeAutospacing="1" w:after="100" w:afterAutospacing="1"/>
              <w:jc w:val="center"/>
              <w:rPr>
                <w:noProof/>
              </w:rPr>
            </w:pPr>
            <w:r>
              <w:rPr>
                <w:noProof/>
              </w:rPr>
              <w:t>20 % mažesnis už didžiausią tarifą</w:t>
            </w:r>
          </w:p>
        </w:tc>
        <w:tc>
          <w:tcPr>
            <w:tcW w:w="981" w:type="pct"/>
            <w:vAlign w:val="center"/>
          </w:tcPr>
          <w:p>
            <w:pPr>
              <w:spacing w:before="100" w:beforeAutospacing="1" w:after="100" w:afterAutospacing="1"/>
              <w:jc w:val="center"/>
              <w:rPr>
                <w:noProof/>
              </w:rPr>
            </w:pPr>
            <w:r>
              <w:rPr>
                <w:noProof/>
              </w:rPr>
              <w:t>30 % mažesnis už didžiausią tarifą</w:t>
            </w:r>
          </w:p>
        </w:tc>
        <w:tc>
          <w:tcPr>
            <w:tcW w:w="981" w:type="pct"/>
            <w:vAlign w:val="center"/>
          </w:tcPr>
          <w:p>
            <w:pPr>
              <w:spacing w:before="100" w:beforeAutospacing="1" w:after="100" w:afterAutospacing="1"/>
              <w:jc w:val="center"/>
              <w:rPr>
                <w:noProof/>
              </w:rPr>
            </w:pPr>
            <w:r>
              <w:rPr>
                <w:noProof/>
              </w:rPr>
              <w:t>75 % mažesnis už didžiausią tarifą</w:t>
            </w:r>
          </w:p>
        </w:tc>
      </w:tr>
    </w:tbl>
    <w:p>
      <w:pPr>
        <w:adjustRightInd w:val="0"/>
        <w:spacing w:before="0" w:after="0"/>
        <w:jc w:val="left"/>
        <w:rPr>
          <w:noProof/>
        </w:rPr>
      </w:pPr>
    </w:p>
    <w:p>
      <w:pPr>
        <w:adjustRightInd w:val="0"/>
        <w:spacing w:before="0" w:after="0"/>
        <w:jc w:val="left"/>
        <w:rPr>
          <w:noProof/>
        </w:rPr>
      </w:pPr>
      <w:r>
        <w:rPr>
          <w:noProof/>
        </w:rPr>
        <w:t>__________________</w:t>
      </w:r>
    </w:p>
    <w:p>
      <w:pPr>
        <w:adjustRightInd w:val="0"/>
        <w:spacing w:before="0" w:after="0"/>
        <w:jc w:val="left"/>
        <w:rPr>
          <w:noProof/>
        </w:rPr>
      </w:pPr>
    </w:p>
    <w:p>
      <w:pPr>
        <w:adjustRightInd w:val="0"/>
        <w:spacing w:before="0" w:after="0"/>
        <w:ind w:left="720" w:hanging="720"/>
        <w:jc w:val="left"/>
        <w:rPr>
          <w:noProof/>
        </w:rPr>
      </w:pPr>
      <w:r>
        <w:rPr>
          <w:noProof/>
        </w:rPr>
        <w:t>*</w:t>
      </w:r>
      <w:r>
        <w:rPr>
          <w:noProof/>
        </w:rPr>
        <w:tab/>
        <w:t>XXX Komisijos reglamentas (ES) Nr. .../..., kuriuo iš dalies keičiamas Komisijos reglamentas (ES) Nr. 2017/xxx ir Europos Parlamento ir Tarybos direktyva 2007/46/EB dėl išmetamųjų teršalų kiekio iš lengvųjų keleivinių ir komercinių transporto priemonių (euro 6), [RDE 3] (OL L ..., 2017 ..., p. ...).</w:t>
      </w:r>
    </w:p>
    <w:p>
      <w:pPr>
        <w:adjustRightInd w:val="0"/>
        <w:spacing w:before="0" w:after="0"/>
        <w:ind w:left="720" w:hanging="720"/>
        <w:jc w:val="left"/>
        <w:rPr>
          <w:noProof/>
        </w:rPr>
      </w:pPr>
      <w:r>
        <w:rPr>
          <w:noProof/>
        </w:rPr>
        <w:t>**</w:t>
      </w:r>
      <w:r>
        <w:rPr>
          <w:noProof/>
        </w:rPr>
        <w:tab/>
        <w:t>2007 m. birželio 20 d. Europos Parlamento ir Tarybos reglamentas (EB) Nr. 715/2007 dėl variklinių transporto priemonių tipo patvirtinimo atsižvelgiant į išmetamų teršalų kiekį iš lengvųjų keleivinių ir komercinių transporto priemonių (Euro 5 ir Euro 6) ir dėl transporto priemonių remonto ir priežiūros informacijos prieigos (OL L 171, 2007 6 29, p. 1).</w:t>
      </w:r>
    </w:p>
    <w:p>
      <w:pPr>
        <w:adjustRightInd w:val="0"/>
        <w:spacing w:before="0" w:after="0"/>
        <w:ind w:left="720" w:hanging="720"/>
        <w:jc w:val="left"/>
        <w:rPr>
          <w:noProof/>
        </w:rPr>
      </w:pPr>
      <w:r>
        <w:rPr>
          <w:noProof/>
        </w:rPr>
        <w:t>***</w:t>
      </w:r>
      <w:r>
        <w:rPr>
          <w:noProof/>
        </w:rPr>
        <w:tab/>
        <w:t>2009 m. balandžio 23 d. Europos Parlamento ir Tarybos reglamentas (EB) Nr. 443/2009, nustatantis naujų keleivinių automobilių išmetamų teršalų normas pagal Bendrijos integruotą principą mažinti lengvųjų transporto priemonių išmetamo CO</w:t>
      </w:r>
      <w:r>
        <w:rPr>
          <w:noProof/>
          <w:vertAlign w:val="subscript"/>
        </w:rPr>
        <w:t>2</w:t>
      </w:r>
      <w:r>
        <w:rPr>
          <w:noProof/>
        </w:rPr>
        <w:t xml:space="preserve"> kiekį (OL L 140, 2009 6 5, p. 1).</w:t>
      </w:r>
    </w:p>
    <w:p>
      <w:pPr>
        <w:adjustRightInd w:val="0"/>
        <w:spacing w:before="0" w:after="0"/>
        <w:ind w:left="720" w:hanging="720"/>
        <w:jc w:val="left"/>
        <w:rPr>
          <w:noProof/>
        </w:rPr>
      </w:pPr>
      <w:r>
        <w:rPr>
          <w:noProof/>
        </w:rPr>
        <w:t>****</w:t>
      </w:r>
      <w:r>
        <w:rPr>
          <w:noProof/>
        </w:rPr>
        <w:tab/>
        <w:t>2009 m. balandžio 23 d. Europos Parlamento ir Tarybos reglamentas (EB) Nr. 443/2009, nustatantis naujų keleivinių automobilių išmetamų teršalų normas pagal Bendrijos integruotą principą mažinti lengvųjų transporto priemonių išmetamo CO</w:t>
      </w:r>
      <w:r>
        <w:rPr>
          <w:noProof/>
          <w:vertAlign w:val="subscript"/>
        </w:rPr>
        <w:t>2</w:t>
      </w:r>
      <w:r>
        <w:rPr>
          <w:noProof/>
        </w:rPr>
        <w:t xml:space="preserve"> kiekį (OL L 140, 2009 6 5, p. 1).“</w:t>
      </w:r>
    </w:p>
    <w:sectPr>
      <w:footerReference w:type="default" r:id="rId17"/>
      <w:footerReference w:type="first" r:id="rId18"/>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3656B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CD015EA"/>
    <w:lvl w:ilvl="0">
      <w:start w:val="1"/>
      <w:numFmt w:val="decimal"/>
      <w:pStyle w:val="ListNumber3"/>
      <w:lvlText w:val="%1."/>
      <w:lvlJc w:val="left"/>
      <w:pPr>
        <w:tabs>
          <w:tab w:val="num" w:pos="926"/>
        </w:tabs>
        <w:ind w:left="926" w:hanging="360"/>
      </w:pPr>
    </w:lvl>
  </w:abstractNum>
  <w:abstractNum w:abstractNumId="2">
    <w:nsid w:val="FFFFFF7F"/>
    <w:multiLevelType w:val="singleLevel"/>
    <w:tmpl w:val="C280316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E660EE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92EEE6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BBC7B2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1383202"/>
    <w:lvl w:ilvl="0">
      <w:start w:val="1"/>
      <w:numFmt w:val="decimal"/>
      <w:pStyle w:val="ListNumber"/>
      <w:lvlText w:val="%1."/>
      <w:lvlJc w:val="left"/>
      <w:pPr>
        <w:tabs>
          <w:tab w:val="num" w:pos="360"/>
        </w:tabs>
        <w:ind w:left="360" w:hanging="360"/>
      </w:pPr>
    </w:lvl>
  </w:abstractNum>
  <w:abstractNum w:abstractNumId="7">
    <w:nsid w:val="FFFFFF89"/>
    <w:multiLevelType w:val="singleLevel"/>
    <w:tmpl w:val="EC783F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8"/>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6-06 14:43:2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1"/>
    <w:docVar w:name="DQCResult_ModifiedMarkers" w:val="0;0"/>
    <w:docVar w:name="DQCResult_ModifiedNumbering" w:val="0;0"/>
    <w:docVar w:name="DQCResult_Objects" w:val="0;0"/>
    <w:docVar w:name="DQCResult_Sections" w:val="0;0"/>
    <w:docVar w:name="DQCResult_StructureCheck" w:val="0;0"/>
    <w:docVar w:name="DQCResult_SuperfluousWhitespace" w:val="0;14"/>
    <w:docVar w:name="DQCResult_UnknownFonts" w:val="0;0"/>
    <w:docVar w:name="DQCResult_UnknownStyles" w:val="0;0"/>
    <w:docVar w:name="DQCStatus" w:val="Green"/>
    <w:docVar w:name="DQCVersion" w:val="3"/>
    <w:docVar w:name="DQCWithWarnings" w:val="0"/>
    <w:docVar w:name="LW_ACCOMPAGNANT.CP" w:val="prie"/>
    <w:docVar w:name="LW_ANNEX_NBR_FIRST" w:val="1"/>
    <w:docVar w:name="LW_ANNEX_NBR_LAST" w:val="1"/>
    <w:docVar w:name="LW_CONFIDENCE" w:val=" "/>
    <w:docVar w:name="LW_CONST_RESTREINT_UE" w:val="RESTREINT UE"/>
    <w:docVar w:name="LW_CORRIGENDUM" w:val="&lt;UNUSED&gt;"/>
    <w:docVar w:name="LW_COVERPAGE_GUID" w:val="D7408A7B2EB14890B44F0ECDCC9CB0B4"/>
    <w:docVar w:name="LW_CROSSREFERENCE" w:val="{SWD(2017) 180 final}_x000b_{SWD(2017) 181 final}"/>
    <w:docVar w:name="LW_DocType" w:val="ANNEX"/>
    <w:docVar w:name="LW_EMISSION" w:val="2017 05 31"/>
    <w:docVar w:name="LW_EMISSION_ISODATE" w:val="2017-05-31"/>
    <w:docVar w:name="LW_EMISSION_LOCATION" w:val="BRX"/>
    <w:docVar w:name="LW_EMISSION_PREFIX" w:val="Briuselis, "/>
    <w:docVar w:name="LW_EMISSION_SUFFIX" w:val=" "/>
    <w:docVar w:name="LW_ID_DOCSTRUCTURE" w:val="COM/ANNEX"/>
    <w:docVar w:name="LW_ID_DOCTYPE" w:val="SG-017"/>
    <w:docVar w:name="LW_LANGUE" w:val="LT"/>
    <w:docVar w:name="LW_MARKING" w:val="&lt;UNUSED&gt;"/>
    <w:docVar w:name="LW_NOM.INST" w:val="EUROPOS KOMISIJA"/>
    <w:docVar w:name="LW_NOM.INST_JOINTDOC" w:val="&lt;EMPTY&gt;"/>
    <w:docVar w:name="LW_OBJETACTEPRINCIPAL.CP" w:val="kuria i\u353? dalies kei\u269?iama Direktyva 1999/62/EB d\u279?l sunkiasvori\u371? krovini\u371? transporto priemoni\u371? apmokestinimo u\u382? naudojim\u261?si tam tikra infrastrukt\u363?ra_x000b_(Tekstas svarbus EEE)"/>
    <w:docVar w:name="LW_PART_NBR" w:val="1"/>
    <w:docVar w:name="LW_PART_NBR_TOTAL" w:val="1"/>
    <w:docVar w:name="LW_REF.INST.NEW" w:val="COM"/>
    <w:docVar w:name="LW_REF.INST.NEW_ADOPTED" w:val="final"/>
    <w:docVar w:name="LW_REF.INST.NEW_TEXT" w:val="(2017) 275"/>
    <w:docVar w:name="LW_REF.INTERNE" w:val="&lt;UNUSED&gt;"/>
    <w:docVar w:name="LW_SUPERTITRE" w:val="&lt;UNUSED&gt;"/>
    <w:docVar w:name="LW_TITRE.OBJ.CP" w:val="&lt;UNUSED&gt;"/>
    <w:docVar w:name="LW_TYPE.DOC.CP" w:val="PRIEDAS"/>
    <w:docVar w:name="LW_TYPEACTEPRINCIPAL.CP" w:val="EUROPOS PARLAMENTO IR TARYBOS DIREKTYVOS"/>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etitreacte">
    <w:name w:val="Annexe titre (acte)"/>
    <w:basedOn w:val="Normal"/>
    <w:next w:val="Normal"/>
    <w:uiPriority w:val="99"/>
    <w:pPr>
      <w:autoSpaceDE w:val="0"/>
      <w:autoSpaceDN w:val="0"/>
      <w:jc w:val="center"/>
    </w:pPr>
    <w:rPr>
      <w:rFonts w:eastAsia="Times New Roman"/>
      <w:b/>
      <w:bCs/>
      <w:szCs w:val="24"/>
      <w:u w:val="single"/>
    </w:rPr>
  </w:style>
  <w:style w:type="character" w:styleId="Hyperlink">
    <w:name w:val="Hyperlink"/>
    <w:uiPriority w:val="99"/>
    <w:unhideWhenUsed/>
    <w:rPr>
      <w:rFonts w:cs="Times New Roman"/>
      <w:color w:val="0000FF"/>
      <w:u w:val="single"/>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etitreacte">
    <w:name w:val="Annexe titre (acte)"/>
    <w:basedOn w:val="Normal"/>
    <w:next w:val="Normal"/>
    <w:uiPriority w:val="99"/>
    <w:pPr>
      <w:autoSpaceDE w:val="0"/>
      <w:autoSpaceDN w:val="0"/>
      <w:jc w:val="center"/>
    </w:pPr>
    <w:rPr>
      <w:rFonts w:eastAsia="Times New Roman"/>
      <w:b/>
      <w:bCs/>
      <w:szCs w:val="24"/>
      <w:u w:val="single"/>
    </w:rPr>
  </w:style>
  <w:style w:type="character" w:styleId="Hyperlink">
    <w:name w:val="Hyperlink"/>
    <w:uiPriority w:val="99"/>
    <w:unhideWhenUsed/>
    <w:rPr>
      <w:rFonts w:cs="Times New Roman"/>
      <w:color w:val="0000FF"/>
      <w:u w:val="single"/>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416512">
      <w:bodyDiv w:val="1"/>
      <w:marLeft w:val="0"/>
      <w:marRight w:val="0"/>
      <w:marTop w:val="0"/>
      <w:marBottom w:val="0"/>
      <w:divBdr>
        <w:top w:val="none" w:sz="0" w:space="0" w:color="auto"/>
        <w:left w:val="none" w:sz="0" w:space="0" w:color="auto"/>
        <w:bottom w:val="none" w:sz="0" w:space="0" w:color="auto"/>
        <w:right w:val="none" w:sz="0" w:space="0" w:color="auto"/>
      </w:divBdr>
    </w:div>
    <w:div w:id="12397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13</Pages>
  <Words>2880</Words>
  <Characters>18492</Characters>
  <Application>Microsoft Office Word</Application>
  <DocSecurity>0</DocSecurity>
  <Lines>880</Lines>
  <Paragraphs>593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SZATMARI Peter (MOVE)</dc:creator>
  <cp:lastModifiedBy>DIGIT/A3</cp:lastModifiedBy>
  <cp:revision>8</cp:revision>
  <cp:lastPrinted>2017-05-28T06:32:00Z</cp:lastPrinted>
  <dcterms:created xsi:type="dcterms:W3CDTF">2017-06-02T09:13:00Z</dcterms:created>
  <dcterms:modified xsi:type="dcterms:W3CDTF">2017-06-06T12:43:00Z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