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1564B46F26D44ABBDB6CF3C19B67272" style="width:450.75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LIITE</w:t>
      </w:r>
    </w:p>
    <w:p>
      <w:pPr>
        <w:pStyle w:val="Accompagnant"/>
        <w:rPr>
          <w:noProof/>
        </w:rPr>
      </w:pPr>
      <w:r>
        <w:rPr>
          <w:noProof/>
        </w:rPr>
        <w:t>asiakirjaan</w:t>
      </w:r>
    </w:p>
    <w:p>
      <w:pPr>
        <w:pStyle w:val="Typeacteprincipal"/>
        <w:rPr>
          <w:noProof/>
        </w:rPr>
      </w:pPr>
      <w:r>
        <w:rPr>
          <w:noProof/>
        </w:rPr>
        <w:t>EUROOPAN PARLAMENTIN JA NEUVOSTON DIREKTIIVI</w:t>
      </w:r>
    </w:p>
    <w:p>
      <w:pPr>
        <w:pStyle w:val="Objetacteprincipal"/>
        <w:rPr>
          <w:noProof/>
        </w:rPr>
      </w:pPr>
      <w:r>
        <w:rPr>
          <w:noProof/>
        </w:rPr>
        <w:t>verojen ja maksujen kantamisesta raskailta tavaraliikenteen ajoneuvoilta tiettyjen infrastruktuurien käytöstä annetun direktiivin 1999/62/EY muuttamisesta</w:t>
      </w:r>
      <w:r>
        <w:rPr>
          <w:noProof/>
        </w:rPr>
        <w:br/>
        <w:t>(ETA:n kannalta merkityksellinen teksti)</w:t>
      </w:r>
    </w:p>
    <w:p>
      <w:pPr>
        <w:rPr>
          <w:noProof/>
        </w:rPr>
      </w:pPr>
    </w:p>
    <w:p>
      <w:pPr>
        <w:rPr>
          <w:noProof/>
        </w:rPr>
      </w:pPr>
      <w:r>
        <w:rPr>
          <w:noProof/>
        </w:rPr>
        <w:t>1)</w:t>
      </w:r>
      <w:r>
        <w:rPr>
          <w:noProof/>
        </w:rPr>
        <w:tab/>
        <w:t xml:space="preserve">Muutetaan liitteet 0, III, III a, III b ja IV </w:t>
      </w:r>
    </w:p>
    <w:p>
      <w:pPr>
        <w:rPr>
          <w:noProof/>
        </w:rPr>
      </w:pPr>
      <w:r>
        <w:rPr>
          <w:noProof/>
        </w:rPr>
        <w:t>a)</w:t>
      </w:r>
      <w:r>
        <w:rPr>
          <w:noProof/>
        </w:rPr>
        <w:tab/>
        <w:t>Muutetaan liitteessä 0 oleva 3 kohta seuraavasti:</w:t>
      </w:r>
    </w:p>
    <w:p>
      <w:pPr>
        <w:ind w:firstLine="720"/>
        <w:rPr>
          <w:noProof/>
        </w:rPr>
      </w:pPr>
      <w:r>
        <w:rPr>
          <w:noProof/>
        </w:rPr>
        <w:t>i)</w:t>
      </w:r>
      <w:r>
        <w:rPr>
          <w:noProof/>
        </w:rPr>
        <w:tab/>
        <w:t>Korvataan otsikko seuraavasti:</w:t>
      </w:r>
    </w:p>
    <w:p>
      <w:pPr>
        <w:ind w:left="130" w:firstLine="720"/>
        <w:rPr>
          <w:noProof/>
        </w:rPr>
      </w:pPr>
      <w:r>
        <w:rPr>
          <w:noProof/>
        </w:rPr>
        <w:t>”3. EURO III-, EURO IV- ja EURO V -ajoneuvot”</w:t>
      </w:r>
    </w:p>
    <w:p>
      <w:pPr>
        <w:ind w:firstLine="720"/>
        <w:rPr>
          <w:noProof/>
        </w:rPr>
      </w:pPr>
      <w:r>
        <w:rPr>
          <w:noProof/>
        </w:rPr>
        <w:t>ii)</w:t>
      </w:r>
      <w:r>
        <w:rPr>
          <w:noProof/>
        </w:rPr>
        <w:tab/>
        <w:t>Poistetaan taulukosta rivi ”EYA-ajoneuvo”.</w:t>
      </w:r>
    </w:p>
    <w:p>
      <w:pPr>
        <w:ind w:left="720"/>
        <w:rPr>
          <w:noProof/>
        </w:rPr>
      </w:pPr>
      <w:r>
        <w:rPr>
          <w:noProof/>
        </w:rPr>
        <w:t>iii)</w:t>
      </w:r>
      <w:r>
        <w:rPr>
          <w:noProof/>
        </w:rPr>
        <w:tab/>
        <w:t>Lisätään seuraava teksti:</w:t>
      </w:r>
    </w:p>
    <w:p>
      <w:pPr>
        <w:pStyle w:val="NormalCentered"/>
        <w:rPr>
          <w:b/>
          <w:noProof/>
          <w:u w:val="single"/>
        </w:rPr>
      </w:pPr>
      <w:r>
        <w:rPr>
          <w:b/>
          <w:noProof/>
          <w:u w:val="single"/>
        </w:rPr>
        <w:t>”Euro VI -päästörajat</w:t>
      </w:r>
    </w:p>
    <w:tbl>
      <w:tblPr>
        <w:tblW w:w="102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6"/>
        <w:gridCol w:w="1262"/>
        <w:gridCol w:w="1216"/>
        <w:gridCol w:w="1216"/>
        <w:gridCol w:w="1216"/>
        <w:gridCol w:w="803"/>
        <w:gridCol w:w="1216"/>
        <w:gridCol w:w="1030"/>
      </w:tblGrid>
      <w:tr>
        <w:trPr>
          <w:trHeight w:val="562"/>
        </w:trPr>
        <w:tc>
          <w:tcPr>
            <w:tcW w:w="993" w:type="dxa"/>
            <w:tcBorders>
              <w:bottom w:val="nil"/>
            </w:tcBorders>
          </w:tcPr>
          <w:p>
            <w:pPr>
              <w:rPr>
                <w:noProof/>
              </w:rPr>
            </w:pPr>
          </w:p>
        </w:tc>
        <w:tc>
          <w:tcPr>
            <w:tcW w:w="9235" w:type="dxa"/>
            <w:gridSpan w:val="8"/>
            <w:hideMark/>
          </w:tcPr>
          <w:p>
            <w:pPr>
              <w:rPr>
                <w:noProof/>
              </w:rPr>
            </w:pPr>
            <w:r>
              <w:rPr>
                <w:noProof/>
              </w:rPr>
              <w:t>Raja-arvot</w:t>
            </w:r>
          </w:p>
        </w:tc>
      </w:tr>
      <w:tr>
        <w:trPr>
          <w:trHeight w:val="991"/>
        </w:trPr>
        <w:tc>
          <w:tcPr>
            <w:tcW w:w="993" w:type="dxa"/>
            <w:tcBorders>
              <w:top w:val="nil"/>
            </w:tcBorders>
          </w:tcPr>
          <w:p>
            <w:pPr>
              <w:rPr>
                <w:noProof/>
              </w:rPr>
            </w:pPr>
          </w:p>
        </w:tc>
        <w:tc>
          <w:tcPr>
            <w:tcW w:w="1276" w:type="dxa"/>
            <w:hideMark/>
          </w:tcPr>
          <w:p>
            <w:pPr>
              <w:rPr>
                <w:noProof/>
              </w:rPr>
            </w:pPr>
            <w:r>
              <w:rPr>
                <w:noProof/>
              </w:rPr>
              <w:t>CO</w:t>
            </w:r>
          </w:p>
          <w:p>
            <w:pPr>
              <w:rPr>
                <w:noProof/>
              </w:rPr>
            </w:pPr>
            <w:r>
              <w:rPr>
                <w:noProof/>
              </w:rPr>
              <w:t>(mg/kWh)</w:t>
            </w:r>
          </w:p>
        </w:tc>
        <w:tc>
          <w:tcPr>
            <w:tcW w:w="1262" w:type="dxa"/>
            <w:hideMark/>
          </w:tcPr>
          <w:p>
            <w:pPr>
              <w:rPr>
                <w:noProof/>
              </w:rPr>
            </w:pPr>
            <w:r>
              <w:rPr>
                <w:noProof/>
              </w:rPr>
              <w:t xml:space="preserve">Hiilivedyt yhteensä </w:t>
            </w:r>
          </w:p>
          <w:p>
            <w:pPr>
              <w:rPr>
                <w:noProof/>
              </w:rPr>
            </w:pPr>
            <w:r>
              <w:rPr>
                <w:noProof/>
              </w:rPr>
              <w:t>(mg/kWh)</w:t>
            </w:r>
          </w:p>
        </w:tc>
        <w:tc>
          <w:tcPr>
            <w:tcW w:w="1216" w:type="dxa"/>
            <w:hideMark/>
          </w:tcPr>
          <w:p>
            <w:pPr>
              <w:rPr>
                <w:noProof/>
              </w:rPr>
            </w:pPr>
            <w:r>
              <w:rPr>
                <w:noProof/>
              </w:rPr>
              <w:t>Muut hiilivedyt kuin metaani</w:t>
            </w:r>
          </w:p>
          <w:p>
            <w:pPr>
              <w:rPr>
                <w:noProof/>
              </w:rPr>
            </w:pPr>
            <w:r>
              <w:rPr>
                <w:noProof/>
              </w:rPr>
              <w:t>(mg/kWh)</w:t>
            </w:r>
          </w:p>
        </w:tc>
        <w:tc>
          <w:tcPr>
            <w:tcW w:w="1216" w:type="dxa"/>
            <w:hideMark/>
          </w:tcPr>
          <w:p>
            <w:pPr>
              <w:rPr>
                <w:noProof/>
                <w:vertAlign w:val="subscript"/>
              </w:rPr>
            </w:pPr>
            <w:r>
              <w:rPr>
                <w:noProof/>
              </w:rPr>
              <w:t>CH</w:t>
            </w:r>
            <w:r>
              <w:rPr>
                <w:noProof/>
                <w:vertAlign w:val="subscript"/>
              </w:rPr>
              <w:t>4</w:t>
            </w:r>
          </w:p>
          <w:p>
            <w:pPr>
              <w:rPr>
                <w:noProof/>
              </w:rPr>
            </w:pPr>
            <w:r>
              <w:rPr>
                <w:noProof/>
              </w:rPr>
              <w:t>(mg/kWh)</w:t>
            </w:r>
          </w:p>
        </w:tc>
        <w:tc>
          <w:tcPr>
            <w:tcW w:w="1216" w:type="dxa"/>
            <w:hideMark/>
          </w:tcPr>
          <w:p>
            <w:pPr>
              <w:rPr>
                <w:noProof/>
              </w:rPr>
            </w:pPr>
            <w:r>
              <w:rPr>
                <w:noProof/>
              </w:rPr>
              <w:t>NO</w:t>
            </w:r>
            <w:r>
              <w:rPr>
                <w:noProof/>
                <w:vertAlign w:val="subscript"/>
              </w:rPr>
              <w:t>X</w:t>
            </w:r>
            <w:r>
              <w:rPr>
                <w:noProof/>
              </w:rPr>
              <w:t xml:space="preserve"> </w:t>
            </w:r>
            <w:r>
              <w:rPr>
                <w:noProof/>
                <w:vertAlign w:val="superscript"/>
              </w:rPr>
              <w:t>(1)</w:t>
            </w:r>
          </w:p>
          <w:p>
            <w:pPr>
              <w:rPr>
                <w:noProof/>
              </w:rPr>
            </w:pPr>
            <w:r>
              <w:rPr>
                <w:noProof/>
              </w:rPr>
              <w:t>(mg/kWh)</w:t>
            </w:r>
          </w:p>
        </w:tc>
        <w:tc>
          <w:tcPr>
            <w:tcW w:w="803" w:type="dxa"/>
            <w:hideMark/>
          </w:tcPr>
          <w:p>
            <w:pPr>
              <w:rPr>
                <w:noProof/>
                <w:vertAlign w:val="subscript"/>
              </w:rPr>
            </w:pPr>
            <w:r>
              <w:rPr>
                <w:noProof/>
              </w:rPr>
              <w:t>NH</w:t>
            </w:r>
            <w:r>
              <w:rPr>
                <w:noProof/>
                <w:vertAlign w:val="subscript"/>
              </w:rPr>
              <w:t>3</w:t>
            </w:r>
          </w:p>
          <w:p>
            <w:pPr>
              <w:rPr>
                <w:noProof/>
              </w:rPr>
            </w:pPr>
            <w:r>
              <w:rPr>
                <w:noProof/>
              </w:rPr>
              <w:t>(ppm)</w:t>
            </w:r>
          </w:p>
        </w:tc>
        <w:tc>
          <w:tcPr>
            <w:tcW w:w="1216" w:type="dxa"/>
            <w:hideMark/>
          </w:tcPr>
          <w:p>
            <w:pPr>
              <w:rPr>
                <w:noProof/>
              </w:rPr>
            </w:pPr>
            <w:r>
              <w:rPr>
                <w:noProof/>
              </w:rPr>
              <w:t>Hiukkas</w:t>
            </w:r>
            <w:r>
              <w:rPr>
                <w:noProof/>
              </w:rPr>
              <w:softHyphen/>
              <w:t>ten (PM) massa</w:t>
            </w:r>
          </w:p>
          <w:p>
            <w:pPr>
              <w:rPr>
                <w:noProof/>
                <w:vertAlign w:val="subscript"/>
              </w:rPr>
            </w:pPr>
            <w:r>
              <w:rPr>
                <w:noProof/>
              </w:rPr>
              <w:t>(mg/kWh)</w:t>
            </w:r>
          </w:p>
        </w:tc>
        <w:tc>
          <w:tcPr>
            <w:tcW w:w="1030" w:type="dxa"/>
            <w:hideMark/>
          </w:tcPr>
          <w:p>
            <w:pPr>
              <w:rPr>
                <w:noProof/>
              </w:rPr>
            </w:pPr>
            <w:r>
              <w:rPr>
                <w:noProof/>
              </w:rPr>
              <w:t>Hiukkas</w:t>
            </w:r>
            <w:r>
              <w:rPr>
                <w:noProof/>
              </w:rPr>
              <w:softHyphen/>
              <w:t>määrä</w:t>
            </w:r>
          </w:p>
          <w:p>
            <w:pPr>
              <w:rPr>
                <w:noProof/>
                <w:vertAlign w:val="subscript"/>
              </w:rPr>
            </w:pPr>
            <w:r>
              <w:rPr>
                <w:noProof/>
              </w:rPr>
              <w:t>(#/kWh)</w:t>
            </w:r>
          </w:p>
        </w:tc>
      </w:tr>
      <w:tr>
        <w:trPr>
          <w:trHeight w:val="876"/>
        </w:trPr>
        <w:tc>
          <w:tcPr>
            <w:tcW w:w="993" w:type="dxa"/>
            <w:hideMark/>
          </w:tcPr>
          <w:p>
            <w:pPr>
              <w:rPr>
                <w:noProof/>
              </w:rPr>
            </w:pPr>
            <w:r>
              <w:rPr>
                <w:noProof/>
              </w:rPr>
              <w:t>WHSC (CI)</w:t>
            </w:r>
          </w:p>
        </w:tc>
        <w:tc>
          <w:tcPr>
            <w:tcW w:w="1276" w:type="dxa"/>
            <w:hideMark/>
          </w:tcPr>
          <w:p>
            <w:pPr>
              <w:rPr>
                <w:noProof/>
              </w:rPr>
            </w:pPr>
            <w:r>
              <w:rPr>
                <w:noProof/>
              </w:rPr>
              <w:t>1500</w:t>
            </w:r>
          </w:p>
        </w:tc>
        <w:tc>
          <w:tcPr>
            <w:tcW w:w="1262" w:type="dxa"/>
            <w:hideMark/>
          </w:tcPr>
          <w:p>
            <w:pPr>
              <w:rPr>
                <w:noProof/>
              </w:rPr>
            </w:pPr>
            <w:r>
              <w:rPr>
                <w:noProof/>
              </w:rPr>
              <w:t>130</w:t>
            </w:r>
          </w:p>
        </w:tc>
        <w:tc>
          <w:tcPr>
            <w:tcW w:w="1216" w:type="dxa"/>
          </w:tcPr>
          <w:p>
            <w:pPr>
              <w:rPr>
                <w:noProof/>
              </w:rPr>
            </w:pPr>
          </w:p>
        </w:tc>
        <w:tc>
          <w:tcPr>
            <w:tcW w:w="1216" w:type="dxa"/>
          </w:tcPr>
          <w:p>
            <w:pPr>
              <w:rPr>
                <w:noProof/>
              </w:rPr>
            </w:pPr>
          </w:p>
        </w:tc>
        <w:tc>
          <w:tcPr>
            <w:tcW w:w="1216" w:type="dxa"/>
            <w:hideMark/>
          </w:tcPr>
          <w:p>
            <w:pPr>
              <w:rPr>
                <w:noProof/>
              </w:rPr>
            </w:pPr>
            <w:r>
              <w:rPr>
                <w:noProof/>
              </w:rPr>
              <w:t>400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vertAlign w:val="superscript"/>
              </w:rPr>
            </w:pPr>
            <w:r>
              <w:rPr>
                <w:noProof/>
              </w:rPr>
              <w:t>8,0 x 10</w:t>
            </w:r>
            <w:r>
              <w:rPr>
                <w:noProof/>
                <w:vertAlign w:val="superscript"/>
              </w:rPr>
              <w:t>11</w:t>
            </w:r>
          </w:p>
        </w:tc>
      </w:tr>
      <w:tr>
        <w:trPr>
          <w:trHeight w:val="859"/>
        </w:trPr>
        <w:tc>
          <w:tcPr>
            <w:tcW w:w="993" w:type="dxa"/>
            <w:hideMark/>
          </w:tcPr>
          <w:p>
            <w:pPr>
              <w:rPr>
                <w:noProof/>
              </w:rPr>
            </w:pPr>
            <w:r>
              <w:rPr>
                <w:noProof/>
              </w:rPr>
              <w:t>WHTC (CI)</w:t>
            </w:r>
          </w:p>
        </w:tc>
        <w:tc>
          <w:tcPr>
            <w:tcW w:w="1276" w:type="dxa"/>
            <w:hideMark/>
          </w:tcPr>
          <w:p>
            <w:pPr>
              <w:rPr>
                <w:noProof/>
              </w:rPr>
            </w:pPr>
            <w:r>
              <w:rPr>
                <w:noProof/>
              </w:rPr>
              <w:t>4000</w:t>
            </w:r>
          </w:p>
        </w:tc>
        <w:tc>
          <w:tcPr>
            <w:tcW w:w="1262" w:type="dxa"/>
            <w:hideMark/>
          </w:tcPr>
          <w:p>
            <w:pPr>
              <w:rPr>
                <w:noProof/>
              </w:rPr>
            </w:pPr>
            <w:r>
              <w:rPr>
                <w:noProof/>
              </w:rPr>
              <w:t>160</w:t>
            </w:r>
          </w:p>
        </w:tc>
        <w:tc>
          <w:tcPr>
            <w:tcW w:w="1216" w:type="dxa"/>
          </w:tcPr>
          <w:p>
            <w:pPr>
              <w:rPr>
                <w:noProof/>
              </w:rPr>
            </w:pPr>
          </w:p>
        </w:tc>
        <w:tc>
          <w:tcPr>
            <w:tcW w:w="1216" w:type="dxa"/>
          </w:tcPr>
          <w:p>
            <w:pPr>
              <w:rPr>
                <w:noProof/>
              </w:rPr>
            </w:pPr>
          </w:p>
        </w:tc>
        <w:tc>
          <w:tcPr>
            <w:tcW w:w="1216" w:type="dxa"/>
            <w:hideMark/>
          </w:tcPr>
          <w:p>
            <w:pPr>
              <w:rPr>
                <w:noProof/>
              </w:rPr>
            </w:pPr>
            <w:r>
              <w:rPr>
                <w:noProof/>
              </w:rPr>
              <w:t>460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vertAlign w:val="superscript"/>
              </w:rPr>
            </w:pPr>
            <w:r>
              <w:rPr>
                <w:noProof/>
              </w:rPr>
              <w:t>6,0 x 10</w:t>
            </w:r>
            <w:r>
              <w:rPr>
                <w:noProof/>
                <w:vertAlign w:val="superscript"/>
              </w:rPr>
              <w:t>11</w:t>
            </w:r>
          </w:p>
        </w:tc>
      </w:tr>
      <w:tr>
        <w:trPr>
          <w:trHeight w:val="876"/>
        </w:trPr>
        <w:tc>
          <w:tcPr>
            <w:tcW w:w="993" w:type="dxa"/>
            <w:hideMark/>
          </w:tcPr>
          <w:p>
            <w:pPr>
              <w:rPr>
                <w:noProof/>
              </w:rPr>
            </w:pPr>
            <w:r>
              <w:rPr>
                <w:noProof/>
              </w:rPr>
              <w:t xml:space="preserve">WHTC (PI) </w:t>
            </w:r>
          </w:p>
        </w:tc>
        <w:tc>
          <w:tcPr>
            <w:tcW w:w="1276" w:type="dxa"/>
            <w:hideMark/>
          </w:tcPr>
          <w:p>
            <w:pPr>
              <w:rPr>
                <w:noProof/>
              </w:rPr>
            </w:pPr>
            <w:r>
              <w:rPr>
                <w:noProof/>
              </w:rPr>
              <w:t>4000</w:t>
            </w:r>
          </w:p>
        </w:tc>
        <w:tc>
          <w:tcPr>
            <w:tcW w:w="1262" w:type="dxa"/>
          </w:tcPr>
          <w:p>
            <w:pPr>
              <w:rPr>
                <w:noProof/>
              </w:rPr>
            </w:pPr>
          </w:p>
        </w:tc>
        <w:tc>
          <w:tcPr>
            <w:tcW w:w="1216" w:type="dxa"/>
            <w:hideMark/>
          </w:tcPr>
          <w:p>
            <w:pPr>
              <w:rPr>
                <w:noProof/>
              </w:rPr>
            </w:pPr>
            <w:r>
              <w:rPr>
                <w:noProof/>
              </w:rPr>
              <w:t>160</w:t>
            </w:r>
          </w:p>
        </w:tc>
        <w:tc>
          <w:tcPr>
            <w:tcW w:w="1216" w:type="dxa"/>
            <w:hideMark/>
          </w:tcPr>
          <w:p>
            <w:pPr>
              <w:rPr>
                <w:noProof/>
              </w:rPr>
            </w:pPr>
            <w:r>
              <w:rPr>
                <w:noProof/>
              </w:rPr>
              <w:t>500</w:t>
            </w:r>
          </w:p>
        </w:tc>
        <w:tc>
          <w:tcPr>
            <w:tcW w:w="1216" w:type="dxa"/>
            <w:hideMark/>
          </w:tcPr>
          <w:p>
            <w:pPr>
              <w:rPr>
                <w:noProof/>
              </w:rPr>
            </w:pPr>
            <w:r>
              <w:rPr>
                <w:noProof/>
              </w:rPr>
              <w:t>460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rPr>
            </w:pPr>
            <w:r>
              <w:rPr>
                <w:noProof/>
              </w:rPr>
              <w:t>6,0 x 10</w:t>
            </w:r>
            <w:r>
              <w:rPr>
                <w:noProof/>
                <w:vertAlign w:val="superscript"/>
              </w:rPr>
              <w:t>11</w:t>
            </w:r>
          </w:p>
        </w:tc>
      </w:tr>
    </w:tbl>
    <w:p>
      <w:pPr>
        <w:rPr>
          <w:noProof/>
        </w:rPr>
      </w:pPr>
      <w:r>
        <w:rPr>
          <w:noProof/>
        </w:rPr>
        <w:t>Huomautus:</w:t>
      </w:r>
    </w:p>
    <w:p>
      <w:pPr>
        <w:pStyle w:val="Point0"/>
        <w:spacing w:before="0" w:after="0"/>
        <w:rPr>
          <w:noProof/>
        </w:rPr>
      </w:pPr>
      <w:r>
        <w:rPr>
          <w:noProof/>
        </w:rPr>
        <w:t>PI =</w:t>
      </w:r>
      <w:r>
        <w:rPr>
          <w:noProof/>
        </w:rPr>
        <w:tab/>
        <w:t>kipinäsytytys</w:t>
      </w:r>
    </w:p>
    <w:p>
      <w:pPr>
        <w:pStyle w:val="Point0"/>
        <w:spacing w:before="0" w:after="0"/>
        <w:rPr>
          <w:noProof/>
        </w:rPr>
      </w:pPr>
      <w:r>
        <w:rPr>
          <w:noProof/>
        </w:rPr>
        <w:t>CI =</w:t>
      </w:r>
      <w:r>
        <w:rPr>
          <w:noProof/>
        </w:rPr>
        <w:tab/>
        <w:t>puristussytytys</w:t>
      </w:r>
    </w:p>
    <w:p>
      <w:pPr>
        <w:rPr>
          <w:noProof/>
        </w:rPr>
      </w:pPr>
      <w:r>
        <w:rPr>
          <w:noProof/>
          <w:vertAlign w:val="superscript"/>
        </w:rPr>
        <w:t>(1)</w:t>
      </w:r>
      <w:r>
        <w:rPr>
          <w:noProof/>
        </w:rPr>
        <w:tab/>
        <w:t>NO</w:t>
      </w:r>
      <w:r>
        <w:rPr>
          <w:noProof/>
          <w:vertAlign w:val="subscript"/>
        </w:rPr>
        <w:t>x</w:t>
      </w:r>
      <w:r>
        <w:rPr>
          <w:noProof/>
        </w:rPr>
        <w:t>-raja-arvoon sisältyvä NO</w:t>
      </w:r>
      <w:r>
        <w:rPr>
          <w:noProof/>
          <w:vertAlign w:val="subscript"/>
        </w:rPr>
        <w:t>2</w:t>
      </w:r>
      <w:r>
        <w:rPr>
          <w:noProof/>
        </w:rPr>
        <w:t>-komponentin hyväksyttävä taso voidaan määrittää myöhemmässä vaiheessa.”</w:t>
      </w:r>
    </w:p>
    <w:p>
      <w:pPr>
        <w:rPr>
          <w:noProof/>
        </w:rPr>
      </w:pPr>
      <w:r>
        <w:rPr>
          <w:noProof/>
        </w:rPr>
        <w:t>b)</w:t>
      </w:r>
      <w:r>
        <w:rPr>
          <w:noProof/>
        </w:rPr>
        <w:tab/>
        <w:t>Muutetaan liite III seuraavasti:</w:t>
      </w:r>
    </w:p>
    <w:p>
      <w:pPr>
        <w:ind w:firstLine="720"/>
        <w:rPr>
          <w:noProof/>
        </w:rPr>
      </w:pPr>
      <w:r>
        <w:rPr>
          <w:noProof/>
        </w:rPr>
        <w:lastRenderedPageBreak/>
        <w:t>i)</w:t>
      </w:r>
      <w:r>
        <w:rPr>
          <w:noProof/>
        </w:rPr>
        <w:tab/>
        <w:t>Muutetaan 2 jakso seuraavasti:</w:t>
      </w:r>
    </w:p>
    <w:p>
      <w:pPr>
        <w:ind w:left="131" w:firstLine="578"/>
        <w:rPr>
          <w:noProof/>
        </w:rPr>
      </w:pPr>
      <w:r>
        <w:rPr>
          <w:noProof/>
        </w:rPr>
        <w:t xml:space="preserve">— korvataan 2.1 kohdan kuudes luetelmakohta seuraavasti: </w:t>
      </w:r>
    </w:p>
    <w:p>
      <w:pPr>
        <w:ind w:left="709"/>
        <w:rPr>
          <w:noProof/>
        </w:rPr>
      </w:pPr>
      <w:r>
        <w:rPr>
          <w:noProof/>
        </w:rPr>
        <w:t>”—</w:t>
      </w:r>
      <w:r>
        <w:rPr>
          <w:noProof/>
        </w:rPr>
        <w:tab/>
        <w:t>Kustannusten jakaminen raskaille ajoneuvoille on tehtävä objektiivisin ja avoimin perustein ottamalla huomioon raskaiden ajoneuvojen osuus verkon liikenteestä ja siihen liittyvät kustannukset. Raskaiden ajoneuvojen ajokilometrejä voidaan tätä varten mukauttaa objektiivisesti perustelluilla 4 kohdan mukaisilla ’vastaavuuskertoimilla’ (*).</w:t>
      </w:r>
    </w:p>
    <w:p>
      <w:pPr>
        <w:rPr>
          <w:noProof/>
        </w:rPr>
      </w:pPr>
      <w:r>
        <w:rPr>
          <w:noProof/>
        </w:rPr>
        <w:t>________</w:t>
      </w:r>
    </w:p>
    <w:p>
      <w:pPr>
        <w:rPr>
          <w:noProof/>
        </w:rPr>
      </w:pPr>
      <w:r>
        <w:rPr>
          <w:noProof/>
        </w:rPr>
        <w:t>*</w:t>
      </w:r>
      <w:r>
        <w:rPr>
          <w:noProof/>
        </w:rPr>
        <w:tab/>
        <w:t>Jäsenvaltiot voivat vastaavuuskertoimia soveltaessaan ottaa huomioon tien rakentamisen vaiheittain tai pitkään elinkaareen perustuvaa lähestymistapaa käyttäen.”</w:t>
      </w:r>
    </w:p>
    <w:p>
      <w:pPr>
        <w:ind w:left="709"/>
        <w:rPr>
          <w:noProof/>
        </w:rPr>
      </w:pPr>
      <w:r>
        <w:rPr>
          <w:noProof/>
        </w:rPr>
        <w:t>— korvataan 2.2 kohdan toinen luetelmakohta seuraavasti:</w:t>
      </w:r>
    </w:p>
    <w:p>
      <w:pPr>
        <w:ind w:left="709"/>
        <w:rPr>
          <w:noProof/>
        </w:rPr>
      </w:pPr>
      <w:r>
        <w:rPr>
          <w:noProof/>
        </w:rPr>
        <w:t>”—</w:t>
      </w:r>
      <w:r>
        <w:rPr>
          <w:noProof/>
        </w:rPr>
        <w:tab/>
        <w:t>Nämä kustannukset on jaettava raskaiden ajoneuvojen ja muun liikenteen välillä eri ajoneuvojen todellisten ja ennakoitujen ajokilometrien perusteella ja niitä voidaan mukauttaa objektiivisesti perustelluilla 4 kohdan mukaisilla ’vastaavuuskertoimilla’.”</w:t>
      </w:r>
    </w:p>
    <w:p>
      <w:pPr>
        <w:ind w:left="709"/>
        <w:rPr>
          <w:noProof/>
        </w:rPr>
      </w:pPr>
      <w:r>
        <w:rPr>
          <w:noProof/>
        </w:rPr>
        <w:t>ii)</w:t>
      </w:r>
      <w:r>
        <w:rPr>
          <w:noProof/>
        </w:rPr>
        <w:tab/>
        <w:t>Korvataan 4 jaksossa otsikko ja ensimmäinen luetelmakohta seuraavasti:</w:t>
      </w:r>
    </w:p>
    <w:p>
      <w:pPr>
        <w:ind w:left="720" w:hanging="720"/>
        <w:rPr>
          <w:noProof/>
        </w:rPr>
      </w:pPr>
      <w:r>
        <w:rPr>
          <w:noProof/>
        </w:rPr>
        <w:t>”4.</w:t>
      </w:r>
      <w:r>
        <w:rPr>
          <w:noProof/>
        </w:rPr>
        <w:tab/>
        <w:t>RASKAAN AJONEUVOLIIKENTEEN OSUUS, VASTAAVUUSKERTOIMET JA OIKAISUMEKANISMI</w:t>
      </w:r>
    </w:p>
    <w:p>
      <w:pPr>
        <w:ind w:left="720" w:hanging="720"/>
        <w:rPr>
          <w:noProof/>
        </w:rPr>
      </w:pPr>
      <w:r>
        <w:rPr>
          <w:noProof/>
        </w:rPr>
        <w:t>–</w:t>
      </w:r>
      <w:r>
        <w:rPr>
          <w:noProof/>
        </w:rPr>
        <w:tab/>
        <w:t>Tietullien laskennan on perustuttava raskaiden ajoneuvojen todelliseen tai ennakoituun osuuteen ajokilometreistä mukautettuna haluttaessa vastaavuuskertoimilla, jotta raskaiden ajoneuvojen käytöstä aiheutuvien infrastruktuurin rakennus- ja kunnostuskustannusten nousu voitaisiin ottaa asianmukaisesti huomioon.”</w:t>
      </w:r>
    </w:p>
    <w:p>
      <w:pPr>
        <w:rPr>
          <w:noProof/>
        </w:rPr>
      </w:pPr>
      <w:r>
        <w:rPr>
          <w:noProof/>
        </w:rPr>
        <w:t>c)</w:t>
      </w:r>
      <w:r>
        <w:rPr>
          <w:noProof/>
        </w:rPr>
        <w:tab/>
        <w:t>Korvataan liite III a seuraavasti:</w:t>
      </w:r>
    </w:p>
    <w:p>
      <w:pPr>
        <w:pStyle w:val="Annexetitreacte"/>
        <w:rPr>
          <w:noProof/>
          <w:lang w:val="fi-FI"/>
        </w:rPr>
      </w:pPr>
      <w:r>
        <w:rPr>
          <w:noProof/>
          <w:lang w:val="fi-FI"/>
        </w:rPr>
        <w:t>”LIITE III a</w:t>
      </w:r>
    </w:p>
    <w:p>
      <w:pPr>
        <w:pStyle w:val="ManualHeading1"/>
        <w:ind w:left="851" w:hanging="851"/>
        <w:rPr>
          <w:noProof/>
        </w:rPr>
      </w:pPr>
      <w:r>
        <w:rPr>
          <w:i/>
          <w:noProof/>
        </w:rPr>
        <w:t>ULKOISIIN KUSTANNUKSIIN PERUSTUVAN MAKSUN PERIMISTÄ KOSKEVAT VÄHIMMÄISVAATIMUKSET</w:t>
      </w:r>
    </w:p>
    <w:p>
      <w:pPr>
        <w:rPr>
          <w:noProof/>
        </w:rPr>
      </w:pPr>
      <w:r>
        <w:rPr>
          <w:noProof/>
        </w:rPr>
        <w:t>Tässä liitteessä vahvistetaan ulkoisiin kustannuksiin perustuvan maksun perimistä ja, jos sellaista sovelletaan, ulkoisiin kustannuksiin perustuvan maksun enimmäismäärän laskemista koskevat vähimmäisvaatimukset.</w:t>
      </w:r>
    </w:p>
    <w:p>
      <w:pPr>
        <w:pStyle w:val="ManualHeading2"/>
        <w:ind w:left="851" w:hanging="851"/>
        <w:rPr>
          <w:noProof/>
        </w:rPr>
      </w:pPr>
      <w:r>
        <w:rPr>
          <w:noProof/>
        </w:rPr>
        <w:t>1.</w:t>
      </w:r>
      <w:r>
        <w:rPr>
          <w:noProof/>
        </w:rPr>
        <w:tab/>
      </w:r>
      <w:r>
        <w:rPr>
          <w:i/>
          <w:noProof/>
        </w:rPr>
        <w:t>Tieverkon osat, joihin maksua sovelletaan</w:t>
      </w:r>
    </w:p>
    <w:p>
      <w:pPr>
        <w:rPr>
          <w:noProof/>
        </w:rPr>
      </w:pPr>
      <w:r>
        <w:rPr>
          <w:noProof/>
        </w:rPr>
        <w:t>Jäsenvaltion on määritettävä tarkasti tieverkkonsa osa tai osat, joihin ulkoisiin kustannuksiin perustuvaa maksua on tarkoitus soveltaa.</w:t>
      </w:r>
    </w:p>
    <w:p>
      <w:pPr>
        <w:rPr>
          <w:noProof/>
        </w:rPr>
      </w:pPr>
      <w:r>
        <w:rPr>
          <w:noProof/>
        </w:rPr>
        <w:t>Kun jäsenvaltio aikoo periä ulkoisiin kustannuksiin perustuvaa maksua vain osassa tai osissa tieverkkoa, joka koostuu sen osuudesta Euroopan laajuisesta verkosta tai sen moottoriteistä, kyseinen osa tai kyseiset osat on valittava sen jälkeen, kun on arvioitu, että</w:t>
      </w:r>
    </w:p>
    <w:p>
      <w:pPr>
        <w:pStyle w:val="Tiret0"/>
        <w:numPr>
          <w:ilvl w:val="0"/>
          <w:numId w:val="5"/>
        </w:numPr>
        <w:ind w:left="851"/>
        <w:rPr>
          <w:noProof/>
        </w:rPr>
      </w:pPr>
      <w:r>
        <w:rPr>
          <w:noProof/>
        </w:rPr>
        <w:t>ajoneuvojen tienkäyttö tieosuuksilla, joihin sovelletaan ulkoisiin kustannuksiin perustuvaa maksua, aiheuttaa keskimääräistä enemmän ympäristövahinkoja ilmanlaatua koskevan raportoinnin, kansallisten päästökartoitusten ja liikennemäärien perusteella ja melun osalta direktiivin 2002/49/EY mukaisesti arvioituna, tai</w:t>
      </w:r>
    </w:p>
    <w:p>
      <w:pPr>
        <w:pStyle w:val="Tiret0"/>
        <w:numPr>
          <w:ilvl w:val="0"/>
          <w:numId w:val="10"/>
        </w:numPr>
        <w:ind w:left="851"/>
        <w:rPr>
          <w:noProof/>
        </w:rPr>
      </w:pPr>
      <w:r>
        <w:rPr>
          <w:noProof/>
        </w:rPr>
        <w:lastRenderedPageBreak/>
        <w:t>ulkoisiin kustannuksiin perustuvan maksun käyttöönotolla muissa osissa edellä mainittua tieverkkoa voisi olla haittavaikutuksia ympäristöön tai liikenneturvallisuuteen, tai ulkoisiin kustannuksiin perustuvan maksun periminen ja kerääminen niissä aiheuttaisi suhteettomia kustannuksia.</w:t>
      </w:r>
    </w:p>
    <w:p>
      <w:pPr>
        <w:pStyle w:val="ManualHeading2"/>
        <w:ind w:left="851" w:hanging="851"/>
        <w:rPr>
          <w:noProof/>
        </w:rPr>
      </w:pPr>
      <w:r>
        <w:rPr>
          <w:noProof/>
        </w:rPr>
        <w:t>2.</w:t>
      </w:r>
      <w:r>
        <w:rPr>
          <w:noProof/>
        </w:rPr>
        <w:tab/>
      </w:r>
      <w:r>
        <w:rPr>
          <w:i/>
          <w:noProof/>
        </w:rPr>
        <w:t>Ajoneuvot, tiet ja ajankohdat, joihin maksua sovelletaan</w:t>
      </w:r>
    </w:p>
    <w:p>
      <w:pPr>
        <w:rPr>
          <w:noProof/>
        </w:rPr>
      </w:pPr>
      <w:r>
        <w:rPr>
          <w:noProof/>
        </w:rPr>
        <w:t>Kun jäsenvaltio aikoo soveltaa liitteessä III b määriteltyjä viitearvoja korkeampia ulkoisiin kustannuksiin perustuvia maksuja, sen on ilmoitettava komissiolle ajoneuvoluokitus, jonka mukaan ulkoisiin kustannuksiin perustuva maksu on porrastettu. Sen on myös ilmoitettava komissiolle sellaisten teiden sijainti, joihin sovelletaan korkeampia ulkoisiin kustannuksiin perustuvia maksuja, jäljempänä ’taajamatiet (moottoritiet mukaan lukien)’, ja sellaisten teiden sijainti, joihin sovelletaan alempia ulkoisiin kustannuksiin perustuvia maksuja, jäljempänä ’kaupunkien väliset tiet (moottoritiet mukaan lukien)’.</w:t>
      </w:r>
    </w:p>
    <w:p>
      <w:pPr>
        <w:rPr>
          <w:noProof/>
        </w:rPr>
      </w:pPr>
      <w:r>
        <w:rPr>
          <w:noProof/>
        </w:rPr>
        <w:t>Jäsenvaltion on tapauksen mukaan ilmoitettava komissiolle myös tarkat ajankohdat, joilla määritellään yöaika, jonka aikana voidaan periä korkeampaa ulkoisiin melukustannuksiin perustuvaa maksua suurempien meluhaittojen ottamiseksi huomioon.</w:t>
      </w:r>
    </w:p>
    <w:p>
      <w:pPr>
        <w:rPr>
          <w:noProof/>
        </w:rPr>
      </w:pPr>
      <w:r>
        <w:rPr>
          <w:noProof/>
        </w:rPr>
        <w:t>Teiden luokittelussa taajamateihin (moottoritiet mukaan lukien) ja kaupunkien välisiin teihin (moottoritiet mukaan lukien) ja ajankohtien määrittelyssä on käytettävä objektiivisia perusteita, jotka liittyvät teiden ja niiden lähialueiden altistumiseen ympäristön pilaantumiselle, kuten väestötiheyttä, vuotuista keskimääräistä ilman pilaantumista (erityisesti PM</w:t>
      </w:r>
      <w:r>
        <w:rPr>
          <w:noProof/>
          <w:vertAlign w:val="subscript"/>
        </w:rPr>
        <w:t>10</w:t>
      </w:r>
      <w:r>
        <w:rPr>
          <w:noProof/>
        </w:rPr>
        <w:t>:n ja NO</w:t>
      </w:r>
      <w:r>
        <w:rPr>
          <w:noProof/>
          <w:vertAlign w:val="subscript"/>
        </w:rPr>
        <w:t>2</w:t>
      </w:r>
      <w:r>
        <w:rPr>
          <w:noProof/>
        </w:rPr>
        <w:t>:n osalta) sekä niiden päivien (PM</w:t>
      </w:r>
      <w:r>
        <w:rPr>
          <w:noProof/>
          <w:vertAlign w:val="subscript"/>
        </w:rPr>
        <w:t>10</w:t>
      </w:r>
      <w:r>
        <w:rPr>
          <w:noProof/>
        </w:rPr>
        <w:t>:n osalta) ja tuntien lukumäärää (NO</w:t>
      </w:r>
      <w:r>
        <w:rPr>
          <w:noProof/>
          <w:vertAlign w:val="subscript"/>
        </w:rPr>
        <w:t>2</w:t>
      </w:r>
      <w:r>
        <w:rPr>
          <w:noProof/>
        </w:rPr>
        <w:t>:n osalta), joina direktiivin 2008/50/EY nojalla vahvistetut raja-arvot ovat ylittyneet. Käytetyt perusteet on liitettävä ilmoitukseen.</w:t>
      </w:r>
    </w:p>
    <w:p>
      <w:pPr>
        <w:pStyle w:val="ManualHeading2"/>
        <w:ind w:left="851" w:hanging="851"/>
        <w:rPr>
          <w:noProof/>
        </w:rPr>
      </w:pPr>
      <w:r>
        <w:rPr>
          <w:noProof/>
        </w:rPr>
        <w:t>3.</w:t>
      </w:r>
      <w:r>
        <w:rPr>
          <w:noProof/>
        </w:rPr>
        <w:tab/>
      </w:r>
      <w:r>
        <w:rPr>
          <w:i/>
          <w:noProof/>
        </w:rPr>
        <w:t>Maksun määrä</w:t>
      </w:r>
    </w:p>
    <w:p>
      <w:pPr>
        <w:rPr>
          <w:rFonts w:eastAsia="Arial Unicode MS"/>
          <w:noProof/>
        </w:rPr>
      </w:pPr>
      <w:r>
        <w:rPr>
          <w:noProof/>
        </w:rPr>
        <w:t>Tätä jaksoa sovelletaan, jos jäsenvaltio aikoo soveltaa liitteessä III b määriteltyjä viitearvoja korkeampia ulkoisiin kustannuksiin perustuvia maksuja.</w:t>
      </w:r>
    </w:p>
    <w:p>
      <w:pPr>
        <w:rPr>
          <w:noProof/>
        </w:rPr>
      </w:pPr>
      <w:r>
        <w:rPr>
          <w:noProof/>
        </w:rPr>
        <w:t>Jäsenvaltion tai tarvittaessa riippumattoman viranomaisen on määritettävä yksi maksu kullekin ajoneuvoluokalle, tietyypille ja ajankohdalle. Tuloksena olevan maksurakenteen on oltava avoin, julkinen ja kaikkien käyttäjien saatavilla tasavertaisin edellytyksin. Se olisi julkaistava hyvissä ajoin ennen täytäntöönpanoa. Kaikki parametrit, luvut ja muut tiedot, joita tarvitaan sen ymmärtämiseen, miten eri ulkoiset kustannustekijät on laskettu, on julkistettava.</w:t>
      </w:r>
    </w:p>
    <w:p>
      <w:pPr>
        <w:rPr>
          <w:noProof/>
        </w:rPr>
      </w:pPr>
      <w:r>
        <w:rPr>
          <w:noProof/>
        </w:rPr>
        <w:t>Jäsenvaltion tai tarvittaessa riippumattoman viranomaisen on maksuja asettaessaan noudatettava tehokkaan hinnoittelun periaatetta, jonka mukaan hinnan on oltava lähellä ajoneuvon, johon maksua sovelletaan, käytön sosiaalisia rajakustannuksia.</w:t>
      </w:r>
    </w:p>
    <w:p>
      <w:pPr>
        <w:rPr>
          <w:noProof/>
        </w:rPr>
      </w:pPr>
      <w:r>
        <w:rPr>
          <w:noProof/>
        </w:rPr>
        <w:t>Ennen maksun vahvistamista on selvitettävä, onko olemassa riski liikenteen siirtymisestä muille teille, sekä mahdolliset haittavaikutukset liikenneturvallisuuteen, ympäristöön ja ruuhkiin ja ratkaisut näiden riskien pienentämiseksi.</w:t>
      </w:r>
    </w:p>
    <w:p>
      <w:pPr>
        <w:rPr>
          <w:noProof/>
        </w:rPr>
      </w:pPr>
      <w:r>
        <w:rPr>
          <w:noProof/>
        </w:rPr>
        <w:t>Jäsenvaltion tai tarvittaessa riippumattoman viranomaisen on seurattava maksujärjestelmän tuloksellisuutta tieliikenteestä johtuvien ympäristövahinkojen vähentämisessä. Sen on kahden vuoden välein tarvittaessa mukautettava maksurakennetta ja tietylle ajoneuvoluokalle, tietyypille ja ajankohdalle asetetun maksun määrää liikenteen tarjonnan ja kysynnän muutoksiin.</w:t>
      </w:r>
    </w:p>
    <w:p>
      <w:pPr>
        <w:pStyle w:val="ManualHeading3"/>
        <w:rPr>
          <w:i w:val="0"/>
          <w:iCs/>
          <w:noProof/>
        </w:rPr>
      </w:pPr>
      <w:r>
        <w:rPr>
          <w:b/>
          <w:noProof/>
        </w:rPr>
        <w:lastRenderedPageBreak/>
        <w:t>4.</w:t>
      </w:r>
      <w:r>
        <w:rPr>
          <w:noProof/>
        </w:rPr>
        <w:tab/>
      </w:r>
      <w:r>
        <w:rPr>
          <w:b/>
          <w:i w:val="0"/>
          <w:noProof/>
        </w:rPr>
        <w:t>Ulkoiset kustannustekijät</w:t>
      </w:r>
      <w:r>
        <w:rPr>
          <w:i w:val="0"/>
          <w:noProof/>
        </w:rPr>
        <w:t xml:space="preserve"> </w:t>
      </w:r>
    </w:p>
    <w:p>
      <w:pPr>
        <w:pStyle w:val="ManualHeading3"/>
        <w:rPr>
          <w:noProof/>
        </w:rPr>
      </w:pPr>
      <w:r>
        <w:rPr>
          <w:noProof/>
        </w:rPr>
        <w:t>4.1.</w:t>
      </w:r>
      <w:r>
        <w:rPr>
          <w:noProof/>
        </w:rPr>
        <w:tab/>
        <w:t>Liikenneperäisen ilman pilaantumisen kustannukset</w:t>
      </w:r>
    </w:p>
    <w:p>
      <w:pPr>
        <w:rPr>
          <w:noProof/>
        </w:rPr>
      </w:pPr>
      <w:r>
        <w:rPr>
          <w:noProof/>
        </w:rPr>
        <w:t>Kun jäsenvaltio aikoo soveltaa liitteessä III b määriteltyjä viitearvoja korkeampia ulkoisiin kustannuksiin perustuvia maksuja, kyseisen jäsenvaltion tai tarvittaessa riippumattoman viranomaisen on laskettava liikenneperäisestä ilman pilaantumisesta perittävät kustannukset seuraavan kaavan avulla:</w:t>
      </w:r>
    </w:p>
    <w:p>
      <w:pPr>
        <w:rPr>
          <w:noProof/>
        </w:rPr>
      </w:pPr>
      <w:r>
        <w:rPr>
          <w:noProof/>
          <w:lang w:val="en-US"/>
        </w:rPr>
        <w:drawing>
          <wp:inline distT="0" distB="0" distL="0" distR="0">
            <wp:extent cx="1714500" cy="2290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14125" cy="229013"/>
                    </a:xfrm>
                    <a:prstGeom prst="rect">
                      <a:avLst/>
                    </a:prstGeom>
                  </pic:spPr>
                </pic:pic>
              </a:graphicData>
            </a:graphic>
          </wp:inline>
        </w:drawing>
      </w:r>
    </w:p>
    <w:p>
      <w:pPr>
        <w:rPr>
          <w:noProof/>
        </w:rPr>
      </w:pPr>
      <w:r>
        <w:rPr>
          <w:noProof/>
        </w:rPr>
        <w:t>jossa:</w:t>
      </w:r>
    </w:p>
    <w:tbl>
      <w:tblPr>
        <w:tblW w:w="0" w:type="auto"/>
        <w:tblLayout w:type="fixed"/>
        <w:tblLook w:val="0000" w:firstRow="0" w:lastRow="0" w:firstColumn="0" w:lastColumn="0" w:noHBand="0" w:noVBand="0"/>
      </w:tblPr>
      <w:tblGrid>
        <w:gridCol w:w="557"/>
        <w:gridCol w:w="1022"/>
        <w:gridCol w:w="557"/>
        <w:gridCol w:w="7150"/>
      </w:tblGrid>
      <w:tr>
        <w:tc>
          <w:tcPr>
            <w:tcW w:w="557" w:type="dxa"/>
          </w:tcPr>
          <w:p>
            <w:pPr>
              <w:pStyle w:val="NormalLeft"/>
              <w:rPr>
                <w:noProof/>
              </w:rPr>
            </w:pPr>
            <w:r>
              <w:rPr>
                <w:noProof/>
              </w:rPr>
              <w:t>—</w:t>
            </w:r>
          </w:p>
        </w:tc>
        <w:tc>
          <w:tcPr>
            <w:tcW w:w="1022" w:type="dxa"/>
          </w:tcPr>
          <w:p>
            <w:pPr>
              <w:pStyle w:val="NormalLeft"/>
              <w:rPr>
                <w:noProof/>
              </w:rPr>
            </w:pPr>
            <w:r>
              <w:rPr>
                <w:noProof/>
              </w:rPr>
              <w:t>PCV</w:t>
            </w:r>
            <w:r>
              <w:rPr>
                <w:noProof/>
                <w:vertAlign w:val="subscript"/>
              </w:rPr>
              <w:t>ij</w:t>
            </w:r>
          </w:p>
        </w:tc>
        <w:tc>
          <w:tcPr>
            <w:tcW w:w="557" w:type="dxa"/>
          </w:tcPr>
          <w:p>
            <w:pPr>
              <w:pStyle w:val="NormalLeft"/>
              <w:rPr>
                <w:noProof/>
              </w:rPr>
            </w:pPr>
            <w:r>
              <w:rPr>
                <w:noProof/>
              </w:rPr>
              <w:t>=</w:t>
            </w:r>
          </w:p>
        </w:tc>
        <w:tc>
          <w:tcPr>
            <w:tcW w:w="7150" w:type="dxa"/>
          </w:tcPr>
          <w:p>
            <w:pPr>
              <w:pStyle w:val="NormalLeft"/>
              <w:rPr>
                <w:noProof/>
              </w:rPr>
            </w:pPr>
            <w:r>
              <w:rPr>
                <w:noProof/>
              </w:rPr>
              <w:t>luokan i ajoneuvon tietyypillä j aiheuttaman ilman pilaantumisen kustannus (euroa/ajoneuvokilometri)</w:t>
            </w:r>
          </w:p>
        </w:tc>
      </w:tr>
      <w:tr>
        <w:tc>
          <w:tcPr>
            <w:tcW w:w="557" w:type="dxa"/>
          </w:tcPr>
          <w:p>
            <w:pPr>
              <w:pStyle w:val="NormalLeft"/>
              <w:rPr>
                <w:noProof/>
              </w:rPr>
            </w:pPr>
            <w:r>
              <w:rPr>
                <w:noProof/>
              </w:rPr>
              <w:t>—</w:t>
            </w:r>
          </w:p>
        </w:tc>
        <w:tc>
          <w:tcPr>
            <w:tcW w:w="1022" w:type="dxa"/>
          </w:tcPr>
          <w:p>
            <w:pPr>
              <w:pStyle w:val="NormalLeft"/>
              <w:rPr>
                <w:noProof/>
              </w:rPr>
            </w:pPr>
            <w:r>
              <w:rPr>
                <w:noProof/>
              </w:rPr>
              <w:t>EF</w:t>
            </w:r>
            <w:r>
              <w:rPr>
                <w:noProof/>
                <w:vertAlign w:val="subscript"/>
              </w:rPr>
              <w:t>ik</w:t>
            </w:r>
          </w:p>
        </w:tc>
        <w:tc>
          <w:tcPr>
            <w:tcW w:w="557" w:type="dxa"/>
          </w:tcPr>
          <w:p>
            <w:pPr>
              <w:pStyle w:val="NormalLeft"/>
              <w:rPr>
                <w:noProof/>
              </w:rPr>
            </w:pPr>
            <w:r>
              <w:rPr>
                <w:noProof/>
              </w:rPr>
              <w:t>=</w:t>
            </w:r>
          </w:p>
        </w:tc>
        <w:tc>
          <w:tcPr>
            <w:tcW w:w="7150" w:type="dxa"/>
          </w:tcPr>
          <w:p>
            <w:pPr>
              <w:pStyle w:val="NormalLeft"/>
              <w:rPr>
                <w:noProof/>
              </w:rPr>
            </w:pPr>
            <w:r>
              <w:rPr>
                <w:noProof/>
              </w:rPr>
              <w:t>epäpuhtauden k ja ajoneuvoluokan i päästökerroin (grammaa/ajoneuvokilometri)</w:t>
            </w:r>
          </w:p>
        </w:tc>
      </w:tr>
      <w:tr>
        <w:tc>
          <w:tcPr>
            <w:tcW w:w="557" w:type="dxa"/>
          </w:tcPr>
          <w:p>
            <w:pPr>
              <w:pStyle w:val="NormalLeft"/>
              <w:rPr>
                <w:noProof/>
              </w:rPr>
            </w:pPr>
            <w:r>
              <w:rPr>
                <w:noProof/>
              </w:rPr>
              <w:t>—</w:t>
            </w:r>
          </w:p>
        </w:tc>
        <w:tc>
          <w:tcPr>
            <w:tcW w:w="1022" w:type="dxa"/>
          </w:tcPr>
          <w:p>
            <w:pPr>
              <w:pStyle w:val="NormalLeft"/>
              <w:rPr>
                <w:noProof/>
              </w:rPr>
            </w:pPr>
            <w:r>
              <w:rPr>
                <w:noProof/>
              </w:rPr>
              <w:t>PC</w:t>
            </w:r>
            <w:r>
              <w:rPr>
                <w:noProof/>
                <w:vertAlign w:val="subscript"/>
              </w:rPr>
              <w:t>jk</w:t>
            </w:r>
          </w:p>
        </w:tc>
        <w:tc>
          <w:tcPr>
            <w:tcW w:w="557" w:type="dxa"/>
          </w:tcPr>
          <w:p>
            <w:pPr>
              <w:pStyle w:val="NormalLeft"/>
              <w:rPr>
                <w:noProof/>
              </w:rPr>
            </w:pPr>
            <w:r>
              <w:rPr>
                <w:noProof/>
              </w:rPr>
              <w:t>=</w:t>
            </w:r>
          </w:p>
        </w:tc>
        <w:tc>
          <w:tcPr>
            <w:tcW w:w="7150" w:type="dxa"/>
          </w:tcPr>
          <w:p>
            <w:pPr>
              <w:pStyle w:val="NormalLeft"/>
              <w:rPr>
                <w:noProof/>
              </w:rPr>
            </w:pPr>
            <w:r>
              <w:rPr>
                <w:noProof/>
              </w:rPr>
              <w:t>epäpuhtauden k rahallinen kustannus tietyypillä j (euroa/gramma).</w:t>
            </w:r>
          </w:p>
        </w:tc>
      </w:tr>
    </w:tbl>
    <w:p>
      <w:pPr>
        <w:rPr>
          <w:noProof/>
        </w:rPr>
      </w:pPr>
    </w:p>
    <w:p>
      <w:pPr>
        <w:rPr>
          <w:noProof/>
        </w:rPr>
      </w:pPr>
      <w:r>
        <w:rPr>
          <w:noProof/>
        </w:rPr>
        <w:t>Päästökertoimet ovat samat kuin ne, joita jäsenvaltiot käyttävät laatiessaan tiettyjen ilman epäpuhtauksien kansallisten päästöjen vähentämisestä annetun direktiivin (EU) 2016/2284* mukaisia kansallisia päästökartoituksia (joissa on käytettävä ilman epäpuhtauksien päästöjen inventaariota koskevia EMEP/EEA Guidebook -ohjeita**). Jäsenvaltion tai tarvittaessa 7 c artiklan 4 kohdassa tarkoitetun riippumattoman viranomaisen on arvioitava epäpuhtauksien rahalliset kustannukset tieteellisesti todennettuja menetelmiä käyttäen.</w:t>
      </w:r>
    </w:p>
    <w:p>
      <w:pPr>
        <w:rPr>
          <w:noProof/>
        </w:rPr>
      </w:pPr>
      <w:r>
        <w:rPr>
          <w:noProof/>
        </w:rPr>
        <w:t>Jäsenvaltio tai tarvittaessa riippumaton viranomainen voi soveltaa ilman pilaantumisen aiheuttamien kustannusten arvojen laskentaan tieteellisesti todennettuja vaihtoehtoisia menetelmiä, joissa käytetään ilman epäpuhtauksien mittaustietoja ja ilman epäpuhtauksien rahallisten kustannusten paikallista arvoa.</w:t>
      </w:r>
    </w:p>
    <w:p>
      <w:pPr>
        <w:pStyle w:val="ManualHeading3"/>
        <w:rPr>
          <w:noProof/>
        </w:rPr>
      </w:pPr>
      <w:r>
        <w:rPr>
          <w:noProof/>
        </w:rPr>
        <w:t>4.2.</w:t>
      </w:r>
      <w:r>
        <w:rPr>
          <w:noProof/>
        </w:rPr>
        <w:tab/>
        <w:t>Liikenneperäisten meluhaittojen kustannukset</w:t>
      </w:r>
    </w:p>
    <w:p>
      <w:pPr>
        <w:rPr>
          <w:noProof/>
        </w:rPr>
      </w:pPr>
      <w:r>
        <w:rPr>
          <w:noProof/>
        </w:rPr>
        <w:t>Kun jäsenvaltio aikoo soveltaa liitteessä III b määriteltyjä viitearvoja korkeampia ulkoisiin kustannuksiin perustuvia maksuja, kyseisen jäsenvaltion tai tarvittaessa riippumattoman viranomaisen on laskettava liikenneperäisistä meluhaitoista perittävät kustannukset seuraavien kaavojen avulla:</w:t>
      </w:r>
    </w:p>
    <w:p>
      <w:pPr>
        <w:rPr>
          <w:noProof/>
        </w:rPr>
      </w:pPr>
      <w:r>
        <w:rPr>
          <w:noProof/>
          <w:lang w:val="en-US"/>
        </w:rPr>
        <w:drawing>
          <wp:inline distT="0" distB="0" distL="0" distR="0">
            <wp:extent cx="2673997" cy="962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67416" cy="959657"/>
                    </a:xfrm>
                    <a:prstGeom prst="rect">
                      <a:avLst/>
                    </a:prstGeom>
                  </pic:spPr>
                </pic:pic>
              </a:graphicData>
            </a:graphic>
          </wp:inline>
        </w:drawing>
      </w:r>
    </w:p>
    <w:p>
      <w:pPr>
        <w:rPr>
          <w:noProof/>
        </w:rPr>
      </w:pPr>
      <w:r>
        <w:rPr>
          <w:noProof/>
        </w:rPr>
        <w:t>jossa:</w:t>
      </w:r>
    </w:p>
    <w:tbl>
      <w:tblPr>
        <w:tblW w:w="0" w:type="auto"/>
        <w:tblLayout w:type="fixed"/>
        <w:tblLook w:val="0000" w:firstRow="0" w:lastRow="0" w:firstColumn="0" w:lastColumn="0" w:noHBand="0" w:noVBand="0"/>
      </w:tblPr>
      <w:tblGrid>
        <w:gridCol w:w="557"/>
        <w:gridCol w:w="1207"/>
        <w:gridCol w:w="372"/>
        <w:gridCol w:w="7150"/>
      </w:tblGrid>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NCV</w:t>
            </w:r>
            <w:r>
              <w:rPr>
                <w:noProof/>
                <w:vertAlign w:val="subscript"/>
              </w:rPr>
              <w:t>j</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yhden raskaan tavarankuljetusajoneuvon tietyypillä j aiheuttaman meluhaitan kustannus (euroa/ajoneuvokilometri)</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NC</w:t>
            </w:r>
            <w:r>
              <w:rPr>
                <w:noProof/>
                <w:vertAlign w:val="subscript"/>
              </w:rPr>
              <w:t>jk</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 xml:space="preserve">melun kustannus melutasolle k altistunutta henkilöä kohden tietyypillä j </w:t>
            </w:r>
            <w:r>
              <w:rPr>
                <w:noProof/>
              </w:rPr>
              <w:lastRenderedPageBreak/>
              <w:t>(euroa/henkilö)</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lastRenderedPageBreak/>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POP</w:t>
            </w:r>
            <w:r>
              <w:rPr>
                <w:noProof/>
                <w:vertAlign w:val="subscript"/>
              </w:rPr>
              <w:t>k</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päivittäiselle melutasolle k altistunut väestö kilometriä kohden (henkilöä/kilometri)</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WADT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painotettu keskimääräinen vuorokausiliikenne (henkilöautoekvivalenttia)</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 ja b</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ovat painotuskertoimet, jotka jäsenvaltio on määrittänyt niin, että tuloksena saatu painotettu keskimääräinen melumaksu ajoneuvokilometriä kohden vastaa arvoa NCV</w:t>
            </w:r>
            <w:r>
              <w:rPr>
                <w:noProof/>
                <w:vertAlign w:val="subscript"/>
              </w:rPr>
              <w:t>j</w:t>
            </w:r>
            <w:r>
              <w:rPr>
                <w:noProof/>
              </w:rPr>
              <w:t xml:space="preserve"> (päivittäinen).</w:t>
            </w:r>
          </w:p>
        </w:tc>
      </w:tr>
    </w:tbl>
    <w:p>
      <w:pPr>
        <w:rPr>
          <w:noProof/>
        </w:rPr>
      </w:pPr>
    </w:p>
    <w:p>
      <w:pPr>
        <w:rPr>
          <w:noProof/>
        </w:rPr>
      </w:pPr>
      <w:r>
        <w:rPr>
          <w:noProof/>
        </w:rPr>
        <w:t>Liikenneperäiset meluhaitat liittyvät melun vaikutuksiin tien ympäristössä asuvien kansalaisten terveyteen.</w:t>
      </w:r>
    </w:p>
    <w:p>
      <w:pPr>
        <w:rPr>
          <w:noProof/>
        </w:rPr>
      </w:pPr>
      <w:r>
        <w:rPr>
          <w:noProof/>
        </w:rPr>
        <w:t>Melutasolle k altistunut väestö otetaan Euroopan parlamentin ja neuvoston direktiivin 2002/49/EY*** 7 artiklan nojalla laadituista strategisista melukartoista.</w:t>
      </w:r>
    </w:p>
    <w:p>
      <w:pPr>
        <w:rPr>
          <w:noProof/>
        </w:rPr>
      </w:pPr>
      <w:r>
        <w:rPr>
          <w:noProof/>
        </w:rPr>
        <w:t>Jäsenvaltion tai tarvittaessa riippumattoman viranomaisen on arvioitava kustannukset melutasolle k altistunutta henkilöä kohden tieteellisesti todennettuja menetelmiä käyttäen.</w:t>
      </w:r>
    </w:p>
    <w:p>
      <w:pPr>
        <w:rPr>
          <w:noProof/>
        </w:rPr>
      </w:pPr>
      <w:r>
        <w:rPr>
          <w:noProof/>
        </w:rPr>
        <w:t>Painotetun keskimääräisen vuorokausiliikenteen vastaavuuskerroin ’e’ raskaiden tavarankuljetusajoneuvojen ja henkilöautojen välillä johdetaan keskimääräisen henkilöauton ja keskimääräisen raskaan tavarankuljetusajoneuvon melupäästötasojen perusteella ja ottaen huomioon moottoriajoneuvojen ja varaosaäänenvaimennusjärjestelmien melutasosta, direktiivin 2007/46/EY muuttamisesta ja direktiivin 70/157/ETY kumoamisesta 16 päivänä huhtikuuta 2014 annettu Euroopan parlamentin ja neuvoston asetus (EU) N:o 540/2014.</w:t>
      </w:r>
    </w:p>
    <w:p>
      <w:pPr>
        <w:rPr>
          <w:noProof/>
        </w:rPr>
      </w:pPr>
      <w:r>
        <w:rPr>
          <w:noProof/>
        </w:rPr>
        <w:t>Jäsenvaltio tai tarvittaessa riippumaton viranomainen voi määrittää eriytettyjä melumaksuja antaakseen hyvitystä hiljaisempien ajoneuvojen käytöstä edellyttäen, että se ei johda ulkomaisten ajoneuvojen syrjimiseen.</w:t>
      </w:r>
    </w:p>
    <w:p>
      <w:pPr>
        <w:rPr>
          <w:noProof/>
        </w:rPr>
      </w:pPr>
      <w:r>
        <w:rPr>
          <w:noProof/>
        </w:rPr>
        <w:t>_____________</w:t>
      </w:r>
    </w:p>
    <w:p>
      <w:pPr>
        <w:rPr>
          <w:noProof/>
        </w:rPr>
      </w:pPr>
      <w:r>
        <w:rPr>
          <w:noProof/>
        </w:rPr>
        <w:t>*</w:t>
      </w:r>
      <w:r>
        <w:rPr>
          <w:noProof/>
        </w:rPr>
        <w:tab/>
        <w:t xml:space="preserve">Euroopan parlamentin ja neuvoston direktiivi (EU) 2016/2284, annettu 14 päivänä joulukuuta 2016, tiettyjen ilman epäpuhtauksien kansallisten päästöjen vähentämisestä, direktiivin 2003/35/EY muuttamisesta sekä direktiivin 2001/81/EY kumoamisesta (EUVL L 344, 17.12.2016, s. 1). </w:t>
      </w:r>
    </w:p>
    <w:p>
      <w:pPr>
        <w:rPr>
          <w:noProof/>
        </w:rPr>
      </w:pPr>
      <w:r>
        <w:rPr>
          <w:noProof/>
        </w:rPr>
        <w:t>**</w:t>
      </w:r>
      <w:r>
        <w:rPr>
          <w:noProof/>
        </w:rPr>
        <w:tab/>
        <w:t>Euroopan ympäristökeskuksen menetelmät: http://www.eea.europa.eu//publications/emep-eea-guidebook-2016</w:t>
      </w:r>
    </w:p>
    <w:p>
      <w:pPr>
        <w:rPr>
          <w:noProof/>
        </w:rPr>
      </w:pPr>
      <w:r>
        <w:rPr>
          <w:noProof/>
        </w:rPr>
        <w:t>***</w:t>
      </w:r>
      <w:r>
        <w:rPr>
          <w:noProof/>
        </w:rPr>
        <w:tab/>
        <w:t>Euroopan parlamentin ja neuvoston direktiivi 2002/49/EY, annettu 25 päivänä kesäkuuta 2002, ympäristömelun arvioinnista ja hallinnasta (EYVL L 189, 18.7.2002, s. 12).”</w:t>
      </w:r>
    </w:p>
    <w:p>
      <w:pPr>
        <w:rPr>
          <w:noProof/>
        </w:rPr>
      </w:pPr>
    </w:p>
    <w:p>
      <w:pPr>
        <w:rPr>
          <w:noProof/>
        </w:rPr>
      </w:pPr>
      <w:r>
        <w:rPr>
          <w:noProof/>
        </w:rPr>
        <w:t>d)</w:t>
      </w:r>
      <w:r>
        <w:rPr>
          <w:noProof/>
        </w:rPr>
        <w:tab/>
        <w:t>Korvataan liite III b seuraavasti:</w:t>
      </w:r>
    </w:p>
    <w:p>
      <w:pPr>
        <w:pStyle w:val="Annexetitreacte"/>
        <w:rPr>
          <w:noProof/>
          <w:lang w:val="fi-FI"/>
        </w:rPr>
      </w:pPr>
      <w:r>
        <w:rPr>
          <w:noProof/>
          <w:lang w:val="fi-FI"/>
        </w:rPr>
        <w:t>”LIITE III b</w:t>
      </w:r>
    </w:p>
    <w:p>
      <w:pPr>
        <w:pStyle w:val="NormalCentered"/>
        <w:rPr>
          <w:b/>
          <w:bCs/>
          <w:noProof/>
        </w:rPr>
      </w:pPr>
      <w:r>
        <w:rPr>
          <w:b/>
          <w:noProof/>
        </w:rPr>
        <w:t>ULKOISIIN KUSTANNUKSIIN PERUSTUVAN MAKSUN VIITEARVOT</w:t>
      </w:r>
    </w:p>
    <w:p>
      <w:pPr>
        <w:rPr>
          <w:noProof/>
        </w:rPr>
      </w:pPr>
      <w:r>
        <w:rPr>
          <w:noProof/>
        </w:rPr>
        <w:t>Tässä liitteessä vahvistetaan ulkoisiin kustannuksiin perustuvan maksun viitearvot, mukaan lukien ilman pilaantumisen ja melun kustannukset.</w:t>
      </w:r>
    </w:p>
    <w:p>
      <w:pPr>
        <w:spacing w:before="100" w:beforeAutospacing="1" w:after="100" w:afterAutospacing="1"/>
        <w:ind w:left="800" w:hanging="400"/>
        <w:rPr>
          <w:rFonts w:eastAsia="Arial Unicode MS"/>
          <w:noProof/>
        </w:rPr>
      </w:pPr>
      <w:r>
        <w:rPr>
          <w:i/>
          <w:noProof/>
        </w:rPr>
        <w:lastRenderedPageBreak/>
        <w:t>Taulukko 1:</w:t>
      </w:r>
      <w:r>
        <w:rPr>
          <w:noProof/>
        </w:rPr>
        <w:t>  </w:t>
      </w:r>
      <w:r>
        <w:rPr>
          <w:i/>
          <w:noProof/>
        </w:rPr>
        <w:t>Raskaiden tavarankuljetusajoneuvojen ulkoisiin kustannuksiin perustuvan maksun viitearvot</w:t>
      </w:r>
    </w:p>
    <w:tbl>
      <w:tblPr>
        <w:tblW w:w="8740" w:type="dxa"/>
        <w:jc w:val="center"/>
        <w:tblCellSpacing w:w="0" w:type="dxa"/>
        <w:tblInd w:w="-278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63"/>
        <w:gridCol w:w="3058"/>
        <w:gridCol w:w="1644"/>
        <w:gridCol w:w="1475"/>
      </w:tblGrid>
      <w:tr>
        <w:trPr>
          <w:tblCellSpacing w:w="0" w:type="dxa"/>
          <w:jc w:val="center"/>
        </w:trPr>
        <w:tc>
          <w:tcPr>
            <w:tcW w:w="1366" w:type="pct"/>
            <w:tcBorders>
              <w:top w:val="outset" w:sz="6" w:space="0" w:color="auto"/>
              <w:left w:val="outset" w:sz="6" w:space="0" w:color="auto"/>
              <w:bottom w:val="outset" w:sz="6" w:space="0" w:color="auto"/>
              <w:right w:val="outset" w:sz="6" w:space="0" w:color="auto"/>
            </w:tcBorders>
          </w:tcPr>
          <w:p>
            <w:pPr>
              <w:spacing w:before="100" w:beforeAutospacing="1" w:after="100" w:afterAutospacing="1"/>
              <w:rPr>
                <w:b/>
                <w:bCs/>
                <w:noProof/>
              </w:rPr>
            </w:pPr>
            <w:r>
              <w:rPr>
                <w:b/>
                <w:noProof/>
              </w:rPr>
              <w:t>Ajoneuvoluokka</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b/>
                <w:bCs/>
                <w:noProof/>
              </w:rPr>
            </w:pPr>
            <w:r>
              <w:rPr>
                <w:b/>
                <w:noProof/>
              </w:rPr>
              <w:t>senttiä/ajoneuvokilometri</w:t>
            </w:r>
          </w:p>
        </w:tc>
        <w:tc>
          <w:tcPr>
            <w:tcW w:w="974"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Taajama</w:t>
            </w:r>
            <w:r>
              <w:rPr>
                <w:b/>
                <w:noProof/>
                <w:vertAlign w:val="superscript"/>
              </w:rPr>
              <w:t>(1)</w:t>
            </w:r>
          </w:p>
        </w:tc>
        <w:tc>
          <w:tcPr>
            <w:tcW w:w="877"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Kaupunkien välinen</w:t>
            </w:r>
            <w:r>
              <w:rPr>
                <w:b/>
                <w:noProof/>
                <w:vertAlign w:val="superscript"/>
              </w:rPr>
              <w:t>(2)</w:t>
            </w:r>
          </w:p>
        </w:tc>
      </w:tr>
      <w:tr>
        <w:trPr>
          <w:tblCellSpacing w:w="0" w:type="dxa"/>
          <w:jc w:val="center"/>
        </w:trPr>
        <w:tc>
          <w:tcPr>
            <w:tcW w:w="1366" w:type="pct"/>
            <w:vMerge w:val="restart"/>
            <w:tcBorders>
              <w:top w:val="outset" w:sz="6" w:space="0" w:color="auto"/>
              <w:left w:val="outset" w:sz="6" w:space="0" w:color="auto"/>
              <w:right w:val="outset" w:sz="6" w:space="0" w:color="auto"/>
            </w:tcBorders>
          </w:tcPr>
          <w:p>
            <w:pPr>
              <w:spacing w:before="100" w:beforeAutospacing="1" w:after="100" w:afterAutospacing="1"/>
              <w:rPr>
                <w:noProof/>
              </w:rPr>
            </w:pPr>
            <w:r>
              <w:rPr>
                <w:noProof/>
              </w:rPr>
              <w:t xml:space="preserve">Raskaat tavarankuljetusajoneuvot, joiden suurin sallittu kokonaispaino on </w:t>
            </w:r>
          </w:p>
          <w:p>
            <w:pPr>
              <w:spacing w:before="100" w:beforeAutospacing="1" w:after="100" w:afterAutospacing="1"/>
              <w:rPr>
                <w:noProof/>
              </w:rPr>
            </w:pPr>
            <w:r>
              <w:rPr>
                <w:noProof/>
              </w:rPr>
              <w:t>alle 14 tonnia</w:t>
            </w:r>
          </w:p>
          <w:p>
            <w:pPr>
              <w:spacing w:before="100" w:beforeAutospacing="1" w:after="100" w:afterAutospacing="1"/>
              <w:rPr>
                <w:noProof/>
              </w:rPr>
            </w:pPr>
            <w:r>
              <w:rPr>
                <w:noProof/>
              </w:rPr>
              <w:t>tai joissa on kaksi akselia</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8,3</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9,1</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5,4</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8,8</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5,4</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7,7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4,3</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5,9</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3,1</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Vähemmän saastuttavat kuin EURO VI -luokan ajoneuvot</w:t>
            </w:r>
          </w:p>
        </w:tc>
        <w:tc>
          <w:tcPr>
            <w:tcW w:w="974" w:type="pct"/>
            <w:tcBorders>
              <w:top w:val="outset" w:sz="6" w:space="0" w:color="auto"/>
              <w:left w:val="outset" w:sz="6" w:space="0" w:color="auto"/>
              <w:bottom w:val="outset" w:sz="6" w:space="0" w:color="auto"/>
              <w:right w:val="outset" w:sz="6" w:space="0" w:color="auto"/>
            </w:tcBorders>
            <w:shd w:val="clear" w:color="auto" w:fill="auto"/>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shd w:val="clear" w:color="auto" w:fill="auto"/>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Raskaat tavarankuljetusajoneuvot, joiden suurin sallittu kokonaispaino on </w:t>
            </w:r>
          </w:p>
          <w:p>
            <w:pPr>
              <w:spacing w:before="100" w:beforeAutospacing="1" w:after="100" w:afterAutospacing="1"/>
              <w:rPr>
                <w:noProof/>
              </w:rPr>
            </w:pPr>
            <w:r>
              <w:rPr>
                <w:noProof/>
              </w:rPr>
              <w:t xml:space="preserve">14–28 tonnia </w:t>
            </w:r>
          </w:p>
          <w:p>
            <w:pPr>
              <w:spacing w:before="100" w:beforeAutospacing="1" w:after="100" w:afterAutospacing="1"/>
              <w:rPr>
                <w:noProof/>
              </w:rPr>
            </w:pPr>
            <w:r>
              <w:rPr>
                <w:noProof/>
              </w:rPr>
              <w:t>tai joissa on kolme akselia</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23,3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15,1</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16,4</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10,1</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8,2</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8,9</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Vähemmän saastuttavat kuin EURO VI -luokan ajoneuvot</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Raskaat tavarankuljetusajoneuvot, joiden suurin sallittu kokonaispaino on </w:t>
            </w:r>
          </w:p>
          <w:p>
            <w:pPr>
              <w:spacing w:before="100" w:beforeAutospacing="1" w:after="100" w:afterAutospacing="1"/>
              <w:rPr>
                <w:noProof/>
              </w:rPr>
            </w:pPr>
            <w:r>
              <w:rPr>
                <w:noProof/>
              </w:rPr>
              <w:t xml:space="preserve">28–40 tonnia </w:t>
            </w:r>
          </w:p>
          <w:p>
            <w:pPr>
              <w:spacing w:before="100" w:beforeAutospacing="1" w:after="100" w:afterAutospacing="1"/>
              <w:rPr>
                <w:noProof/>
              </w:rPr>
            </w:pPr>
            <w:r>
              <w:rPr>
                <w:noProof/>
              </w:rPr>
              <w:t>tai joissa on neljä akselia</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30,4</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22,6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21,3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17,8</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11,2</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7,7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4,0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Vähemmän saastuttavat kuin EURO VI -luokan ajoneuvot</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Raskaat tavarankuljetusajoneuvot, joiden suurin sallittu kokonaispaino on </w:t>
            </w:r>
          </w:p>
          <w:p>
            <w:pPr>
              <w:spacing w:before="100" w:beforeAutospacing="1" w:after="100" w:afterAutospacing="1"/>
              <w:rPr>
                <w:noProof/>
              </w:rPr>
            </w:pPr>
            <w:r>
              <w:rPr>
                <w:noProof/>
              </w:rPr>
              <w:t xml:space="preserve">yli 40 tonnia </w:t>
            </w:r>
          </w:p>
          <w:p>
            <w:pPr>
              <w:spacing w:before="100" w:beforeAutospacing="1" w:after="100" w:afterAutospacing="1"/>
              <w:rPr>
                <w:noProof/>
              </w:rPr>
            </w:pPr>
            <w:r>
              <w:rPr>
                <w:noProof/>
              </w:rPr>
              <w:lastRenderedPageBreak/>
              <w:t>tai joissa on vähintään viisi akselia</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lastRenderedPageBreak/>
              <w:t>EURO 0</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43,0</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28,6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31,5</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19,8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29,2</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19,4</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24,0</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15,6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16,2</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10,6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9,8</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4,7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contextualSpacing/>
              <w:rPr>
                <w:noProof/>
              </w:rPr>
            </w:pPr>
            <w:r>
              <w:rPr>
                <w:noProof/>
              </w:rPr>
              <w:t>Vähemmän saastuttavat kuin EURO VI -luokan ajoneuvot</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bl>
    <w:p>
      <w:pPr>
        <w:rPr>
          <w:rFonts w:eastAsia="Arial Unicode MS"/>
          <w:noProof/>
        </w:rPr>
      </w:pPr>
      <w:r>
        <w:rPr>
          <w:noProof/>
          <w:vertAlign w:val="superscript"/>
        </w:rPr>
        <w:t>(1)</w:t>
      </w:r>
      <w:r>
        <w:rPr>
          <w:noProof/>
        </w:rPr>
        <w:t xml:space="preserve"> ’Taajamalla’ tarkoitetaan alueita, joiden väestötiheys on 150–900 asukasta/km</w:t>
      </w:r>
      <w:r>
        <w:rPr>
          <w:noProof/>
          <w:vertAlign w:val="superscript"/>
        </w:rPr>
        <w:t>2</w:t>
      </w:r>
      <w:r>
        <w:rPr>
          <w:noProof/>
        </w:rPr>
        <w:t xml:space="preserve"> (mediaaniväestötiheys 300 asukasta/km</w:t>
      </w:r>
      <w:r>
        <w:rPr>
          <w:noProof/>
          <w:vertAlign w:val="superscript"/>
        </w:rPr>
        <w:t>2</w:t>
      </w:r>
      <w:r>
        <w:rPr>
          <w:noProof/>
        </w:rPr>
        <w:t>).</w:t>
      </w:r>
    </w:p>
    <w:p>
      <w:pPr>
        <w:rPr>
          <w:rFonts w:eastAsia="Arial Unicode MS"/>
          <w:noProof/>
          <w:szCs w:val="24"/>
        </w:rPr>
      </w:pPr>
      <w:r>
        <w:rPr>
          <w:noProof/>
          <w:vertAlign w:val="superscript"/>
        </w:rPr>
        <w:t>(2)</w:t>
      </w:r>
      <w:r>
        <w:rPr>
          <w:noProof/>
        </w:rPr>
        <w:tab/>
        <w:t>’Kaupunkien välisellä’ tarkoitetaan alueita, joiden väestötiheys on alle 150 asukasta/km</w:t>
      </w:r>
      <w:r>
        <w:rPr>
          <w:noProof/>
          <w:vertAlign w:val="superscript"/>
        </w:rPr>
        <w:t>2</w:t>
      </w:r>
      <w:r>
        <w:rPr>
          <w:noProof/>
        </w:rPr>
        <w:t>.</w:t>
      </w:r>
    </w:p>
    <w:p>
      <w:pPr>
        <w:keepNext/>
        <w:spacing w:before="100" w:beforeAutospacing="1" w:after="100" w:afterAutospacing="1"/>
        <w:ind w:left="800" w:hanging="400"/>
        <w:rPr>
          <w:rFonts w:eastAsia="Arial Unicode MS"/>
          <w:i/>
          <w:iCs/>
          <w:noProof/>
        </w:rPr>
      </w:pPr>
      <w:r>
        <w:rPr>
          <w:i/>
          <w:noProof/>
        </w:rPr>
        <w:t>Taulukko 2: Linja-autojen ulkoisiin kustannuksiin perustuvan maksun viitearvot</w:t>
      </w:r>
    </w:p>
    <w:tbl>
      <w:tblPr>
        <w:tblW w:w="8710" w:type="dxa"/>
        <w:jc w:val="center"/>
        <w:tblCellSpacing w:w="0" w:type="dxa"/>
        <w:tblInd w:w="-300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3"/>
        <w:gridCol w:w="3109"/>
        <w:gridCol w:w="1709"/>
        <w:gridCol w:w="1519"/>
      </w:tblGrid>
      <w:tr>
        <w:trPr>
          <w:tblCellSpacing w:w="0" w:type="dxa"/>
          <w:jc w:val="center"/>
        </w:trPr>
        <w:tc>
          <w:tcPr>
            <w:tcW w:w="1362" w:type="pct"/>
            <w:tcBorders>
              <w:top w:val="outset" w:sz="6" w:space="0" w:color="auto"/>
              <w:left w:val="outset" w:sz="6" w:space="0" w:color="auto"/>
              <w:bottom w:val="outset" w:sz="6" w:space="0" w:color="auto"/>
              <w:right w:val="outset" w:sz="6" w:space="0" w:color="auto"/>
            </w:tcBorders>
          </w:tcPr>
          <w:p>
            <w:pPr>
              <w:keepNext/>
              <w:spacing w:before="100" w:beforeAutospacing="1" w:after="100" w:afterAutospacing="1"/>
              <w:rPr>
                <w:b/>
                <w:bCs/>
                <w:noProof/>
              </w:rPr>
            </w:pPr>
            <w:r>
              <w:rPr>
                <w:b/>
                <w:noProof/>
              </w:rPr>
              <w:t>Ajoneuvoluokka</w:t>
            </w:r>
          </w:p>
        </w:tc>
        <w:tc>
          <w:tcPr>
            <w:tcW w:w="1785" w:type="pct"/>
            <w:tcBorders>
              <w:top w:val="outset" w:sz="6" w:space="0" w:color="auto"/>
              <w:left w:val="outset" w:sz="6" w:space="0" w:color="auto"/>
              <w:bottom w:val="outset" w:sz="6" w:space="0" w:color="auto"/>
              <w:right w:val="outset" w:sz="6" w:space="0" w:color="auto"/>
            </w:tcBorders>
            <w:hideMark/>
          </w:tcPr>
          <w:p>
            <w:pPr>
              <w:keepNext/>
              <w:spacing w:before="100" w:beforeAutospacing="1" w:after="100" w:afterAutospacing="1"/>
              <w:rPr>
                <w:b/>
                <w:bCs/>
                <w:noProof/>
              </w:rPr>
            </w:pPr>
            <w:r>
              <w:rPr>
                <w:b/>
                <w:noProof/>
              </w:rPr>
              <w:t>senttiä/ajoneuvokilometri</w:t>
            </w:r>
          </w:p>
        </w:tc>
        <w:tc>
          <w:tcPr>
            <w:tcW w:w="981" w:type="pct"/>
            <w:tcBorders>
              <w:top w:val="outset" w:sz="6" w:space="0" w:color="auto"/>
              <w:left w:val="outset" w:sz="6" w:space="0" w:color="auto"/>
              <w:bottom w:val="outset" w:sz="6" w:space="0" w:color="auto"/>
              <w:right w:val="outset" w:sz="6" w:space="0" w:color="auto"/>
            </w:tcBorders>
            <w:hideMark/>
          </w:tcPr>
          <w:p>
            <w:pPr>
              <w:keepNext/>
              <w:spacing w:before="100" w:beforeAutospacing="1" w:after="100" w:afterAutospacing="1"/>
              <w:jc w:val="center"/>
              <w:rPr>
                <w:b/>
                <w:bCs/>
                <w:noProof/>
              </w:rPr>
            </w:pPr>
            <w:r>
              <w:rPr>
                <w:b/>
                <w:noProof/>
              </w:rPr>
              <w:t>Taajama</w:t>
            </w:r>
            <w:r>
              <w:rPr>
                <w:b/>
                <w:noProof/>
                <w:vertAlign w:val="superscript"/>
              </w:rPr>
              <w:t>(1)</w:t>
            </w:r>
          </w:p>
        </w:tc>
        <w:tc>
          <w:tcPr>
            <w:tcW w:w="872" w:type="pct"/>
            <w:tcBorders>
              <w:top w:val="outset" w:sz="6" w:space="0" w:color="auto"/>
              <w:left w:val="outset" w:sz="6" w:space="0" w:color="auto"/>
              <w:bottom w:val="outset" w:sz="6" w:space="0" w:color="auto"/>
              <w:right w:val="outset" w:sz="6" w:space="0" w:color="auto"/>
            </w:tcBorders>
            <w:hideMark/>
          </w:tcPr>
          <w:p>
            <w:pPr>
              <w:keepNext/>
              <w:spacing w:before="100" w:beforeAutospacing="1" w:after="100" w:afterAutospacing="1"/>
              <w:jc w:val="center"/>
              <w:rPr>
                <w:b/>
                <w:bCs/>
                <w:noProof/>
              </w:rPr>
            </w:pPr>
            <w:r>
              <w:rPr>
                <w:b/>
                <w:noProof/>
              </w:rPr>
              <w:t>Kaupunkien välinen</w:t>
            </w:r>
            <w:r>
              <w:rPr>
                <w:b/>
                <w:noProof/>
                <w:vertAlign w:val="superscript"/>
              </w:rPr>
              <w:t>(2)</w:t>
            </w:r>
          </w:p>
        </w:tc>
      </w:tr>
      <w:tr>
        <w:trPr>
          <w:tblCellSpacing w:w="0" w:type="dxa"/>
          <w:jc w:val="center"/>
        </w:trPr>
        <w:tc>
          <w:tcPr>
            <w:tcW w:w="1362" w:type="pct"/>
            <w:vMerge w:val="restart"/>
            <w:tcBorders>
              <w:top w:val="outset" w:sz="6" w:space="0" w:color="auto"/>
              <w:left w:val="outset" w:sz="6" w:space="0" w:color="auto"/>
              <w:right w:val="outset" w:sz="6" w:space="0" w:color="auto"/>
            </w:tcBorders>
          </w:tcPr>
          <w:p>
            <w:pPr>
              <w:spacing w:before="100" w:beforeAutospacing="1" w:after="100" w:afterAutospacing="1"/>
              <w:rPr>
                <w:noProof/>
              </w:rPr>
            </w:pPr>
            <w:r>
              <w:rPr>
                <w:noProof/>
              </w:rPr>
              <w:t>Linja-autot, joiden suurin sallittu kokonaispaino on 18 tonnia</w:t>
            </w:r>
          </w:p>
          <w:p>
            <w:pPr>
              <w:spacing w:before="100" w:beforeAutospacing="1" w:after="100" w:afterAutospacing="1"/>
              <w:rPr>
                <w:noProof/>
              </w:rPr>
            </w:pPr>
            <w:r>
              <w:rPr>
                <w:noProof/>
              </w:rPr>
              <w:t>tai joissa on kaksi akselia</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20,3</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13,1</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10,4</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15,6</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9,9</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8,5</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5,0</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2,8</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Vähemmän saastuttavat kuin EURO VI -luokan ajoneuvot</w:t>
            </w:r>
          </w:p>
        </w:tc>
        <w:tc>
          <w:tcPr>
            <w:tcW w:w="981"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1,4</w:t>
            </w:r>
          </w:p>
        </w:tc>
        <w:tc>
          <w:tcPr>
            <w:tcW w:w="872"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0,2</w:t>
            </w:r>
          </w:p>
        </w:tc>
      </w:tr>
      <w:tr>
        <w:trPr>
          <w:tblCellSpacing w:w="0" w:type="dxa"/>
          <w:jc w:val="center"/>
        </w:trPr>
        <w:tc>
          <w:tcPr>
            <w:tcW w:w="1362"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Linja-autot, joiden suurin sallittu kokonaispaino on yli 18 tonnia</w:t>
            </w:r>
          </w:p>
          <w:p>
            <w:pPr>
              <w:spacing w:before="100" w:beforeAutospacing="1" w:after="100" w:afterAutospacing="1"/>
              <w:rPr>
                <w:noProof/>
              </w:rPr>
            </w:pPr>
            <w:r>
              <w:rPr>
                <w:noProof/>
              </w:rPr>
              <w:t>tai joissa on vähintään kolme akselia</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24,9</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16,2</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19,2</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12,3</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18,5</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12,0</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15,7</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10,6</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6,6</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10,2</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5,2</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2,8</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Vähemmän saastuttavat kuin EURO VI -luokan ajoneuvot</w:t>
            </w:r>
          </w:p>
        </w:tc>
        <w:tc>
          <w:tcPr>
            <w:tcW w:w="981"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1,4</w:t>
            </w:r>
          </w:p>
        </w:tc>
        <w:tc>
          <w:tcPr>
            <w:tcW w:w="872"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0,2</w:t>
            </w:r>
          </w:p>
        </w:tc>
      </w:tr>
    </w:tbl>
    <w:p>
      <w:pPr>
        <w:rPr>
          <w:rFonts w:eastAsia="Arial Unicode MS"/>
          <w:noProof/>
        </w:rPr>
      </w:pPr>
      <w:r>
        <w:rPr>
          <w:noProof/>
          <w:vertAlign w:val="superscript"/>
        </w:rPr>
        <w:t>(1)</w:t>
      </w:r>
      <w:r>
        <w:rPr>
          <w:noProof/>
        </w:rPr>
        <w:t xml:space="preserve"> ’Taajamalla’ tarkoitetaan alueita, joiden väestötiheys on 150–900 asukasta/km</w:t>
      </w:r>
      <w:r>
        <w:rPr>
          <w:noProof/>
          <w:vertAlign w:val="superscript"/>
        </w:rPr>
        <w:t>2</w:t>
      </w:r>
      <w:r>
        <w:rPr>
          <w:noProof/>
        </w:rPr>
        <w:t xml:space="preserve"> (mediaaniväestötiheys 300 asukasta/km</w:t>
      </w:r>
      <w:r>
        <w:rPr>
          <w:noProof/>
          <w:vertAlign w:val="superscript"/>
        </w:rPr>
        <w:t>2</w:t>
      </w:r>
      <w:r>
        <w:rPr>
          <w:noProof/>
        </w:rPr>
        <w:t>).</w:t>
      </w:r>
    </w:p>
    <w:p>
      <w:pPr>
        <w:rPr>
          <w:noProof/>
        </w:rPr>
      </w:pPr>
      <w:r>
        <w:rPr>
          <w:noProof/>
          <w:vertAlign w:val="superscript"/>
        </w:rPr>
        <w:t>(2)</w:t>
      </w:r>
      <w:r>
        <w:rPr>
          <w:noProof/>
        </w:rPr>
        <w:t xml:space="preserve"> ’Kaupunkien välisellä’ tarkoitetaan alueita, joiden väestötiheys on alle 150 asukasta/km</w:t>
      </w:r>
      <w:r>
        <w:rPr>
          <w:noProof/>
          <w:vertAlign w:val="superscript"/>
        </w:rPr>
        <w:t>2</w:t>
      </w:r>
      <w:r>
        <w:rPr>
          <w:noProof/>
        </w:rPr>
        <w:t>.</w:t>
      </w:r>
    </w:p>
    <w:p>
      <w:pPr>
        <w:rPr>
          <w:noProof/>
        </w:rPr>
      </w:pPr>
    </w:p>
    <w:p>
      <w:pPr>
        <w:rPr>
          <w:noProof/>
        </w:rPr>
      </w:pPr>
      <w:r>
        <w:rPr>
          <w:noProof/>
        </w:rPr>
        <w:t>Taulukoiden 1 ja 2 arvot voidaan kertoa kertoimella, joka on enintään 2 vuoristoalueilla ja taajamien ympärillä, siinä määrin kuin se on perusteltua epäpuhtauksien heikomman hajaantumisen, teiden kaltevuuden, korkeuden tai lämpötilan inversioiden perusteella.”</w:t>
      </w:r>
    </w:p>
    <w:p>
      <w:pPr>
        <w:rPr>
          <w:noProof/>
        </w:rPr>
      </w:pPr>
    </w:p>
    <w:p>
      <w:pPr>
        <w:rPr>
          <w:noProof/>
        </w:rPr>
      </w:pPr>
      <w:r>
        <w:rPr>
          <w:noProof/>
        </w:rPr>
        <w:lastRenderedPageBreak/>
        <w:t>e)</w:t>
      </w:r>
      <w:r>
        <w:rPr>
          <w:noProof/>
        </w:rPr>
        <w:tab/>
        <w:t>Korvataan liitteessä IV oleva taulukko ’Ajoneuvoyhdistelmät (auton ja varsinaisen tai puoliperävaunun yhdistelmä)’ seuraavasti:</w:t>
      </w:r>
    </w:p>
    <w:p>
      <w:pPr>
        <w:pStyle w:val="ManualHeading1"/>
        <w:ind w:left="851" w:hanging="851"/>
        <w:rPr>
          <w:noProof/>
        </w:rPr>
      </w:pPr>
      <w:r>
        <w:rPr>
          <w:noProof/>
        </w:rPr>
        <w:t>”Ajoneuvoyhdistelmät (auton ja varsinaisen tai puoliperävaunun yhdistelmät)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48"/>
        <w:gridCol w:w="1929"/>
        <w:gridCol w:w="13"/>
        <w:gridCol w:w="21"/>
        <w:gridCol w:w="1802"/>
        <w:gridCol w:w="27"/>
        <w:gridCol w:w="1943"/>
        <w:gridCol w:w="6"/>
        <w:gridCol w:w="1659"/>
        <w:gridCol w:w="36"/>
      </w:tblGrid>
      <w:tr>
        <w:trPr>
          <w:gridAfter w:val="1"/>
          <w:wAfter w:w="36" w:type="dxa"/>
        </w:trPr>
        <w:tc>
          <w:tcPr>
            <w:tcW w:w="3807" w:type="dxa"/>
            <w:gridSpan w:val="4"/>
          </w:tcPr>
          <w:p>
            <w:pPr>
              <w:jc w:val="center"/>
              <w:rPr>
                <w:noProof/>
              </w:rPr>
            </w:pPr>
            <w:r>
              <w:rPr>
                <w:noProof/>
              </w:rPr>
              <w:t>Ilmajousituksella tai sitä vastaavalla tunnustetulla järjestelmällä varustetut vetoakselit</w:t>
            </w:r>
          </w:p>
        </w:tc>
        <w:tc>
          <w:tcPr>
            <w:tcW w:w="3808" w:type="dxa"/>
            <w:gridSpan w:val="4"/>
          </w:tcPr>
          <w:p>
            <w:pPr>
              <w:jc w:val="center"/>
              <w:rPr>
                <w:noProof/>
              </w:rPr>
            </w:pPr>
            <w:r>
              <w:rPr>
                <w:noProof/>
              </w:rPr>
              <w:t>Muut vetoakseleiden jousitusjärjestelmät</w:t>
            </w:r>
          </w:p>
        </w:tc>
        <w:tc>
          <w:tcPr>
            <w:tcW w:w="1671" w:type="dxa"/>
            <w:gridSpan w:val="2"/>
          </w:tcPr>
          <w:p>
            <w:pPr>
              <w:jc w:val="center"/>
              <w:rPr>
                <w:noProof/>
              </w:rPr>
            </w:pPr>
            <w:r>
              <w:rPr>
                <w:noProof/>
              </w:rPr>
              <w:t>Vahinko</w:t>
            </w:r>
            <w:r>
              <w:rPr>
                <w:noProof/>
              </w:rPr>
              <w:softHyphen/>
              <w:t>luokka</w:t>
            </w:r>
          </w:p>
        </w:tc>
      </w:tr>
      <w:tr>
        <w:trPr>
          <w:gridAfter w:val="1"/>
          <w:wAfter w:w="36" w:type="dxa"/>
        </w:trPr>
        <w:tc>
          <w:tcPr>
            <w:tcW w:w="3807" w:type="dxa"/>
            <w:gridSpan w:val="4"/>
          </w:tcPr>
          <w:p>
            <w:pPr>
              <w:jc w:val="center"/>
              <w:rPr>
                <w:noProof/>
              </w:rPr>
            </w:pPr>
            <w:r>
              <w:rPr>
                <w:noProof/>
              </w:rPr>
              <w:t>Akseleiden lukumäärä ja suurin sallittu kokonaispaino (tonneina)</w:t>
            </w:r>
          </w:p>
        </w:tc>
        <w:tc>
          <w:tcPr>
            <w:tcW w:w="3808" w:type="dxa"/>
            <w:gridSpan w:val="4"/>
          </w:tcPr>
          <w:p>
            <w:pPr>
              <w:jc w:val="center"/>
              <w:rPr>
                <w:noProof/>
              </w:rPr>
            </w:pPr>
            <w:r>
              <w:rPr>
                <w:noProof/>
              </w:rPr>
              <w:t>Akseleiden lukumäärä ja suurin sallittu kokonaispaino (tonneina)</w:t>
            </w:r>
          </w:p>
        </w:tc>
        <w:tc>
          <w:tcPr>
            <w:tcW w:w="1671" w:type="dxa"/>
            <w:gridSpan w:val="2"/>
          </w:tcPr>
          <w:p>
            <w:pPr>
              <w:jc w:val="center"/>
              <w:rPr>
                <w:noProof/>
              </w:rPr>
            </w:pPr>
          </w:p>
        </w:tc>
      </w:tr>
      <w:tr>
        <w:trPr>
          <w:gridAfter w:val="1"/>
          <w:wAfter w:w="36" w:type="dxa"/>
        </w:trPr>
        <w:tc>
          <w:tcPr>
            <w:tcW w:w="1857" w:type="dxa"/>
            <w:gridSpan w:val="2"/>
          </w:tcPr>
          <w:p>
            <w:pPr>
              <w:jc w:val="center"/>
              <w:rPr>
                <w:noProof/>
              </w:rPr>
            </w:pPr>
            <w:r>
              <w:rPr>
                <w:noProof/>
              </w:rPr>
              <w:t>Vähintään</w:t>
            </w:r>
          </w:p>
        </w:tc>
        <w:tc>
          <w:tcPr>
            <w:tcW w:w="1950" w:type="dxa"/>
            <w:gridSpan w:val="2"/>
          </w:tcPr>
          <w:p>
            <w:pPr>
              <w:jc w:val="center"/>
              <w:rPr>
                <w:noProof/>
              </w:rPr>
            </w:pPr>
            <w:r>
              <w:rPr>
                <w:noProof/>
              </w:rPr>
              <w:t>Vähemmän kuin</w:t>
            </w:r>
          </w:p>
        </w:tc>
        <w:tc>
          <w:tcPr>
            <w:tcW w:w="1857" w:type="dxa"/>
            <w:gridSpan w:val="3"/>
          </w:tcPr>
          <w:p>
            <w:pPr>
              <w:jc w:val="center"/>
              <w:rPr>
                <w:noProof/>
              </w:rPr>
            </w:pPr>
            <w:r>
              <w:rPr>
                <w:noProof/>
              </w:rPr>
              <w:t>Vähintään</w:t>
            </w:r>
          </w:p>
        </w:tc>
        <w:tc>
          <w:tcPr>
            <w:tcW w:w="1951" w:type="dxa"/>
          </w:tcPr>
          <w:p>
            <w:pPr>
              <w:jc w:val="center"/>
              <w:rPr>
                <w:noProof/>
              </w:rPr>
            </w:pPr>
            <w:r>
              <w:rPr>
                <w:noProof/>
              </w:rPr>
              <w:t>Vähemmän kuin</w:t>
            </w:r>
          </w:p>
        </w:tc>
        <w:tc>
          <w:tcPr>
            <w:tcW w:w="1671" w:type="dxa"/>
            <w:gridSpan w:val="2"/>
          </w:tcPr>
          <w:p>
            <w:pPr>
              <w:jc w:val="center"/>
              <w:rPr>
                <w:noProof/>
              </w:rPr>
            </w:pPr>
          </w:p>
        </w:tc>
      </w:tr>
      <w:tr>
        <w:trPr>
          <w:gridAfter w:val="1"/>
          <w:wAfter w:w="36" w:type="dxa"/>
        </w:trPr>
        <w:tc>
          <w:tcPr>
            <w:tcW w:w="7615" w:type="dxa"/>
            <w:gridSpan w:val="8"/>
          </w:tcPr>
          <w:p>
            <w:pPr>
              <w:jc w:val="left"/>
              <w:rPr>
                <w:noProof/>
              </w:rPr>
            </w:pPr>
            <w:r>
              <w:rPr>
                <w:i/>
                <w:noProof/>
              </w:rPr>
              <w:t>2 + 1 akselia</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7,5</w:t>
            </w:r>
          </w:p>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tc>
        <w:tc>
          <w:tcPr>
            <w:tcW w:w="1950" w:type="dxa"/>
            <w:gridSpan w:val="2"/>
          </w:tcPr>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p>
            <w:pPr>
              <w:jc w:val="left"/>
              <w:rPr>
                <w:noProof/>
              </w:rPr>
            </w:pPr>
            <w:r>
              <w:rPr>
                <w:noProof/>
              </w:rPr>
              <w:t>28</w:t>
            </w:r>
          </w:p>
        </w:tc>
        <w:tc>
          <w:tcPr>
            <w:tcW w:w="1857" w:type="dxa"/>
            <w:gridSpan w:val="3"/>
          </w:tcPr>
          <w:p>
            <w:pPr>
              <w:jc w:val="left"/>
              <w:rPr>
                <w:noProof/>
              </w:rPr>
            </w:pPr>
            <w:r>
              <w:rPr>
                <w:noProof/>
              </w:rPr>
              <w:t>7,5</w:t>
            </w:r>
          </w:p>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tc>
        <w:tc>
          <w:tcPr>
            <w:tcW w:w="1951" w:type="dxa"/>
          </w:tcPr>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p>
            <w:pPr>
              <w:jc w:val="left"/>
              <w:rPr>
                <w:noProof/>
              </w:rPr>
            </w:pPr>
            <w:r>
              <w:rPr>
                <w:noProof/>
              </w:rPr>
              <w:t>28</w:t>
            </w:r>
          </w:p>
        </w:tc>
        <w:tc>
          <w:tcPr>
            <w:tcW w:w="1671" w:type="dxa"/>
            <w:gridSpan w:val="2"/>
          </w:tcPr>
          <w:p>
            <w:pPr>
              <w:jc w:val="left"/>
              <w:rPr>
                <w:noProof/>
              </w:rPr>
            </w:pPr>
            <w:r>
              <w:rPr>
                <w:noProof/>
              </w:rPr>
              <w:t>I</w:t>
            </w:r>
          </w:p>
        </w:tc>
      </w:tr>
      <w:tr>
        <w:trPr>
          <w:gridAfter w:val="1"/>
          <w:wAfter w:w="36" w:type="dxa"/>
        </w:trPr>
        <w:tc>
          <w:tcPr>
            <w:tcW w:w="7615" w:type="dxa"/>
            <w:gridSpan w:val="8"/>
          </w:tcPr>
          <w:p>
            <w:pPr>
              <w:jc w:val="left"/>
              <w:rPr>
                <w:noProof/>
              </w:rPr>
            </w:pPr>
            <w:r>
              <w:rPr>
                <w:i/>
                <w:noProof/>
              </w:rPr>
              <w:t>2 + 2 akselia</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23</w:t>
            </w:r>
          </w:p>
          <w:p>
            <w:pPr>
              <w:jc w:val="left"/>
              <w:rPr>
                <w:noProof/>
              </w:rPr>
            </w:pPr>
            <w:r>
              <w:rPr>
                <w:noProof/>
              </w:rPr>
              <w:t>25</w:t>
            </w:r>
          </w:p>
          <w:p>
            <w:pPr>
              <w:jc w:val="left"/>
              <w:rPr>
                <w:noProof/>
              </w:rPr>
            </w:pPr>
            <w:r>
              <w:rPr>
                <w:noProof/>
              </w:rPr>
              <w:t>26</w:t>
            </w:r>
          </w:p>
          <w:p>
            <w:pPr>
              <w:jc w:val="left"/>
              <w:rPr>
                <w:noProof/>
              </w:rPr>
            </w:pPr>
            <w:r>
              <w:rPr>
                <w:noProof/>
              </w:rPr>
              <w:t>28</w:t>
            </w:r>
          </w:p>
        </w:tc>
        <w:tc>
          <w:tcPr>
            <w:tcW w:w="1950" w:type="dxa"/>
            <w:gridSpan w:val="2"/>
          </w:tcPr>
          <w:p>
            <w:pPr>
              <w:jc w:val="left"/>
              <w:rPr>
                <w:noProof/>
              </w:rPr>
            </w:pPr>
            <w:r>
              <w:rPr>
                <w:noProof/>
              </w:rPr>
              <w:t>25</w:t>
            </w:r>
          </w:p>
          <w:p>
            <w:pPr>
              <w:jc w:val="left"/>
              <w:rPr>
                <w:noProof/>
              </w:rPr>
            </w:pPr>
            <w:r>
              <w:rPr>
                <w:noProof/>
              </w:rPr>
              <w:t>26</w:t>
            </w:r>
          </w:p>
          <w:p>
            <w:pPr>
              <w:jc w:val="left"/>
              <w:rPr>
                <w:noProof/>
              </w:rPr>
            </w:pPr>
            <w:r>
              <w:rPr>
                <w:noProof/>
              </w:rPr>
              <w:t>28</w:t>
            </w:r>
          </w:p>
          <w:p>
            <w:pPr>
              <w:jc w:val="left"/>
              <w:rPr>
                <w:noProof/>
              </w:rPr>
            </w:pPr>
            <w:r>
              <w:rPr>
                <w:noProof/>
              </w:rPr>
              <w:t>29</w:t>
            </w:r>
          </w:p>
        </w:tc>
        <w:tc>
          <w:tcPr>
            <w:tcW w:w="1857" w:type="dxa"/>
            <w:gridSpan w:val="3"/>
          </w:tcPr>
          <w:p>
            <w:pPr>
              <w:jc w:val="left"/>
              <w:rPr>
                <w:noProof/>
              </w:rPr>
            </w:pPr>
            <w:r>
              <w:rPr>
                <w:noProof/>
              </w:rPr>
              <w:t>23</w:t>
            </w:r>
          </w:p>
          <w:p>
            <w:pPr>
              <w:jc w:val="left"/>
              <w:rPr>
                <w:noProof/>
              </w:rPr>
            </w:pPr>
            <w:r>
              <w:rPr>
                <w:noProof/>
              </w:rPr>
              <w:t>25</w:t>
            </w:r>
          </w:p>
          <w:p>
            <w:pPr>
              <w:jc w:val="left"/>
              <w:rPr>
                <w:noProof/>
              </w:rPr>
            </w:pPr>
            <w:r>
              <w:rPr>
                <w:noProof/>
              </w:rPr>
              <w:t>26</w:t>
            </w:r>
          </w:p>
          <w:p>
            <w:pPr>
              <w:jc w:val="left"/>
              <w:rPr>
                <w:noProof/>
              </w:rPr>
            </w:pPr>
            <w:r>
              <w:rPr>
                <w:noProof/>
              </w:rPr>
              <w:t>28</w:t>
            </w:r>
          </w:p>
        </w:tc>
        <w:tc>
          <w:tcPr>
            <w:tcW w:w="1951" w:type="dxa"/>
          </w:tcPr>
          <w:p>
            <w:pPr>
              <w:jc w:val="left"/>
              <w:rPr>
                <w:noProof/>
              </w:rPr>
            </w:pPr>
            <w:r>
              <w:rPr>
                <w:noProof/>
              </w:rPr>
              <w:t>25</w:t>
            </w:r>
          </w:p>
          <w:p>
            <w:pPr>
              <w:jc w:val="left"/>
              <w:rPr>
                <w:noProof/>
              </w:rPr>
            </w:pPr>
            <w:r>
              <w:rPr>
                <w:noProof/>
              </w:rPr>
              <w:t>26</w:t>
            </w:r>
          </w:p>
          <w:p>
            <w:pPr>
              <w:jc w:val="left"/>
              <w:rPr>
                <w:noProof/>
              </w:rPr>
            </w:pPr>
            <w:r>
              <w:rPr>
                <w:noProof/>
              </w:rPr>
              <w:t>28</w:t>
            </w:r>
          </w:p>
          <w:p>
            <w:pPr>
              <w:jc w:val="left"/>
              <w:rPr>
                <w:noProof/>
              </w:rPr>
            </w:pPr>
            <w:r>
              <w:rPr>
                <w:noProof/>
              </w:rPr>
              <w:t>29</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29</w:t>
            </w:r>
          </w:p>
        </w:tc>
        <w:tc>
          <w:tcPr>
            <w:tcW w:w="1950" w:type="dxa"/>
            <w:gridSpan w:val="2"/>
          </w:tcPr>
          <w:p>
            <w:pPr>
              <w:jc w:val="left"/>
              <w:rPr>
                <w:noProof/>
              </w:rPr>
            </w:pPr>
            <w:r>
              <w:rPr>
                <w:noProof/>
              </w:rPr>
              <w:t>31</w:t>
            </w:r>
          </w:p>
        </w:tc>
        <w:tc>
          <w:tcPr>
            <w:tcW w:w="1857" w:type="dxa"/>
            <w:gridSpan w:val="3"/>
          </w:tcPr>
          <w:p>
            <w:pPr>
              <w:jc w:val="left"/>
              <w:rPr>
                <w:noProof/>
              </w:rPr>
            </w:pPr>
            <w:r>
              <w:rPr>
                <w:noProof/>
              </w:rPr>
              <w:t>29</w:t>
            </w:r>
          </w:p>
        </w:tc>
        <w:tc>
          <w:tcPr>
            <w:tcW w:w="1951" w:type="dxa"/>
          </w:tcPr>
          <w:p>
            <w:pPr>
              <w:jc w:val="left"/>
              <w:rPr>
                <w:noProof/>
              </w:rPr>
            </w:pPr>
            <w:r>
              <w:rPr>
                <w:noProof/>
              </w:rPr>
              <w:t>31</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31</w:t>
            </w:r>
          </w:p>
        </w:tc>
        <w:tc>
          <w:tcPr>
            <w:tcW w:w="1950" w:type="dxa"/>
            <w:gridSpan w:val="2"/>
          </w:tcPr>
          <w:p>
            <w:pPr>
              <w:jc w:val="left"/>
              <w:rPr>
                <w:noProof/>
              </w:rPr>
            </w:pPr>
            <w:r>
              <w:rPr>
                <w:noProof/>
              </w:rPr>
              <w:t>33</w:t>
            </w:r>
          </w:p>
        </w:tc>
        <w:tc>
          <w:tcPr>
            <w:tcW w:w="1857" w:type="dxa"/>
            <w:gridSpan w:val="3"/>
          </w:tcPr>
          <w:p>
            <w:pPr>
              <w:jc w:val="left"/>
              <w:rPr>
                <w:noProof/>
              </w:rPr>
            </w:pPr>
            <w:r>
              <w:rPr>
                <w:noProof/>
              </w:rPr>
              <w:t>31</w:t>
            </w:r>
          </w:p>
        </w:tc>
        <w:tc>
          <w:tcPr>
            <w:tcW w:w="1951" w:type="dxa"/>
          </w:tcPr>
          <w:p>
            <w:pPr>
              <w:jc w:val="left"/>
              <w:rPr>
                <w:noProof/>
              </w:rPr>
            </w:pPr>
            <w:r>
              <w:rPr>
                <w:noProof/>
              </w:rPr>
              <w:t>33</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33</w:t>
            </w:r>
          </w:p>
          <w:p>
            <w:pPr>
              <w:jc w:val="left"/>
              <w:rPr>
                <w:noProof/>
              </w:rPr>
            </w:pPr>
            <w:r>
              <w:rPr>
                <w:noProof/>
              </w:rPr>
              <w:t>36</w:t>
            </w:r>
          </w:p>
        </w:tc>
        <w:tc>
          <w:tcPr>
            <w:tcW w:w="1950" w:type="dxa"/>
            <w:gridSpan w:val="2"/>
          </w:tcPr>
          <w:p>
            <w:pPr>
              <w:jc w:val="left"/>
              <w:rPr>
                <w:noProof/>
              </w:rPr>
            </w:pPr>
            <w:r>
              <w:rPr>
                <w:noProof/>
              </w:rPr>
              <w:t>36</w:t>
            </w:r>
          </w:p>
          <w:p>
            <w:pPr>
              <w:jc w:val="left"/>
              <w:rPr>
                <w:noProof/>
              </w:rPr>
            </w:pPr>
            <w:r>
              <w:rPr>
                <w:noProof/>
              </w:rPr>
              <w:t>38</w:t>
            </w:r>
          </w:p>
        </w:tc>
        <w:tc>
          <w:tcPr>
            <w:tcW w:w="1857" w:type="dxa"/>
            <w:gridSpan w:val="3"/>
          </w:tcPr>
          <w:p>
            <w:pPr>
              <w:jc w:val="left"/>
              <w:rPr>
                <w:noProof/>
              </w:rPr>
            </w:pPr>
            <w:r>
              <w:rPr>
                <w:noProof/>
              </w:rPr>
              <w:t>33</w:t>
            </w:r>
          </w:p>
        </w:tc>
        <w:tc>
          <w:tcPr>
            <w:tcW w:w="1951" w:type="dxa"/>
          </w:tcPr>
          <w:p>
            <w:pPr>
              <w:jc w:val="left"/>
              <w:rPr>
                <w:noProof/>
              </w:rPr>
            </w:pPr>
            <w:r>
              <w:rPr>
                <w:noProof/>
              </w:rPr>
              <w:t>36</w:t>
            </w:r>
          </w:p>
        </w:tc>
        <w:tc>
          <w:tcPr>
            <w:tcW w:w="1671" w:type="dxa"/>
            <w:gridSpan w:val="2"/>
          </w:tcPr>
          <w:p>
            <w:pPr>
              <w:jc w:val="left"/>
              <w:rPr>
                <w:noProof/>
              </w:rPr>
            </w:pPr>
            <w:r>
              <w:rPr>
                <w:noProof/>
              </w:rPr>
              <w:t>III</w:t>
            </w:r>
          </w:p>
        </w:tc>
      </w:tr>
      <w:tr>
        <w:trPr>
          <w:gridAfter w:val="1"/>
          <w:wAfter w:w="36" w:type="dxa"/>
        </w:trPr>
        <w:tc>
          <w:tcPr>
            <w:tcW w:w="7615" w:type="dxa"/>
            <w:gridSpan w:val="8"/>
          </w:tcPr>
          <w:p>
            <w:pPr>
              <w:jc w:val="left"/>
              <w:rPr>
                <w:noProof/>
              </w:rPr>
            </w:pPr>
            <w:r>
              <w:rPr>
                <w:i/>
                <w:noProof/>
              </w:rPr>
              <w:t>2 + 3 akselia</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36</w:t>
            </w:r>
          </w:p>
          <w:p>
            <w:pPr>
              <w:jc w:val="left"/>
              <w:rPr>
                <w:noProof/>
              </w:rPr>
            </w:pPr>
            <w:r>
              <w:rPr>
                <w:noProof/>
              </w:rPr>
              <w:lastRenderedPageBreak/>
              <w:t>38</w:t>
            </w:r>
          </w:p>
        </w:tc>
        <w:tc>
          <w:tcPr>
            <w:tcW w:w="1950" w:type="dxa"/>
            <w:gridSpan w:val="2"/>
          </w:tcPr>
          <w:p>
            <w:pPr>
              <w:jc w:val="left"/>
              <w:rPr>
                <w:noProof/>
              </w:rPr>
            </w:pPr>
            <w:r>
              <w:rPr>
                <w:noProof/>
              </w:rPr>
              <w:lastRenderedPageBreak/>
              <w:t>38</w:t>
            </w:r>
          </w:p>
          <w:p>
            <w:pPr>
              <w:jc w:val="left"/>
              <w:rPr>
                <w:noProof/>
              </w:rPr>
            </w:pPr>
            <w:r>
              <w:rPr>
                <w:noProof/>
              </w:rPr>
              <w:lastRenderedPageBreak/>
              <w:t>40</w:t>
            </w:r>
          </w:p>
        </w:tc>
        <w:tc>
          <w:tcPr>
            <w:tcW w:w="1857" w:type="dxa"/>
            <w:gridSpan w:val="3"/>
          </w:tcPr>
          <w:p>
            <w:pPr>
              <w:jc w:val="left"/>
              <w:rPr>
                <w:noProof/>
              </w:rPr>
            </w:pPr>
            <w:r>
              <w:rPr>
                <w:noProof/>
              </w:rPr>
              <w:lastRenderedPageBreak/>
              <w:t>36</w:t>
            </w:r>
          </w:p>
        </w:tc>
        <w:tc>
          <w:tcPr>
            <w:tcW w:w="1951" w:type="dxa"/>
          </w:tcPr>
          <w:p>
            <w:pPr>
              <w:jc w:val="left"/>
              <w:rPr>
                <w:noProof/>
              </w:rPr>
            </w:pPr>
            <w:r>
              <w:rPr>
                <w:noProof/>
              </w:rPr>
              <w:t>38</w:t>
            </w:r>
          </w:p>
        </w:tc>
        <w:tc>
          <w:tcPr>
            <w:tcW w:w="1671" w:type="dxa"/>
            <w:gridSpan w:val="2"/>
          </w:tcPr>
          <w:p>
            <w:pPr>
              <w:jc w:val="left"/>
              <w:rPr>
                <w:noProof/>
              </w:rPr>
            </w:pP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tc>
        <w:tc>
          <w:tcPr>
            <w:tcW w:w="1951" w:type="dxa"/>
          </w:tcPr>
          <w:p>
            <w:pPr>
              <w:jc w:val="left"/>
              <w:rPr>
                <w:noProof/>
              </w:rPr>
            </w:pPr>
            <w:r>
              <w:rPr>
                <w:noProof/>
              </w:rPr>
              <w:t>40</w:t>
            </w:r>
          </w:p>
        </w:tc>
        <w:tc>
          <w:tcPr>
            <w:tcW w:w="1671" w:type="dxa"/>
            <w:gridSpan w:val="2"/>
          </w:tcPr>
          <w:p>
            <w:pPr>
              <w:jc w:val="left"/>
              <w:rPr>
                <w:noProof/>
              </w:rPr>
            </w:pPr>
            <w:r>
              <w:rPr>
                <w:noProof/>
              </w:rPr>
              <w:t>III</w:t>
            </w:r>
          </w:p>
        </w:tc>
      </w:tr>
      <w:tr>
        <w:trPr>
          <w:gridAfter w:val="1"/>
          <w:wAfter w:w="36" w:type="dxa"/>
        </w:trPr>
        <w:tc>
          <w:tcPr>
            <w:tcW w:w="7615" w:type="dxa"/>
            <w:gridSpan w:val="8"/>
          </w:tcPr>
          <w:p>
            <w:pPr>
              <w:jc w:val="left"/>
              <w:rPr>
                <w:noProof/>
              </w:rPr>
            </w:pPr>
            <w:r>
              <w:rPr>
                <w:i/>
                <w:noProof/>
              </w:rPr>
              <w:t>3 + 2 akselia</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p>
            <w:pPr>
              <w:jc w:val="left"/>
              <w:rPr>
                <w:noProof/>
              </w:rPr>
            </w:pPr>
            <w:r>
              <w:rPr>
                <w:noProof/>
              </w:rPr>
              <w:t>40</w:t>
            </w:r>
          </w:p>
        </w:tc>
        <w:tc>
          <w:tcPr>
            <w:tcW w:w="1951" w:type="dxa"/>
          </w:tcPr>
          <w:p>
            <w:pPr>
              <w:jc w:val="left"/>
              <w:rPr>
                <w:noProof/>
              </w:rPr>
            </w:pPr>
            <w:r>
              <w:rPr>
                <w:noProof/>
              </w:rPr>
              <w:t>40</w:t>
            </w:r>
          </w:p>
          <w:p>
            <w:pPr>
              <w:jc w:val="left"/>
              <w:rPr>
                <w:noProof/>
              </w:rPr>
            </w:pPr>
            <w:r>
              <w:rPr>
                <w:noProof/>
              </w:rPr>
              <w:t>44</w:t>
            </w:r>
          </w:p>
        </w:tc>
        <w:tc>
          <w:tcPr>
            <w:tcW w:w="1671" w:type="dxa"/>
            <w:gridSpan w:val="2"/>
          </w:tcPr>
          <w:p>
            <w:pPr>
              <w:jc w:val="left"/>
              <w:rPr>
                <w:noProof/>
              </w:rPr>
            </w:pPr>
            <w:r>
              <w:rPr>
                <w:noProof/>
              </w:rPr>
              <w:t>III</w:t>
            </w:r>
          </w:p>
        </w:tc>
      </w:tr>
      <w:tr>
        <w:trPr>
          <w:gridAfter w:val="1"/>
          <w:wAfter w:w="36" w:type="dxa"/>
        </w:trPr>
        <w:tc>
          <w:tcPr>
            <w:tcW w:w="1857" w:type="dxa"/>
            <w:gridSpan w:val="2"/>
          </w:tcPr>
          <w:p>
            <w:pPr>
              <w:jc w:val="left"/>
              <w:rPr>
                <w:noProof/>
              </w:rPr>
            </w:pPr>
            <w:r>
              <w:rPr>
                <w:noProof/>
              </w:rPr>
              <w:t>40</w:t>
            </w:r>
          </w:p>
        </w:tc>
        <w:tc>
          <w:tcPr>
            <w:tcW w:w="1950" w:type="dxa"/>
            <w:gridSpan w:val="2"/>
          </w:tcPr>
          <w:p>
            <w:pPr>
              <w:jc w:val="left"/>
              <w:rPr>
                <w:noProof/>
              </w:rPr>
            </w:pPr>
            <w:r>
              <w:rPr>
                <w:noProof/>
              </w:rPr>
              <w:t>44</w:t>
            </w:r>
          </w:p>
        </w:tc>
        <w:tc>
          <w:tcPr>
            <w:tcW w:w="1857" w:type="dxa"/>
            <w:gridSpan w:val="3"/>
          </w:tcPr>
          <w:p>
            <w:pPr>
              <w:jc w:val="left"/>
              <w:rPr>
                <w:noProof/>
              </w:rPr>
            </w:pPr>
          </w:p>
        </w:tc>
        <w:tc>
          <w:tcPr>
            <w:tcW w:w="1951" w:type="dxa"/>
          </w:tcPr>
          <w:p>
            <w:pPr>
              <w:jc w:val="left"/>
              <w:rPr>
                <w:noProof/>
              </w:rPr>
            </w:pPr>
          </w:p>
        </w:tc>
        <w:tc>
          <w:tcPr>
            <w:tcW w:w="1671" w:type="dxa"/>
            <w:gridSpan w:val="2"/>
          </w:tcPr>
          <w:p>
            <w:pPr>
              <w:jc w:val="left"/>
              <w:rPr>
                <w:noProof/>
              </w:rPr>
            </w:pPr>
          </w:p>
        </w:tc>
      </w:tr>
      <w:tr>
        <w:trPr>
          <w:gridAfter w:val="1"/>
          <w:wAfter w:w="36" w:type="dxa"/>
        </w:trPr>
        <w:tc>
          <w:tcPr>
            <w:tcW w:w="7615" w:type="dxa"/>
            <w:gridSpan w:val="8"/>
          </w:tcPr>
          <w:p>
            <w:pPr>
              <w:jc w:val="left"/>
              <w:rPr>
                <w:noProof/>
              </w:rPr>
            </w:pPr>
            <w:r>
              <w:rPr>
                <w:i/>
                <w:noProof/>
              </w:rPr>
              <w:t>3 + 3 akselia</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r>
              <w:rPr>
                <w:noProof/>
              </w:rPr>
              <w:t>I</w:t>
            </w: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tc>
        <w:tc>
          <w:tcPr>
            <w:tcW w:w="1951" w:type="dxa"/>
          </w:tcPr>
          <w:p>
            <w:pPr>
              <w:jc w:val="left"/>
              <w:rPr>
                <w:noProof/>
              </w:rPr>
            </w:pPr>
            <w:r>
              <w:rPr>
                <w:noProof/>
              </w:rPr>
              <w:t>40</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40</w:t>
            </w:r>
          </w:p>
        </w:tc>
        <w:tc>
          <w:tcPr>
            <w:tcW w:w="1950" w:type="dxa"/>
            <w:gridSpan w:val="2"/>
          </w:tcPr>
          <w:p>
            <w:pPr>
              <w:jc w:val="left"/>
              <w:rPr>
                <w:noProof/>
              </w:rPr>
            </w:pPr>
            <w:r>
              <w:rPr>
                <w:noProof/>
              </w:rPr>
              <w:t>44</w:t>
            </w:r>
          </w:p>
        </w:tc>
        <w:tc>
          <w:tcPr>
            <w:tcW w:w="1857" w:type="dxa"/>
            <w:gridSpan w:val="3"/>
          </w:tcPr>
          <w:p>
            <w:pPr>
              <w:jc w:val="left"/>
              <w:rPr>
                <w:noProof/>
              </w:rPr>
            </w:pPr>
            <w:r>
              <w:rPr>
                <w:noProof/>
              </w:rPr>
              <w:t>40</w:t>
            </w:r>
          </w:p>
        </w:tc>
        <w:tc>
          <w:tcPr>
            <w:tcW w:w="1951" w:type="dxa"/>
          </w:tcPr>
          <w:p>
            <w:pPr>
              <w:jc w:val="left"/>
              <w:rPr>
                <w:noProof/>
              </w:rPr>
            </w:pPr>
            <w:r>
              <w:rPr>
                <w:noProof/>
              </w:rPr>
              <w:t>44</w:t>
            </w:r>
          </w:p>
        </w:tc>
        <w:tc>
          <w:tcPr>
            <w:tcW w:w="1671" w:type="dxa"/>
            <w:gridSpan w:val="2"/>
          </w:tcPr>
          <w:p>
            <w:pPr>
              <w:jc w:val="left"/>
              <w:rPr>
                <w:noProof/>
              </w:rPr>
            </w:pPr>
          </w:p>
        </w:tc>
      </w:tr>
      <w:tr>
        <w:tblPrEx>
          <w:tblLook w:val="04A0" w:firstRow="1" w:lastRow="0" w:firstColumn="1" w:lastColumn="0" w:noHBand="0" w:noVBand="1"/>
        </w:tblPrEx>
        <w:tc>
          <w:tcPr>
            <w:tcW w:w="9322" w:type="dxa"/>
            <w:gridSpan w:val="11"/>
          </w:tcPr>
          <w:p>
            <w:pPr>
              <w:spacing w:before="100" w:beforeAutospacing="1" w:after="100" w:afterAutospacing="1"/>
              <w:rPr>
                <w:i/>
                <w:noProof/>
              </w:rPr>
            </w:pPr>
            <w:r>
              <w:rPr>
                <w:i/>
                <w:noProof/>
              </w:rPr>
              <w:t>7 akselia</w:t>
            </w:r>
          </w:p>
        </w:tc>
      </w:tr>
      <w:tr>
        <w:tblPrEx>
          <w:tblLook w:val="04A0" w:firstRow="1" w:lastRow="0" w:firstColumn="1" w:lastColumn="0" w:noHBand="0" w:noVBand="1"/>
        </w:tblPrEx>
        <w:tc>
          <w:tcPr>
            <w:tcW w:w="1809" w:type="dxa"/>
            <w:tcBorders>
              <w:bottom w:val="single" w:sz="4" w:space="0" w:color="auto"/>
            </w:tcBorders>
          </w:tcPr>
          <w:p>
            <w:pPr>
              <w:spacing w:before="100" w:beforeAutospacing="1" w:after="100" w:afterAutospacing="1"/>
              <w:rPr>
                <w:noProof/>
              </w:rPr>
            </w:pPr>
            <w:r>
              <w:rPr>
                <w:noProof/>
              </w:rPr>
              <w:t>40</w:t>
            </w:r>
          </w:p>
        </w:tc>
        <w:tc>
          <w:tcPr>
            <w:tcW w:w="1985" w:type="dxa"/>
            <w:gridSpan w:val="2"/>
            <w:tcBorders>
              <w:bottom w:val="single" w:sz="4" w:space="0" w:color="auto"/>
            </w:tcBorders>
          </w:tcPr>
          <w:p>
            <w:pPr>
              <w:spacing w:before="100" w:beforeAutospacing="1" w:after="100" w:afterAutospacing="1"/>
              <w:rPr>
                <w:noProof/>
              </w:rPr>
            </w:pPr>
            <w:r>
              <w:rPr>
                <w:noProof/>
              </w:rPr>
              <w:t>50</w:t>
            </w:r>
          </w:p>
        </w:tc>
        <w:tc>
          <w:tcPr>
            <w:tcW w:w="1843" w:type="dxa"/>
            <w:gridSpan w:val="3"/>
            <w:tcBorders>
              <w:bottom w:val="single" w:sz="4" w:space="0" w:color="auto"/>
            </w:tcBorders>
          </w:tcPr>
          <w:p>
            <w:pPr>
              <w:spacing w:before="100" w:beforeAutospacing="1" w:after="100" w:afterAutospacing="1"/>
              <w:rPr>
                <w:noProof/>
              </w:rPr>
            </w:pPr>
            <w:r>
              <w:rPr>
                <w:noProof/>
              </w:rPr>
              <w:t>40</w:t>
            </w:r>
          </w:p>
        </w:tc>
        <w:tc>
          <w:tcPr>
            <w:tcW w:w="1984" w:type="dxa"/>
            <w:gridSpan w:val="3"/>
            <w:tcBorders>
              <w:bottom w:val="single" w:sz="4" w:space="0" w:color="auto"/>
            </w:tcBorders>
          </w:tcPr>
          <w:p>
            <w:pPr>
              <w:spacing w:before="100" w:beforeAutospacing="1" w:after="100" w:afterAutospacing="1"/>
              <w:rPr>
                <w:noProof/>
              </w:rPr>
            </w:pPr>
            <w:r>
              <w:rPr>
                <w:noProof/>
              </w:rPr>
              <w:t>50</w:t>
            </w:r>
          </w:p>
        </w:tc>
        <w:tc>
          <w:tcPr>
            <w:tcW w:w="1701" w:type="dxa"/>
            <w:gridSpan w:val="2"/>
            <w:tcBorders>
              <w:bottom w:val="single" w:sz="4" w:space="0" w:color="auto"/>
            </w:tcBorders>
          </w:tcPr>
          <w:p>
            <w:pPr>
              <w:spacing w:before="100" w:beforeAutospacing="1" w:after="100" w:afterAutospacing="1"/>
              <w:rPr>
                <w:noProof/>
              </w:rPr>
            </w:pPr>
            <w:r>
              <w:rPr>
                <w:noProof/>
              </w:rPr>
              <w:t>II</w:t>
            </w:r>
          </w:p>
        </w:tc>
      </w:tr>
      <w:tr>
        <w:tblPrEx>
          <w:tblLook w:val="04A0" w:firstRow="1" w:lastRow="0" w:firstColumn="1" w:lastColumn="0" w:noHBand="0" w:noVBand="1"/>
        </w:tblPrEx>
        <w:tc>
          <w:tcPr>
            <w:tcW w:w="1809" w:type="dxa"/>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50</w:t>
            </w:r>
          </w:p>
        </w:tc>
        <w:tc>
          <w:tcPr>
            <w:tcW w:w="1985" w:type="dxa"/>
            <w:gridSpan w:val="2"/>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60</w:t>
            </w:r>
          </w:p>
        </w:tc>
        <w:tc>
          <w:tcPr>
            <w:tcW w:w="1843" w:type="dxa"/>
            <w:gridSpan w:val="3"/>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50</w:t>
            </w:r>
          </w:p>
        </w:tc>
        <w:tc>
          <w:tcPr>
            <w:tcW w:w="1984" w:type="dxa"/>
            <w:gridSpan w:val="3"/>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60</w:t>
            </w:r>
          </w:p>
        </w:tc>
        <w:tc>
          <w:tcPr>
            <w:tcW w:w="1701" w:type="dxa"/>
            <w:gridSpan w:val="2"/>
            <w:vMerge w:val="restart"/>
            <w:tcBorders>
              <w:top w:val="single" w:sz="4" w:space="0" w:color="auto"/>
              <w:left w:val="single" w:sz="4" w:space="0" w:color="auto"/>
              <w:right w:val="single" w:sz="4" w:space="0" w:color="auto"/>
            </w:tcBorders>
          </w:tcPr>
          <w:p>
            <w:pPr>
              <w:jc w:val="left"/>
              <w:rPr>
                <w:noProof/>
              </w:rPr>
            </w:pPr>
            <w:r>
              <w:rPr>
                <w:noProof/>
              </w:rPr>
              <w:t>III</w:t>
            </w:r>
          </w:p>
        </w:tc>
      </w:tr>
      <w:tr>
        <w:tblPrEx>
          <w:tblLook w:val="04A0" w:firstRow="1" w:lastRow="0" w:firstColumn="1" w:lastColumn="0" w:noHBand="0" w:noVBand="1"/>
        </w:tblPrEx>
        <w:tc>
          <w:tcPr>
            <w:tcW w:w="1809" w:type="dxa"/>
            <w:tcBorders>
              <w:top w:val="nil"/>
              <w:left w:val="single" w:sz="4" w:space="0" w:color="auto"/>
              <w:bottom w:val="single" w:sz="4" w:space="0" w:color="auto"/>
              <w:right w:val="single" w:sz="4" w:space="0" w:color="auto"/>
            </w:tcBorders>
          </w:tcPr>
          <w:p>
            <w:pPr>
              <w:spacing w:before="100" w:beforeAutospacing="1" w:after="100" w:afterAutospacing="1"/>
              <w:rPr>
                <w:noProof/>
              </w:rPr>
            </w:pPr>
            <w:r>
              <w:rPr>
                <w:noProof/>
              </w:rPr>
              <w:t>60</w:t>
            </w:r>
          </w:p>
        </w:tc>
        <w:tc>
          <w:tcPr>
            <w:tcW w:w="1985" w:type="dxa"/>
            <w:gridSpan w:val="2"/>
            <w:tcBorders>
              <w:top w:val="nil"/>
              <w:left w:val="single" w:sz="4" w:space="0" w:color="auto"/>
              <w:bottom w:val="single" w:sz="4" w:space="0" w:color="auto"/>
              <w:right w:val="single" w:sz="4" w:space="0" w:color="auto"/>
            </w:tcBorders>
          </w:tcPr>
          <w:p>
            <w:pPr>
              <w:spacing w:before="100" w:beforeAutospacing="1" w:after="100" w:afterAutospacing="1"/>
              <w:rPr>
                <w:noProof/>
              </w:rPr>
            </w:pPr>
          </w:p>
        </w:tc>
        <w:tc>
          <w:tcPr>
            <w:tcW w:w="1843" w:type="dxa"/>
            <w:gridSpan w:val="3"/>
            <w:tcBorders>
              <w:top w:val="nil"/>
              <w:left w:val="single" w:sz="4" w:space="0" w:color="auto"/>
              <w:bottom w:val="single" w:sz="4" w:space="0" w:color="auto"/>
              <w:right w:val="single" w:sz="4" w:space="0" w:color="auto"/>
            </w:tcBorders>
          </w:tcPr>
          <w:p>
            <w:pPr>
              <w:spacing w:before="100" w:beforeAutospacing="1" w:after="100" w:afterAutospacing="1"/>
              <w:rPr>
                <w:noProof/>
              </w:rPr>
            </w:pPr>
            <w:r>
              <w:rPr>
                <w:noProof/>
              </w:rPr>
              <w:t>60</w:t>
            </w:r>
          </w:p>
        </w:tc>
        <w:tc>
          <w:tcPr>
            <w:tcW w:w="1984" w:type="dxa"/>
            <w:gridSpan w:val="3"/>
            <w:tcBorders>
              <w:top w:val="nil"/>
              <w:left w:val="single" w:sz="4" w:space="0" w:color="auto"/>
              <w:bottom w:val="single" w:sz="4" w:space="0" w:color="auto"/>
              <w:right w:val="single" w:sz="4" w:space="0" w:color="auto"/>
            </w:tcBorders>
          </w:tcPr>
          <w:p>
            <w:pPr>
              <w:spacing w:before="100" w:beforeAutospacing="1" w:after="100" w:afterAutospacing="1"/>
              <w:rPr>
                <w:noProof/>
              </w:rPr>
            </w:pPr>
          </w:p>
        </w:tc>
        <w:tc>
          <w:tcPr>
            <w:tcW w:w="1701" w:type="dxa"/>
            <w:gridSpan w:val="2"/>
            <w:vMerge/>
            <w:tcBorders>
              <w:left w:val="single" w:sz="4" w:space="0" w:color="auto"/>
              <w:bottom w:val="single" w:sz="4" w:space="0" w:color="auto"/>
              <w:right w:val="single" w:sz="4" w:space="0" w:color="auto"/>
            </w:tcBorders>
          </w:tcPr>
          <w:p>
            <w:pPr>
              <w:spacing w:before="100" w:beforeAutospacing="1" w:after="100" w:afterAutospacing="1"/>
              <w:rPr>
                <w:noProof/>
              </w:rPr>
            </w:pPr>
          </w:p>
        </w:tc>
      </w:tr>
      <w:tr>
        <w:tblPrEx>
          <w:tblLook w:val="04A0" w:firstRow="1" w:lastRow="0" w:firstColumn="1" w:lastColumn="0" w:noHBand="0" w:noVBand="1"/>
        </w:tblPrEx>
        <w:tc>
          <w:tcPr>
            <w:tcW w:w="9322" w:type="dxa"/>
            <w:gridSpan w:val="11"/>
            <w:tcBorders>
              <w:top w:val="single" w:sz="4" w:space="0" w:color="auto"/>
            </w:tcBorders>
          </w:tcPr>
          <w:p>
            <w:pPr>
              <w:spacing w:before="100" w:beforeAutospacing="1" w:after="100" w:afterAutospacing="1"/>
              <w:rPr>
                <w:i/>
                <w:noProof/>
              </w:rPr>
            </w:pPr>
            <w:r>
              <w:rPr>
                <w:i/>
                <w:noProof/>
              </w:rPr>
              <w:t>8 tai 9 akselia</w:t>
            </w:r>
          </w:p>
        </w:tc>
      </w:tr>
      <w:tr>
        <w:tblPrEx>
          <w:tblLook w:val="04A0" w:firstRow="1" w:lastRow="0" w:firstColumn="1" w:lastColumn="0" w:noHBand="0" w:noVBand="1"/>
        </w:tblPrEx>
        <w:tc>
          <w:tcPr>
            <w:tcW w:w="1809" w:type="dxa"/>
          </w:tcPr>
          <w:p>
            <w:pPr>
              <w:spacing w:before="100" w:beforeAutospacing="1" w:after="100" w:afterAutospacing="1"/>
              <w:rPr>
                <w:noProof/>
              </w:rPr>
            </w:pPr>
            <w:r>
              <w:rPr>
                <w:noProof/>
              </w:rPr>
              <w:t>40</w:t>
            </w:r>
          </w:p>
        </w:tc>
        <w:tc>
          <w:tcPr>
            <w:tcW w:w="2019" w:type="dxa"/>
            <w:gridSpan w:val="4"/>
          </w:tcPr>
          <w:p>
            <w:pPr>
              <w:spacing w:before="100" w:beforeAutospacing="1" w:after="100" w:afterAutospacing="1"/>
              <w:rPr>
                <w:noProof/>
              </w:rPr>
            </w:pPr>
            <w:r>
              <w:rPr>
                <w:noProof/>
              </w:rPr>
              <w:t>50</w:t>
            </w:r>
          </w:p>
        </w:tc>
        <w:tc>
          <w:tcPr>
            <w:tcW w:w="1809" w:type="dxa"/>
          </w:tcPr>
          <w:p>
            <w:pPr>
              <w:spacing w:before="100" w:beforeAutospacing="1" w:after="100" w:afterAutospacing="1"/>
              <w:rPr>
                <w:noProof/>
              </w:rPr>
            </w:pPr>
            <w:r>
              <w:rPr>
                <w:noProof/>
              </w:rPr>
              <w:t>40</w:t>
            </w:r>
          </w:p>
        </w:tc>
        <w:tc>
          <w:tcPr>
            <w:tcW w:w="1984" w:type="dxa"/>
            <w:gridSpan w:val="3"/>
          </w:tcPr>
          <w:p>
            <w:pPr>
              <w:spacing w:before="100" w:beforeAutospacing="1" w:after="100" w:afterAutospacing="1"/>
              <w:rPr>
                <w:noProof/>
              </w:rPr>
            </w:pPr>
            <w:r>
              <w:rPr>
                <w:noProof/>
              </w:rPr>
              <w:t>50</w:t>
            </w:r>
          </w:p>
        </w:tc>
        <w:tc>
          <w:tcPr>
            <w:tcW w:w="1701" w:type="dxa"/>
            <w:gridSpan w:val="2"/>
          </w:tcPr>
          <w:p>
            <w:pPr>
              <w:spacing w:before="100" w:beforeAutospacing="1" w:after="100" w:afterAutospacing="1"/>
              <w:rPr>
                <w:noProof/>
              </w:rPr>
            </w:pPr>
            <w:r>
              <w:rPr>
                <w:noProof/>
              </w:rPr>
              <w:t>I</w:t>
            </w:r>
          </w:p>
        </w:tc>
      </w:tr>
      <w:tr>
        <w:tblPrEx>
          <w:tblLook w:val="04A0" w:firstRow="1" w:lastRow="0" w:firstColumn="1" w:lastColumn="0" w:noHBand="0" w:noVBand="1"/>
        </w:tblPrEx>
        <w:tc>
          <w:tcPr>
            <w:tcW w:w="1809" w:type="dxa"/>
          </w:tcPr>
          <w:p>
            <w:pPr>
              <w:spacing w:before="100" w:beforeAutospacing="1" w:after="100" w:afterAutospacing="1"/>
              <w:rPr>
                <w:noProof/>
              </w:rPr>
            </w:pPr>
            <w:r>
              <w:rPr>
                <w:noProof/>
              </w:rPr>
              <w:t>50</w:t>
            </w:r>
          </w:p>
        </w:tc>
        <w:tc>
          <w:tcPr>
            <w:tcW w:w="2019" w:type="dxa"/>
            <w:gridSpan w:val="4"/>
          </w:tcPr>
          <w:p>
            <w:pPr>
              <w:spacing w:before="100" w:beforeAutospacing="1" w:after="100" w:afterAutospacing="1"/>
              <w:rPr>
                <w:noProof/>
              </w:rPr>
            </w:pPr>
            <w:r>
              <w:rPr>
                <w:noProof/>
              </w:rPr>
              <w:t>60</w:t>
            </w:r>
          </w:p>
        </w:tc>
        <w:tc>
          <w:tcPr>
            <w:tcW w:w="1809" w:type="dxa"/>
          </w:tcPr>
          <w:p>
            <w:pPr>
              <w:spacing w:before="100" w:beforeAutospacing="1" w:after="100" w:afterAutospacing="1"/>
              <w:rPr>
                <w:noProof/>
              </w:rPr>
            </w:pPr>
            <w:r>
              <w:rPr>
                <w:noProof/>
              </w:rPr>
              <w:t>50</w:t>
            </w:r>
          </w:p>
        </w:tc>
        <w:tc>
          <w:tcPr>
            <w:tcW w:w="1984" w:type="dxa"/>
            <w:gridSpan w:val="3"/>
          </w:tcPr>
          <w:p>
            <w:pPr>
              <w:spacing w:before="100" w:beforeAutospacing="1" w:after="100" w:afterAutospacing="1"/>
              <w:rPr>
                <w:noProof/>
              </w:rPr>
            </w:pPr>
            <w:r>
              <w:rPr>
                <w:noProof/>
              </w:rPr>
              <w:t>60</w:t>
            </w:r>
          </w:p>
        </w:tc>
        <w:tc>
          <w:tcPr>
            <w:tcW w:w="1701" w:type="dxa"/>
            <w:gridSpan w:val="2"/>
          </w:tcPr>
          <w:p>
            <w:pPr>
              <w:spacing w:before="100" w:beforeAutospacing="1" w:after="100" w:afterAutospacing="1"/>
              <w:rPr>
                <w:noProof/>
              </w:rPr>
            </w:pPr>
            <w:r>
              <w:rPr>
                <w:noProof/>
              </w:rPr>
              <w:t>II</w:t>
            </w:r>
          </w:p>
        </w:tc>
      </w:tr>
      <w:tr>
        <w:tblPrEx>
          <w:tblLook w:val="04A0" w:firstRow="1" w:lastRow="0" w:firstColumn="1" w:lastColumn="0" w:noHBand="0" w:noVBand="1"/>
        </w:tblPrEx>
        <w:tc>
          <w:tcPr>
            <w:tcW w:w="3828" w:type="dxa"/>
            <w:gridSpan w:val="5"/>
          </w:tcPr>
          <w:p>
            <w:pPr>
              <w:spacing w:before="100" w:beforeAutospacing="1" w:after="100" w:afterAutospacing="1"/>
              <w:rPr>
                <w:noProof/>
              </w:rPr>
            </w:pPr>
            <w:r>
              <w:rPr>
                <w:noProof/>
              </w:rPr>
              <w:t>60</w:t>
            </w:r>
          </w:p>
        </w:tc>
        <w:tc>
          <w:tcPr>
            <w:tcW w:w="3793" w:type="dxa"/>
            <w:gridSpan w:val="4"/>
          </w:tcPr>
          <w:p>
            <w:pPr>
              <w:spacing w:before="100" w:beforeAutospacing="1" w:after="100" w:afterAutospacing="1"/>
              <w:rPr>
                <w:noProof/>
              </w:rPr>
            </w:pPr>
            <w:r>
              <w:rPr>
                <w:noProof/>
              </w:rPr>
              <w:t>60</w:t>
            </w:r>
          </w:p>
        </w:tc>
        <w:tc>
          <w:tcPr>
            <w:tcW w:w="1701" w:type="dxa"/>
            <w:gridSpan w:val="2"/>
          </w:tcPr>
          <w:p>
            <w:pPr>
              <w:spacing w:before="100" w:beforeAutospacing="1" w:after="100" w:afterAutospacing="1"/>
              <w:rPr>
                <w:noProof/>
              </w:rPr>
            </w:pPr>
            <w:r>
              <w:rPr>
                <w:noProof/>
              </w:rPr>
              <w:t>III”</w:t>
            </w:r>
          </w:p>
        </w:tc>
      </w:tr>
    </w:tbl>
    <w:p>
      <w:pPr>
        <w:rPr>
          <w:noProof/>
        </w:rPr>
      </w:pPr>
    </w:p>
    <w:p>
      <w:pPr>
        <w:rPr>
          <w:noProof/>
        </w:rPr>
      </w:pPr>
      <w:r>
        <w:rPr>
          <w:noProof/>
        </w:rPr>
        <w:t>2)</w:t>
      </w:r>
      <w:r>
        <w:rPr>
          <w:noProof/>
        </w:rPr>
        <w:tab/>
        <w:t>Lisätään liitteet V, VI ja VII seuraavasti:</w:t>
      </w:r>
    </w:p>
    <w:p>
      <w:pPr>
        <w:jc w:val="center"/>
        <w:rPr>
          <w:rFonts w:eastAsia="Arial Unicode MS"/>
          <w:i/>
          <w:iCs/>
          <w:noProof/>
        </w:rPr>
      </w:pPr>
      <w:r>
        <w:rPr>
          <w:i/>
          <w:noProof/>
        </w:rPr>
        <w:t>”LIITE V</w:t>
      </w:r>
    </w:p>
    <w:p>
      <w:pPr>
        <w:jc w:val="center"/>
        <w:rPr>
          <w:rFonts w:eastAsia="Arial Unicode MS"/>
          <w:b/>
          <w:bCs/>
          <w:noProof/>
        </w:rPr>
      </w:pPr>
      <w:r>
        <w:rPr>
          <w:b/>
          <w:noProof/>
        </w:rPr>
        <w:t>RUUHKAMAKSUN PERIMISTÄ KOSKEVAT VÄHIMMÄISVAATIMUKSET</w:t>
      </w:r>
    </w:p>
    <w:p>
      <w:pPr>
        <w:spacing w:after="0"/>
        <w:rPr>
          <w:rFonts w:eastAsia="Arial Unicode MS"/>
          <w:noProof/>
        </w:rPr>
      </w:pPr>
      <w:r>
        <w:rPr>
          <w:noProof/>
        </w:rPr>
        <w:t>Tässä liitteessä vahvistetaan ruuhkamaksun perimistä koskevat vähimmäisvaatimukset.</w:t>
      </w:r>
    </w:p>
    <w:p>
      <w:pPr>
        <w:spacing w:after="0"/>
        <w:rPr>
          <w:rFonts w:eastAsia="Arial Unicode MS"/>
          <w:noProof/>
        </w:rPr>
      </w:pPr>
      <w:r>
        <w:rPr>
          <w:noProof/>
        </w:rPr>
        <w:t>1.   </w:t>
      </w:r>
      <w:r>
        <w:rPr>
          <w:b/>
          <w:noProof/>
        </w:rPr>
        <w:t xml:space="preserve"> Verkon osat, ajoneuvot ja ajankohdat, joihin ruuhkamaksua sovelletaan</w:t>
      </w:r>
    </w:p>
    <w:p>
      <w:pPr>
        <w:spacing w:after="0"/>
        <w:rPr>
          <w:rFonts w:eastAsia="Arial Unicode MS"/>
          <w:noProof/>
        </w:rPr>
      </w:pPr>
      <w:r>
        <w:rPr>
          <w:noProof/>
        </w:rPr>
        <w:t>Jäsenvaltioiden on määritettävä tarkasti</w:t>
      </w:r>
    </w:p>
    <w:p>
      <w:pPr>
        <w:spacing w:after="0"/>
        <w:rPr>
          <w:rFonts w:eastAsia="Arial Unicode MS"/>
          <w:noProof/>
        </w:rPr>
      </w:pPr>
      <w:r>
        <w:rPr>
          <w:noProof/>
        </w:rPr>
        <w:t xml:space="preserve">a) 7 artiklan 1 kohdassa tarkoitetun tieverkkonsa, joka koostuu niiden osuudesta Euroopan laajuisesta tieverkosta tai niiden moottoriteistä, osa tai osat, johon/joihin ruuhkamaksua on tarkoitus soveltaa 7 da artiklan 1 ja 3 kohdan mukaisesti; </w:t>
      </w:r>
    </w:p>
    <w:p>
      <w:pPr>
        <w:spacing w:after="0"/>
        <w:rPr>
          <w:rFonts w:eastAsia="Arial Unicode MS"/>
          <w:noProof/>
        </w:rPr>
      </w:pPr>
      <w:r>
        <w:rPr>
          <w:noProof/>
        </w:rPr>
        <w:t>b) verkon osien, joihin ruuhkamaksua sovelletaan, luokittelu ”suurkaupunkialueen” teiksi tai ”suurkaupunkialueen ulkopuolisiksi” teiksi. Jäsenvaltioiden on käytettävä taulukossa 1 esitettyjä perusteita kunkin tieosuuden luokituksen määrittämiseen;</w:t>
      </w:r>
    </w:p>
    <w:p>
      <w:pPr>
        <w:spacing w:after="0"/>
        <w:rPr>
          <w:rFonts w:eastAsia="Arial Unicode MS"/>
          <w:i/>
          <w:noProof/>
        </w:rPr>
      </w:pPr>
      <w:r>
        <w:rPr>
          <w:i/>
          <w:noProof/>
        </w:rPr>
        <w:lastRenderedPageBreak/>
        <w:t>Taulukko 1: Perusteet a alakohdassa tarkoitetun verkon teiden luokittelemiseksi ”suurkaupunkialueen” teiksi tai ”suurkaupunkialueen ulkopuolisiksi” teiksi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shd w:val="clear" w:color="auto" w:fill="auto"/>
          </w:tcPr>
          <w:p>
            <w:pPr>
              <w:spacing w:after="0"/>
              <w:rPr>
                <w:rFonts w:eastAsia="Arial Unicode MS"/>
                <w:b/>
                <w:noProof/>
              </w:rPr>
            </w:pPr>
            <w:r>
              <w:rPr>
                <w:b/>
                <w:noProof/>
              </w:rPr>
              <w:t>Tieluokka</w:t>
            </w:r>
          </w:p>
        </w:tc>
        <w:tc>
          <w:tcPr>
            <w:tcW w:w="4644" w:type="dxa"/>
            <w:shd w:val="clear" w:color="auto" w:fill="auto"/>
          </w:tcPr>
          <w:p>
            <w:pPr>
              <w:spacing w:after="0"/>
              <w:rPr>
                <w:rFonts w:eastAsia="Arial Unicode MS"/>
                <w:b/>
                <w:noProof/>
              </w:rPr>
            </w:pPr>
            <w:r>
              <w:rPr>
                <w:b/>
                <w:noProof/>
              </w:rPr>
              <w:t>Luokitusperuste</w:t>
            </w:r>
          </w:p>
        </w:tc>
      </w:tr>
      <w:tr>
        <w:tc>
          <w:tcPr>
            <w:tcW w:w="4644" w:type="dxa"/>
            <w:shd w:val="clear" w:color="auto" w:fill="auto"/>
          </w:tcPr>
          <w:p>
            <w:pPr>
              <w:spacing w:after="0"/>
              <w:rPr>
                <w:rFonts w:eastAsia="Arial Unicode MS"/>
                <w:noProof/>
              </w:rPr>
            </w:pPr>
            <w:r>
              <w:rPr>
                <w:noProof/>
              </w:rPr>
              <w:t>”suurkaupunkialue”</w:t>
            </w:r>
          </w:p>
        </w:tc>
        <w:tc>
          <w:tcPr>
            <w:tcW w:w="4644" w:type="dxa"/>
            <w:shd w:val="clear" w:color="auto" w:fill="auto"/>
          </w:tcPr>
          <w:p>
            <w:pPr>
              <w:spacing w:after="0"/>
              <w:rPr>
                <w:rFonts w:eastAsia="Arial Unicode MS"/>
                <w:noProof/>
              </w:rPr>
            </w:pPr>
            <w:r>
              <w:rPr>
                <w:noProof/>
              </w:rPr>
              <w:t>Sellaisten taajamien sisällä kulkevat verkon osuudet, joiden asukasluku on vähintään 250 000.</w:t>
            </w:r>
          </w:p>
        </w:tc>
      </w:tr>
      <w:tr>
        <w:tc>
          <w:tcPr>
            <w:tcW w:w="4644" w:type="dxa"/>
            <w:shd w:val="clear" w:color="auto" w:fill="auto"/>
          </w:tcPr>
          <w:p>
            <w:pPr>
              <w:spacing w:after="0"/>
              <w:rPr>
                <w:rFonts w:eastAsia="Arial Unicode MS"/>
                <w:noProof/>
              </w:rPr>
            </w:pPr>
            <w:r>
              <w:rPr>
                <w:noProof/>
              </w:rPr>
              <w:t xml:space="preserve">”suurkaupunkialueen ulkopuolinen” </w:t>
            </w:r>
          </w:p>
        </w:tc>
        <w:tc>
          <w:tcPr>
            <w:tcW w:w="4644" w:type="dxa"/>
            <w:shd w:val="clear" w:color="auto" w:fill="auto"/>
          </w:tcPr>
          <w:p>
            <w:pPr>
              <w:spacing w:after="0"/>
              <w:rPr>
                <w:rFonts w:eastAsia="Arial Unicode MS"/>
                <w:noProof/>
              </w:rPr>
            </w:pPr>
            <w:r>
              <w:rPr>
                <w:noProof/>
              </w:rPr>
              <w:t>Sellaiset verkon osuudet, joita ei luokitella ”suurkaupunkialueen” teiksi.</w:t>
            </w:r>
          </w:p>
        </w:tc>
      </w:tr>
    </w:tbl>
    <w:p>
      <w:pPr>
        <w:spacing w:after="0"/>
        <w:rPr>
          <w:rFonts w:eastAsia="Arial Unicode MS"/>
          <w:noProof/>
        </w:rPr>
      </w:pPr>
      <w:r>
        <w:rPr>
          <w:noProof/>
        </w:rPr>
        <w:t>c) ajankohdat, joina maksua sovelletaan kullakin yksittäisellä osuudella. Kun maksullisen ajanjakson aikana sovelletaan erilaisia maksutasoja, jäsenvaltioiden on määriteltävä selvästi kunkin sellaisen ajanjakson alkamis- ja päättymisajankohta, jonka aikana tiettyä maksua sovelletaan.</w:t>
      </w:r>
    </w:p>
    <w:p>
      <w:pPr>
        <w:spacing w:after="0"/>
        <w:rPr>
          <w:noProof/>
        </w:rPr>
      </w:pPr>
      <w:r>
        <w:rPr>
          <w:noProof/>
        </w:rPr>
        <w:t>Jäsenvaltioiden on käytettävä taulukossa 2 esitettyjä vastaavuuskertoimia eri ajoneuvoluokkien maksutasojen välisen suhteen määrittämiseksi:</w:t>
      </w:r>
    </w:p>
    <w:p>
      <w:pPr>
        <w:spacing w:after="0"/>
        <w:rPr>
          <w:rFonts w:eastAsia="Arial Unicode MS"/>
          <w:i/>
          <w:noProof/>
        </w:rPr>
      </w:pPr>
      <w:r>
        <w:rPr>
          <w:i/>
          <w:noProof/>
        </w:rPr>
        <w:t>Taulukko 2: Vastaavuuskertoimet eri ajoneuvoluokkien ruuhkamaksutasojen välisen suhteen määrittämiseksi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tcPr>
          <w:p>
            <w:pPr>
              <w:spacing w:after="0"/>
              <w:rPr>
                <w:rFonts w:eastAsia="Arial Unicode MS"/>
                <w:b/>
                <w:noProof/>
              </w:rPr>
            </w:pPr>
            <w:r>
              <w:rPr>
                <w:b/>
                <w:noProof/>
              </w:rPr>
              <w:t>Ajoneuvoluokka</w:t>
            </w:r>
          </w:p>
        </w:tc>
        <w:tc>
          <w:tcPr>
            <w:tcW w:w="4644" w:type="dxa"/>
          </w:tcPr>
          <w:p>
            <w:pPr>
              <w:spacing w:after="0"/>
              <w:rPr>
                <w:rFonts w:eastAsia="Arial Unicode MS"/>
                <w:b/>
                <w:noProof/>
              </w:rPr>
            </w:pPr>
            <w:r>
              <w:rPr>
                <w:b/>
                <w:noProof/>
              </w:rPr>
              <w:t>Vastaavuuskerroin</w:t>
            </w:r>
          </w:p>
        </w:tc>
      </w:tr>
      <w:tr>
        <w:tc>
          <w:tcPr>
            <w:tcW w:w="4644" w:type="dxa"/>
          </w:tcPr>
          <w:p>
            <w:pPr>
              <w:spacing w:after="0"/>
              <w:rPr>
                <w:rFonts w:eastAsia="Arial Unicode MS"/>
                <w:noProof/>
              </w:rPr>
            </w:pPr>
            <w:r>
              <w:rPr>
                <w:noProof/>
              </w:rPr>
              <w:t>Kevyet ajoneuvot</w:t>
            </w:r>
          </w:p>
        </w:tc>
        <w:tc>
          <w:tcPr>
            <w:tcW w:w="4644" w:type="dxa"/>
          </w:tcPr>
          <w:p>
            <w:pPr>
              <w:spacing w:after="0"/>
              <w:rPr>
                <w:rFonts w:eastAsia="Arial Unicode MS"/>
                <w:noProof/>
              </w:rPr>
            </w:pPr>
            <w:r>
              <w:rPr>
                <w:noProof/>
              </w:rPr>
              <w:t>1</w:t>
            </w:r>
          </w:p>
        </w:tc>
      </w:tr>
      <w:tr>
        <w:tc>
          <w:tcPr>
            <w:tcW w:w="4644" w:type="dxa"/>
          </w:tcPr>
          <w:p>
            <w:pPr>
              <w:spacing w:after="0"/>
              <w:rPr>
                <w:rFonts w:eastAsia="Arial Unicode MS"/>
                <w:noProof/>
              </w:rPr>
            </w:pPr>
            <w:r>
              <w:rPr>
                <w:noProof/>
              </w:rPr>
              <w:t>Niveltämättömät raskaat tavarankuljetusajoneuvot</w:t>
            </w:r>
          </w:p>
        </w:tc>
        <w:tc>
          <w:tcPr>
            <w:tcW w:w="4644" w:type="dxa"/>
          </w:tcPr>
          <w:p>
            <w:pPr>
              <w:spacing w:after="0"/>
              <w:rPr>
                <w:rFonts w:eastAsia="Arial Unicode MS"/>
                <w:noProof/>
              </w:rPr>
            </w:pPr>
            <w:r>
              <w:rPr>
                <w:noProof/>
              </w:rPr>
              <w:t>1,9</w:t>
            </w:r>
          </w:p>
        </w:tc>
      </w:tr>
      <w:tr>
        <w:tc>
          <w:tcPr>
            <w:tcW w:w="4644" w:type="dxa"/>
          </w:tcPr>
          <w:p>
            <w:pPr>
              <w:spacing w:after="0"/>
              <w:rPr>
                <w:rFonts w:eastAsia="Arial Unicode MS"/>
                <w:noProof/>
              </w:rPr>
            </w:pPr>
            <w:r>
              <w:rPr>
                <w:noProof/>
              </w:rPr>
              <w:t>Linja-autot</w:t>
            </w:r>
          </w:p>
        </w:tc>
        <w:tc>
          <w:tcPr>
            <w:tcW w:w="4644" w:type="dxa"/>
          </w:tcPr>
          <w:p>
            <w:pPr>
              <w:spacing w:after="0"/>
              <w:rPr>
                <w:rFonts w:eastAsia="Arial Unicode MS"/>
                <w:noProof/>
              </w:rPr>
            </w:pPr>
            <w:r>
              <w:rPr>
                <w:noProof/>
              </w:rPr>
              <w:t>2,5</w:t>
            </w:r>
          </w:p>
        </w:tc>
      </w:tr>
      <w:tr>
        <w:tc>
          <w:tcPr>
            <w:tcW w:w="4644" w:type="dxa"/>
          </w:tcPr>
          <w:p>
            <w:pPr>
              <w:spacing w:after="0"/>
              <w:rPr>
                <w:rFonts w:eastAsia="Arial Unicode MS"/>
                <w:noProof/>
              </w:rPr>
            </w:pPr>
            <w:r>
              <w:rPr>
                <w:noProof/>
              </w:rPr>
              <w:t>Nivelletyt raskaat tavarankuljetusajoneuvot</w:t>
            </w:r>
          </w:p>
        </w:tc>
        <w:tc>
          <w:tcPr>
            <w:tcW w:w="4644" w:type="dxa"/>
          </w:tcPr>
          <w:p>
            <w:pPr>
              <w:spacing w:after="0"/>
              <w:rPr>
                <w:rFonts w:eastAsia="Arial Unicode MS"/>
                <w:noProof/>
              </w:rPr>
            </w:pPr>
            <w:r>
              <w:rPr>
                <w:noProof/>
              </w:rPr>
              <w:t>2,9</w:t>
            </w:r>
          </w:p>
        </w:tc>
      </w:tr>
    </w:tbl>
    <w:p>
      <w:pPr>
        <w:spacing w:after="0"/>
        <w:rPr>
          <w:noProof/>
        </w:rPr>
      </w:pPr>
    </w:p>
    <w:p>
      <w:pPr>
        <w:spacing w:after="0"/>
        <w:rPr>
          <w:rFonts w:eastAsia="Arial Unicode MS"/>
          <w:noProof/>
        </w:rPr>
      </w:pPr>
      <w:r>
        <w:rPr>
          <w:noProof/>
        </w:rPr>
        <w:t>2.   </w:t>
      </w:r>
      <w:r>
        <w:rPr>
          <w:b/>
          <w:noProof/>
        </w:rPr>
        <w:t xml:space="preserve"> Maksun määrä</w:t>
      </w:r>
    </w:p>
    <w:p>
      <w:pPr>
        <w:spacing w:after="0"/>
        <w:rPr>
          <w:rFonts w:eastAsia="Arial Unicode MS"/>
          <w:noProof/>
        </w:rPr>
      </w:pPr>
      <w:r>
        <w:rPr>
          <w:noProof/>
        </w:rPr>
        <w:t>Jäsenvaltion tai tarvittaessa riippumattoman viranomaisen on määritettävä tämän liitteen 1 jakson säännösten mukaisesti yksi maksu kullekin ajoneuvoluokalle, tieosuudelle ja ajankohdalle ottaen huomioon liitteessä VI olevassa taulukossa vahvistettu vastaava enimmäisarvo. Tuloksena olevan maksurakenteen on oltava avoin, julkinen ja kaikkien käyttäjien saatavilla tasavertaisin edellytyksin.</w:t>
      </w:r>
    </w:p>
    <w:p>
      <w:pPr>
        <w:spacing w:after="0"/>
        <w:rPr>
          <w:rFonts w:eastAsia="Arial Unicode MS"/>
          <w:noProof/>
        </w:rPr>
      </w:pPr>
      <w:r>
        <w:rPr>
          <w:noProof/>
        </w:rPr>
        <w:t>Jäsenvaltion on julkaistava kaikki seuraavat tiedot hyvissä ajoin ennen ruuhkamaksun täytäntöönpanoa:</w:t>
      </w:r>
    </w:p>
    <w:p>
      <w:pPr>
        <w:spacing w:after="0"/>
        <w:rPr>
          <w:rFonts w:eastAsia="Arial Unicode MS"/>
          <w:noProof/>
        </w:rPr>
      </w:pPr>
      <w:r>
        <w:rPr>
          <w:noProof/>
        </w:rPr>
        <w:t>a)</w:t>
      </w:r>
      <w:r>
        <w:rPr>
          <w:noProof/>
        </w:rPr>
        <w:tab/>
        <w:t>kaikki parametrit, luvut ja muut tiedot, joita tarvitaan sen ymmärtämiseen, miten teiden ja ajoneuvojen luokitus ja maksun soveltamisaikojen määrittely on tehty;</w:t>
      </w:r>
    </w:p>
    <w:p>
      <w:pPr>
        <w:spacing w:after="0"/>
        <w:rPr>
          <w:rFonts w:eastAsia="Arial Unicode MS"/>
          <w:noProof/>
        </w:rPr>
      </w:pPr>
      <w:r>
        <w:rPr>
          <w:noProof/>
        </w:rPr>
        <w:t>b)</w:t>
      </w:r>
      <w:r>
        <w:rPr>
          <w:noProof/>
        </w:rPr>
        <w:tab/>
        <w:t xml:space="preserve">täydellinen kuvaus kuhunkin ajoneuvoluokkaan kullakin tieosuudella kunakin ajanjaksona sovellettavista ruuhkamaksuista. </w:t>
      </w:r>
    </w:p>
    <w:p>
      <w:pPr>
        <w:spacing w:after="0"/>
        <w:rPr>
          <w:rFonts w:eastAsia="Arial Unicode MS"/>
          <w:noProof/>
        </w:rPr>
      </w:pPr>
      <w:r>
        <w:rPr>
          <w:noProof/>
        </w:rPr>
        <w:t>Jäsenvaltioiden on toimitettava komissiolle kaikki a ja b alakohdan nojalla julkaistavat tiedot.</w:t>
      </w:r>
    </w:p>
    <w:p>
      <w:pPr>
        <w:spacing w:after="0"/>
        <w:rPr>
          <w:rFonts w:eastAsia="Arial Unicode MS"/>
          <w:noProof/>
        </w:rPr>
      </w:pPr>
      <w:r>
        <w:rPr>
          <w:noProof/>
        </w:rPr>
        <w:t>Ennen maksun vahvistamista on selvitettävä, onko olemassa riski liikenteen siirtymisestä muille teille, sekä mahdolliset haittavaikutukset liikenneturvallisuuteen, ympäristöön ja ruuhkiin ja ratkaisut näiden riskien pienentämiseksi.</w:t>
      </w:r>
    </w:p>
    <w:p>
      <w:pPr>
        <w:spacing w:after="0"/>
        <w:rPr>
          <w:rFonts w:eastAsia="Arial Unicode MS"/>
          <w:noProof/>
        </w:rPr>
      </w:pPr>
      <w:r>
        <w:rPr>
          <w:noProof/>
        </w:rPr>
        <w:lastRenderedPageBreak/>
        <w:t>Jäsenvaltion tai tarvittaessa riippumattoman viranomaisen on seurattava maksujärjestelmän tuloksellisuutta ruuhkien vähentämisessä. Sen on joka vuosi tarvittaessa mukautettava maksurakennetta, maksullisia aikoja ja tietylle ajoneuvoluokalle, tietyypille ja ajankohdalle asetetun maksun määrää liikenteen tarjonnan ja kysynnän muutoksiin.</w:t>
      </w:r>
    </w:p>
    <w:p>
      <w:pPr>
        <w:spacing w:before="0" w:after="320" w:line="276" w:lineRule="auto"/>
        <w:jc w:val="left"/>
        <w:rPr>
          <w:rFonts w:eastAsia="Arial Unicode MS"/>
          <w:noProof/>
        </w:rPr>
      </w:pPr>
    </w:p>
    <w:p>
      <w:pPr>
        <w:jc w:val="center"/>
        <w:rPr>
          <w:rFonts w:eastAsia="Arial Unicode MS"/>
          <w:i/>
          <w:iCs/>
          <w:noProof/>
        </w:rPr>
      </w:pPr>
      <w:r>
        <w:rPr>
          <w:i/>
          <w:noProof/>
        </w:rPr>
        <w:t>LIITE VI</w:t>
      </w:r>
    </w:p>
    <w:p>
      <w:pPr>
        <w:spacing w:after="0"/>
        <w:jc w:val="center"/>
        <w:rPr>
          <w:rFonts w:eastAsia="Arial Unicode MS"/>
          <w:b/>
          <w:bCs/>
          <w:noProof/>
        </w:rPr>
      </w:pPr>
      <w:r>
        <w:rPr>
          <w:b/>
          <w:noProof/>
        </w:rPr>
        <w:t>RUUHKAMAKSUN ENIMMÄISTASO</w:t>
      </w:r>
    </w:p>
    <w:p>
      <w:pPr>
        <w:spacing w:after="0"/>
        <w:rPr>
          <w:rFonts w:eastAsia="Arial Unicode MS"/>
          <w:noProof/>
        </w:rPr>
      </w:pPr>
      <w:r>
        <w:rPr>
          <w:noProof/>
        </w:rPr>
        <w:t>Tässä liitteessä vahvistetaan ruuhkamaksun enimmäistaso.</w:t>
      </w:r>
    </w:p>
    <w:p>
      <w:pPr>
        <w:spacing w:after="240"/>
        <w:rPr>
          <w:noProof/>
        </w:rPr>
      </w:pPr>
      <w:r>
        <w:rPr>
          <w:noProof/>
        </w:rPr>
        <w:t>Jäljempänä olevissa taulukoissa esitettyjä enimmäistasoja on sovellettava kevyisiin ajoneuvoihin. Muihin ajoneuvoluokkiin sovellettavat maksut määritetään kertomalla kevyisiin ajoneuvoihin sovellettava maksu liitteessä V olevassa taukukossa esitetyillä vastaavuuskertoimilla.</w:t>
      </w:r>
    </w:p>
    <w:tbl>
      <w:tblPr>
        <w:tblpPr w:leftFromText="180" w:rightFromText="180" w:vertAnchor="text" w:horzAnchor="page" w:tblpX="1903" w:tblpY="709"/>
        <w:tblW w:w="7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138"/>
        <w:gridCol w:w="2378"/>
      </w:tblGrid>
      <w:tr>
        <w:tc>
          <w:tcPr>
            <w:tcW w:w="1932" w:type="pct"/>
          </w:tcPr>
          <w:p>
            <w:pPr>
              <w:spacing w:before="100" w:beforeAutospacing="1" w:after="100" w:afterAutospacing="1"/>
              <w:jc w:val="center"/>
              <w:rPr>
                <w:b/>
                <w:bCs/>
                <w:noProof/>
              </w:rPr>
            </w:pPr>
            <w:r>
              <w:rPr>
                <w:b/>
                <w:noProof/>
              </w:rPr>
              <w:t>senttiä/ajoneuvokilometri</w:t>
            </w:r>
          </w:p>
        </w:tc>
        <w:tc>
          <w:tcPr>
            <w:tcW w:w="1453" w:type="pct"/>
            <w:hideMark/>
          </w:tcPr>
          <w:p>
            <w:pPr>
              <w:spacing w:before="100" w:beforeAutospacing="1" w:after="100" w:afterAutospacing="1"/>
              <w:jc w:val="center"/>
              <w:rPr>
                <w:b/>
                <w:noProof/>
              </w:rPr>
            </w:pPr>
            <w:r>
              <w:rPr>
                <w:b/>
                <w:noProof/>
              </w:rPr>
              <w:t>Suurkaupunkialue</w:t>
            </w:r>
          </w:p>
        </w:tc>
        <w:tc>
          <w:tcPr>
            <w:tcW w:w="1616" w:type="pct"/>
            <w:hideMark/>
          </w:tcPr>
          <w:p>
            <w:pPr>
              <w:spacing w:before="100" w:beforeAutospacing="1" w:after="100" w:afterAutospacing="1"/>
              <w:jc w:val="center"/>
              <w:rPr>
                <w:b/>
                <w:noProof/>
              </w:rPr>
            </w:pPr>
            <w:r>
              <w:rPr>
                <w:b/>
                <w:noProof/>
              </w:rPr>
              <w:t>Suurkaupunkialueen ulkopuolinen</w:t>
            </w:r>
          </w:p>
        </w:tc>
      </w:tr>
      <w:tr>
        <w:tc>
          <w:tcPr>
            <w:tcW w:w="1932" w:type="pct"/>
          </w:tcPr>
          <w:p>
            <w:pPr>
              <w:spacing w:before="100" w:beforeAutospacing="1" w:after="100" w:afterAutospacing="1"/>
              <w:jc w:val="center"/>
              <w:rPr>
                <w:noProof/>
              </w:rPr>
            </w:pPr>
            <w:r>
              <w:rPr>
                <w:noProof/>
              </w:rPr>
              <w:t>Moottoritiet</w:t>
            </w:r>
          </w:p>
        </w:tc>
        <w:tc>
          <w:tcPr>
            <w:tcW w:w="1453" w:type="pct"/>
            <w:hideMark/>
          </w:tcPr>
          <w:p>
            <w:pPr>
              <w:spacing w:before="100" w:beforeAutospacing="1" w:after="100" w:afterAutospacing="1"/>
              <w:jc w:val="center"/>
              <w:rPr>
                <w:noProof/>
              </w:rPr>
            </w:pPr>
            <w:r>
              <w:rPr>
                <w:noProof/>
              </w:rPr>
              <w:t>67</w:t>
            </w:r>
          </w:p>
        </w:tc>
        <w:tc>
          <w:tcPr>
            <w:tcW w:w="1616" w:type="pct"/>
            <w:hideMark/>
          </w:tcPr>
          <w:p>
            <w:pPr>
              <w:spacing w:before="100" w:beforeAutospacing="1" w:after="100" w:afterAutospacing="1"/>
              <w:jc w:val="center"/>
              <w:rPr>
                <w:noProof/>
              </w:rPr>
            </w:pPr>
            <w:r>
              <w:rPr>
                <w:noProof/>
              </w:rPr>
              <w:t>34</w:t>
            </w:r>
          </w:p>
        </w:tc>
      </w:tr>
      <w:tr>
        <w:tc>
          <w:tcPr>
            <w:tcW w:w="1932" w:type="pct"/>
          </w:tcPr>
          <w:p>
            <w:pPr>
              <w:spacing w:before="100" w:beforeAutospacing="1" w:after="100" w:afterAutospacing="1"/>
              <w:jc w:val="center"/>
              <w:rPr>
                <w:noProof/>
              </w:rPr>
            </w:pPr>
            <w:r>
              <w:rPr>
                <w:noProof/>
              </w:rPr>
              <w:t>Päätiet</w:t>
            </w:r>
          </w:p>
        </w:tc>
        <w:tc>
          <w:tcPr>
            <w:tcW w:w="1453" w:type="pct"/>
          </w:tcPr>
          <w:p>
            <w:pPr>
              <w:spacing w:before="100" w:beforeAutospacing="1" w:after="100" w:afterAutospacing="1"/>
              <w:jc w:val="center"/>
              <w:rPr>
                <w:noProof/>
              </w:rPr>
            </w:pPr>
            <w:r>
              <w:rPr>
                <w:noProof/>
              </w:rPr>
              <w:t>198</w:t>
            </w:r>
          </w:p>
        </w:tc>
        <w:tc>
          <w:tcPr>
            <w:tcW w:w="1616" w:type="pct"/>
          </w:tcPr>
          <w:p>
            <w:pPr>
              <w:spacing w:before="100" w:beforeAutospacing="1" w:after="100" w:afterAutospacing="1"/>
              <w:jc w:val="center"/>
              <w:rPr>
                <w:noProof/>
              </w:rPr>
            </w:pPr>
            <w:r>
              <w:rPr>
                <w:noProof/>
              </w:rPr>
              <w:t>66</w:t>
            </w:r>
          </w:p>
        </w:tc>
      </w:tr>
    </w:tbl>
    <w:p>
      <w:pPr>
        <w:spacing w:before="240" w:after="0"/>
        <w:ind w:left="806" w:hanging="403"/>
        <w:rPr>
          <w:rFonts w:eastAsia="Arial Unicode MS"/>
          <w:i/>
          <w:noProof/>
        </w:rPr>
      </w:pPr>
      <w:r>
        <w:rPr>
          <w:i/>
          <w:noProof/>
        </w:rPr>
        <w:t>Taulukko: Kevyiden ajoneuvojen ruuhkamaksun enimmäistaso</w:t>
      </w:r>
    </w:p>
    <w:p>
      <w:pPr>
        <w:spacing w:before="100" w:beforeAutospacing="1" w:after="0"/>
        <w:ind w:left="806" w:hanging="403"/>
        <w:rPr>
          <w:rFonts w:eastAsia="Arial Unicode MS"/>
          <w:i/>
          <w:noProof/>
        </w:rPr>
      </w:pPr>
    </w:p>
    <w:p>
      <w:pPr>
        <w:spacing w:before="100" w:beforeAutospacing="1" w:after="0"/>
        <w:ind w:left="806" w:hanging="403"/>
        <w:rPr>
          <w:rFonts w:eastAsia="Arial Unicode MS"/>
          <w:i/>
          <w:iCs/>
          <w:noProof/>
        </w:rPr>
      </w:pPr>
    </w:p>
    <w:p>
      <w:pPr>
        <w:jc w:val="center"/>
        <w:rPr>
          <w:rFonts w:eastAsia="Arial Unicode MS"/>
          <w:i/>
          <w:iCs/>
          <w:noProof/>
        </w:rPr>
      </w:pPr>
    </w:p>
    <w:p>
      <w:pPr>
        <w:spacing w:before="0" w:after="200" w:line="276" w:lineRule="auto"/>
        <w:jc w:val="left"/>
        <w:rPr>
          <w:rFonts w:eastAsia="Arial Unicode MS"/>
          <w:i/>
          <w:iCs/>
          <w:noProof/>
        </w:rPr>
      </w:pPr>
      <w:r>
        <w:rPr>
          <w:rFonts w:eastAsia="Arial Unicode MS"/>
          <w:i/>
          <w:iCs/>
          <w:noProof/>
        </w:rPr>
        <w:br w:type="page"/>
      </w:r>
    </w:p>
    <w:p>
      <w:pPr>
        <w:jc w:val="center"/>
        <w:rPr>
          <w:rFonts w:eastAsia="Arial Unicode MS"/>
          <w:i/>
          <w:iCs/>
          <w:noProof/>
        </w:rPr>
      </w:pPr>
      <w:r>
        <w:rPr>
          <w:i/>
          <w:noProof/>
        </w:rPr>
        <w:lastRenderedPageBreak/>
        <w:t>LIITE VII</w:t>
      </w:r>
    </w:p>
    <w:p>
      <w:pPr>
        <w:spacing w:after="0"/>
        <w:jc w:val="center"/>
        <w:rPr>
          <w:rFonts w:eastAsia="Arial Unicode MS"/>
          <w:b/>
          <w:bCs/>
          <w:noProof/>
        </w:rPr>
      </w:pPr>
      <w:r>
        <w:rPr>
          <w:b/>
          <w:noProof/>
        </w:rPr>
        <w:t>KEVYIDEN AJONEUVOJEN TIETULLIEN JA KÄYTTÄJÄMAKSUJEN PORRASTUS</w:t>
      </w:r>
    </w:p>
    <w:p>
      <w:pPr>
        <w:spacing w:after="0"/>
        <w:rPr>
          <w:rFonts w:eastAsia="Arial Unicode MS"/>
          <w:noProof/>
        </w:rPr>
      </w:pPr>
    </w:p>
    <w:p>
      <w:pPr>
        <w:spacing w:after="0"/>
        <w:rPr>
          <w:rFonts w:eastAsia="Arial Unicode MS"/>
          <w:noProof/>
        </w:rPr>
      </w:pPr>
      <w:r>
        <w:rPr>
          <w:noProof/>
        </w:rPr>
        <w:t>Tässä liitteessä vahvistetaan päästöluokat, joiden perusteella tietullit ja käyttäjämaksut on eriytettävä.</w:t>
      </w:r>
    </w:p>
    <w:p>
      <w:pPr>
        <w:spacing w:after="0"/>
        <w:rPr>
          <w:rFonts w:eastAsia="Arial Unicode MS"/>
          <w:noProof/>
        </w:rPr>
      </w:pPr>
      <w:r>
        <w:rPr>
          <w:noProof/>
        </w:rPr>
        <w:t>Epäpuhtauspäästöt on mitattava komission asetuksen (EU) .../...* mukaisesti.</w:t>
      </w:r>
    </w:p>
    <w:p>
      <w:pPr>
        <w:spacing w:after="0"/>
        <w:rPr>
          <w:rFonts w:eastAsia="Arial Unicode MS"/>
          <w:noProof/>
        </w:rPr>
      </w:pPr>
      <w:r>
        <w:rPr>
          <w:noProof/>
        </w:rPr>
        <w:t>Alhaisempia maksuja sovelletaan henkilöautoihin ja kevyisiin hyötyajoneuvoihin, joiden Euroopan parlamentin ja neuvoston asetuksen (EY) N:o 715/2007** mukaisesti mitatut hiilidioksidipäästöt ovat alhaisemmat kuin koko EU:n ajoneuvokantaan sovellettavat vastaavat tavoitetasot, jotka on määritelty Euroopan parlamentin ja neuvoston asetuksessa (EY) N:o 443/2009*** ja Euroopan parlamentin ja neuvoston asetuksessa (EU) N:o 510/2011****.</w:t>
      </w:r>
    </w:p>
    <w:p>
      <w:pPr>
        <w:spacing w:after="0"/>
        <w:rPr>
          <w:rFonts w:eastAsia="Arial Unicode MS"/>
          <w:i/>
          <w:noProof/>
        </w:rPr>
      </w:pPr>
      <w:r>
        <w:rPr>
          <w:i/>
          <w:noProof/>
        </w:rPr>
        <w:t>Taulukko: Kevyiden ajoneuvojen päästöluokat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888"/>
        <w:gridCol w:w="1889"/>
        <w:gridCol w:w="1801"/>
        <w:gridCol w:w="1801"/>
      </w:tblGrid>
      <w:tr>
        <w:trPr>
          <w:trHeight w:val="832"/>
        </w:trPr>
        <w:tc>
          <w:tcPr>
            <w:tcW w:w="981" w:type="pct"/>
            <w:shd w:val="clear" w:color="auto" w:fill="FFFFFF" w:themeFill="background1"/>
            <w:vAlign w:val="center"/>
          </w:tcPr>
          <w:p>
            <w:pPr>
              <w:spacing w:before="100" w:beforeAutospacing="1" w:after="100" w:afterAutospacing="1"/>
              <w:jc w:val="center"/>
              <w:rPr>
                <w:b/>
                <w:noProof/>
              </w:rPr>
            </w:pPr>
            <w:r>
              <w:rPr>
                <w:b/>
                <w:noProof/>
              </w:rPr>
              <w:t>Vaatimusten</w:t>
            </w:r>
            <w:r>
              <w:rPr>
                <w:b/>
                <w:noProof/>
              </w:rPr>
              <w:softHyphen/>
              <w:t>mukaisuuden tunnusluku</w:t>
            </w:r>
          </w:p>
        </w:tc>
        <w:tc>
          <w:tcPr>
            <w:tcW w:w="1028" w:type="pct"/>
            <w:shd w:val="clear" w:color="auto" w:fill="FFFFFF" w:themeFill="background1"/>
            <w:vAlign w:val="center"/>
          </w:tcPr>
          <w:p>
            <w:pPr>
              <w:spacing w:before="100" w:beforeAutospacing="1" w:after="100" w:afterAutospacing="1"/>
              <w:jc w:val="center"/>
              <w:rPr>
                <w:b/>
                <w:noProof/>
              </w:rPr>
            </w:pPr>
            <w:r>
              <w:rPr>
                <w:b/>
                <w:noProof/>
              </w:rPr>
              <w:t>1,5–2,1</w:t>
            </w:r>
          </w:p>
        </w:tc>
        <w:tc>
          <w:tcPr>
            <w:tcW w:w="1029" w:type="pct"/>
            <w:shd w:val="clear" w:color="auto" w:fill="FFFFFF" w:themeFill="background1"/>
            <w:vAlign w:val="center"/>
          </w:tcPr>
          <w:p>
            <w:pPr>
              <w:spacing w:before="100" w:beforeAutospacing="1" w:after="100" w:afterAutospacing="1"/>
              <w:jc w:val="center"/>
              <w:rPr>
                <w:b/>
                <w:noProof/>
              </w:rPr>
            </w:pPr>
            <w:r>
              <w:rPr>
                <w:b/>
                <w:noProof/>
              </w:rPr>
              <w:t>1-1,5</w:t>
            </w:r>
          </w:p>
        </w:tc>
        <w:tc>
          <w:tcPr>
            <w:tcW w:w="981" w:type="pct"/>
            <w:shd w:val="clear" w:color="auto" w:fill="FFFFFF" w:themeFill="background1"/>
            <w:vAlign w:val="center"/>
          </w:tcPr>
          <w:p>
            <w:pPr>
              <w:spacing w:before="100" w:beforeAutospacing="1" w:after="100" w:afterAutospacing="1"/>
              <w:jc w:val="center"/>
              <w:rPr>
                <w:b/>
                <w:noProof/>
              </w:rPr>
            </w:pPr>
            <w:r>
              <w:rPr>
                <w:b/>
                <w:noProof/>
              </w:rPr>
              <w:t>alle 1</w:t>
            </w:r>
          </w:p>
        </w:tc>
        <w:tc>
          <w:tcPr>
            <w:tcW w:w="981" w:type="pct"/>
            <w:shd w:val="clear" w:color="auto" w:fill="FFFFFF" w:themeFill="background1"/>
            <w:vAlign w:val="center"/>
          </w:tcPr>
          <w:p>
            <w:pPr>
              <w:spacing w:before="100" w:beforeAutospacing="1" w:after="100" w:afterAutospacing="1"/>
              <w:jc w:val="center"/>
              <w:rPr>
                <w:b/>
                <w:noProof/>
              </w:rPr>
            </w:pPr>
            <w:r>
              <w:rPr>
                <w:b/>
                <w:noProof/>
              </w:rPr>
              <w:t>Päästöttömät ajoneuvot</w:t>
            </w:r>
          </w:p>
        </w:tc>
      </w:tr>
      <w:tr>
        <w:trPr>
          <w:trHeight w:val="832"/>
        </w:trPr>
        <w:tc>
          <w:tcPr>
            <w:tcW w:w="981" w:type="pct"/>
            <w:vAlign w:val="center"/>
          </w:tcPr>
          <w:p>
            <w:pPr>
              <w:spacing w:before="100" w:beforeAutospacing="1" w:after="100" w:afterAutospacing="1"/>
              <w:jc w:val="center"/>
              <w:rPr>
                <w:b/>
                <w:noProof/>
              </w:rPr>
            </w:pPr>
            <w:r>
              <w:rPr>
                <w:b/>
                <w:noProof/>
              </w:rPr>
              <w:t>Maksu/km</w:t>
            </w:r>
          </w:p>
        </w:tc>
        <w:tc>
          <w:tcPr>
            <w:tcW w:w="1028" w:type="pct"/>
            <w:shd w:val="clear" w:color="auto" w:fill="FFFFFF"/>
            <w:vAlign w:val="center"/>
          </w:tcPr>
          <w:p>
            <w:pPr>
              <w:spacing w:before="100" w:beforeAutospacing="1" w:after="100" w:afterAutospacing="1"/>
              <w:jc w:val="center"/>
              <w:rPr>
                <w:noProof/>
              </w:rPr>
            </w:pPr>
            <w:r>
              <w:rPr>
                <w:noProof/>
              </w:rPr>
              <w:t>10 % pienempi kuin korkein maksu</w:t>
            </w:r>
          </w:p>
        </w:tc>
        <w:tc>
          <w:tcPr>
            <w:tcW w:w="1029" w:type="pct"/>
            <w:vAlign w:val="center"/>
          </w:tcPr>
          <w:p>
            <w:pPr>
              <w:spacing w:before="100" w:beforeAutospacing="1" w:after="100" w:afterAutospacing="1"/>
              <w:jc w:val="center"/>
              <w:rPr>
                <w:noProof/>
              </w:rPr>
            </w:pPr>
            <w:r>
              <w:rPr>
                <w:noProof/>
              </w:rPr>
              <w:t>20 % pienempi kuin korkein maksu</w:t>
            </w:r>
          </w:p>
        </w:tc>
        <w:tc>
          <w:tcPr>
            <w:tcW w:w="981" w:type="pct"/>
            <w:vAlign w:val="center"/>
          </w:tcPr>
          <w:p>
            <w:pPr>
              <w:spacing w:before="100" w:beforeAutospacing="1" w:after="100" w:afterAutospacing="1"/>
              <w:jc w:val="center"/>
              <w:rPr>
                <w:noProof/>
              </w:rPr>
            </w:pPr>
            <w:r>
              <w:rPr>
                <w:noProof/>
              </w:rPr>
              <w:t>30 % pienempi kuin korkein maksu</w:t>
            </w:r>
          </w:p>
        </w:tc>
        <w:tc>
          <w:tcPr>
            <w:tcW w:w="981" w:type="pct"/>
            <w:vAlign w:val="center"/>
          </w:tcPr>
          <w:p>
            <w:pPr>
              <w:spacing w:before="100" w:beforeAutospacing="1" w:after="100" w:afterAutospacing="1"/>
              <w:jc w:val="center"/>
              <w:rPr>
                <w:noProof/>
              </w:rPr>
            </w:pPr>
            <w:r>
              <w:rPr>
                <w:noProof/>
              </w:rPr>
              <w:t>75 % pienempi kuin korkein maksu</w:t>
            </w:r>
          </w:p>
        </w:tc>
      </w:tr>
    </w:tbl>
    <w:p>
      <w:pPr>
        <w:adjustRightInd w:val="0"/>
        <w:spacing w:before="0" w:after="0"/>
        <w:jc w:val="left"/>
        <w:rPr>
          <w:noProof/>
        </w:rPr>
      </w:pPr>
    </w:p>
    <w:p>
      <w:pPr>
        <w:adjustRightInd w:val="0"/>
        <w:spacing w:before="0" w:after="0"/>
        <w:jc w:val="left"/>
        <w:rPr>
          <w:noProof/>
        </w:rPr>
      </w:pPr>
      <w:r>
        <w:rPr>
          <w:noProof/>
        </w:rPr>
        <w:t>__________________</w:t>
      </w:r>
    </w:p>
    <w:p>
      <w:pPr>
        <w:adjustRightInd w:val="0"/>
        <w:spacing w:before="0" w:after="0"/>
        <w:jc w:val="left"/>
        <w:rPr>
          <w:noProof/>
        </w:rPr>
      </w:pPr>
    </w:p>
    <w:p>
      <w:pPr>
        <w:adjustRightInd w:val="0"/>
        <w:spacing w:before="0" w:after="0"/>
        <w:ind w:left="720" w:hanging="720"/>
        <w:jc w:val="left"/>
        <w:rPr>
          <w:noProof/>
        </w:rPr>
      </w:pPr>
      <w:r>
        <w:rPr>
          <w:noProof/>
        </w:rPr>
        <w:t>*</w:t>
      </w:r>
      <w:r>
        <w:rPr>
          <w:noProof/>
        </w:rPr>
        <w:tab/>
        <w:t>Komission asetus (EU) …/…, annettu XXX, komission asetuksen (EU) 2017/xxx ja Euroopan parlamentin ja neuvoston direktiivin 2007/46/EY muuttamisesta siltä osin kuin kyse on kevyiden henkilö- ja hyötyajoneuvojen todellisissa ajo-olosuhteissa syntyvistä päästöistä (Euro 6) [RDE 3] (EUVL L ..., ......2017, s. ...).</w:t>
      </w:r>
    </w:p>
    <w:p>
      <w:pPr>
        <w:adjustRightInd w:val="0"/>
        <w:spacing w:before="0" w:after="0"/>
        <w:ind w:left="720" w:hanging="720"/>
        <w:jc w:val="left"/>
        <w:rPr>
          <w:noProof/>
        </w:rPr>
      </w:pPr>
      <w:r>
        <w:rPr>
          <w:noProof/>
        </w:rPr>
        <w:t>**</w:t>
      </w:r>
      <w:r>
        <w:rPr>
          <w:noProof/>
        </w:rPr>
        <w:tab/>
        <w:t>Euroopan parlamentin ja neuvoston asetus (EY) N:o 715/2007, annettu 20 päivänä kesäkuuta 2007, moottoriajoneuvojen tyyppihyväksynnästä kevyiden henkilö- ja hyötyajoneuvojen päästöjen (Euro 5 ja Euro 6) osalta ja ajoneuvojen korjaamiseen ja huoltamiseen tarvittavien tietojen saatavuudesta (EUVL L 171, 29.6.2007, s. 1).</w:t>
      </w:r>
    </w:p>
    <w:p>
      <w:pPr>
        <w:adjustRightInd w:val="0"/>
        <w:spacing w:before="0" w:after="0"/>
        <w:ind w:left="720" w:hanging="720"/>
        <w:jc w:val="left"/>
        <w:rPr>
          <w:noProof/>
        </w:rPr>
      </w:pPr>
      <w:r>
        <w:rPr>
          <w:noProof/>
        </w:rPr>
        <w:t>***</w:t>
      </w:r>
      <w:r>
        <w:rPr>
          <w:noProof/>
        </w:rPr>
        <w:tab/>
        <w:t>Euroopan parlamentin ja neuvoston asetus (EY) N:o 443/2009, annettu 23 päivänä huhtikuuta 2009, päästönormien asettamisesta uusille henkilöautoille osana yhteisön kokonaisvaltaista lähestymistapaa kevyiden hyötyajoneuvojen hiilidioksidipäästöjen vähentämiseksi (EUVL L 140, 5.6.2009, s. 1).</w:t>
      </w:r>
    </w:p>
    <w:p>
      <w:pPr>
        <w:adjustRightInd w:val="0"/>
        <w:spacing w:before="0" w:after="0"/>
        <w:ind w:left="720" w:hanging="720"/>
        <w:jc w:val="left"/>
        <w:rPr>
          <w:noProof/>
        </w:rPr>
      </w:pPr>
      <w:r>
        <w:rPr>
          <w:noProof/>
        </w:rPr>
        <w:t>****</w:t>
      </w:r>
      <w:r>
        <w:rPr>
          <w:noProof/>
        </w:rPr>
        <w:tab/>
        <w:t>Euroopan parlamentin ja neuvoston asetus (EU) N:o 510/2011, annettu 11 päivänä toukokuuta 2011, päästönormien asettamisesta uusille kevyille kuljetusajoneuvoille osana unionin kokonaisvaltaista lähestymistapaa kevyiden hyötyajoneuvojen hiilidioksidipäästöjen vähentämiseksi (EUVL L 145, 31.5.2011, s. 1).”</w:t>
      </w:r>
    </w:p>
    <w:sectPr>
      <w:footerReference w:type="default" r:id="rId18"/>
      <w:footerReference w:type="first" r:id="rId1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3656B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D015E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28031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660E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2EE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BBC7B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383202"/>
    <w:lvl w:ilvl="0">
      <w:start w:val="1"/>
      <w:numFmt w:val="decimal"/>
      <w:pStyle w:val="ListNumber"/>
      <w:lvlText w:val="%1."/>
      <w:lvlJc w:val="left"/>
      <w:pPr>
        <w:tabs>
          <w:tab w:val="num" w:pos="360"/>
        </w:tabs>
        <w:ind w:left="360" w:hanging="360"/>
      </w:pPr>
    </w:lvl>
  </w:abstractNum>
  <w:abstractNum w:abstractNumId="7">
    <w:nsid w:val="FFFFFF89"/>
    <w:multiLevelType w:val="singleLevel"/>
    <w:tmpl w:val="EC783F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6 14:42:5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ACCOMPAGNANT.CP" w:val="asiakirjaan"/>
    <w:docVar w:name="LW_ANNEX_NBR_FIRST" w:val="1"/>
    <w:docVar w:name="LW_ANNEX_NBR_LAST" w:val="1"/>
    <w:docVar w:name="LW_CONFIDENCE" w:val=" "/>
    <w:docVar w:name="LW_CONST_RESTREINT_UE" w:val="RESTREINT UE"/>
    <w:docVar w:name="LW_CORRIGENDUM" w:val="&lt;UNUSED&gt;"/>
    <w:docVar w:name="LW_COVERPAGE_GUID" w:val="41564B46F26D44ABBDB6CF3C19B67272"/>
    <w:docVar w:name="LW_CROSSREFERENCE" w:val="{SWD(2017) 180 final}_x000b_{SWD(2017) 181 final}"/>
    <w:docVar w:name="LW_DocType" w:val="ANNEX"/>
    <w:docVar w:name="LW_EMISSION" w:val="31.5.2017"/>
    <w:docVar w:name="LW_EMISSION_ISODATE" w:val="2017-05-31"/>
    <w:docVar w:name="LW_EMISSION_LOCATION" w:val="BRX"/>
    <w:docVar w:name="LW_EMISSION_PREFIX" w:val="Bryssel "/>
    <w:docVar w:name="LW_EMISSION_SUFFIX" w:val=" "/>
    <w:docVar w:name="LW_ID_DOCSTRUCTURE" w:val="COM/ANNEX"/>
    <w:docVar w:name="LW_ID_DOCTYPE" w:val="SG-017"/>
    <w:docVar w:name="LW_LANGUE" w:val="FI"/>
    <w:docVar w:name="LW_MARKING" w:val="&lt;UNUSED&gt;"/>
    <w:docVar w:name="LW_NOM.INST" w:val="EUROOPAN KOMISSIO"/>
    <w:docVar w:name="LW_NOM.INST_JOINTDOC" w:val="&lt;EMPTY&gt;"/>
    <w:docVar w:name="LW_OBJETACTEPRINCIPAL.CP" w:val="verojen ja maksujen kantamisesta raskailta tavaraliikenteen ajoneuvoilta tiettyjen infrastruktuurien käytöstä annetun direktiivin 1999/62/EY muuttamisesta_x000b_(ETA:n kannalta merkityksellinen teksti)"/>
    <w:docVar w:name="LW_PART_NBR" w:val="1"/>
    <w:docVar w:name="LW_PART_NBR_TOTAL" w:val="1"/>
    <w:docVar w:name="LW_REF.INST.NEW" w:val="COM"/>
    <w:docVar w:name="LW_REF.INST.NEW_ADOPTED" w:val="final"/>
    <w:docVar w:name="LW_REF.INST.NEW_TEXT" w:val="(2017) 275"/>
    <w:docVar w:name="LW_REF.INTERNE" w:val="&lt;UNUSED&gt;"/>
    <w:docVar w:name="LW_SUPERTITRE" w:val="&lt;UNUSED&gt;"/>
    <w:docVar w:name="LW_TITRE.OBJ.CP" w:val="&lt;UNUSED&gt;"/>
    <w:docVar w:name="LW_TYPE.DOC.CP" w:val="LIITE"/>
    <w:docVar w:name="LW_TYPEACTEPRINCIPAL.CP" w:val="EUROOPAN PARLAMENTIN JA NEUVOSTON DIREKTIIV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lang w:val="fr-FR" w:eastAsia="en-GB"/>
    </w:rPr>
  </w:style>
  <w:style w:type="character" w:styleId="Hyperlink">
    <w:name w:val="Hyperlink"/>
    <w:uiPriority w:val="99"/>
    <w:unhideWhenUsed/>
    <w:rPr>
      <w:rFonts w:cs="Times New Roman"/>
      <w:color w:val="0000FF"/>
      <w:u w:val="singl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lang w:val="fr-FR" w:eastAsia="en-GB"/>
    </w:rPr>
  </w:style>
  <w:style w:type="character" w:styleId="Hyperlink">
    <w:name w:val="Hyperlink"/>
    <w:uiPriority w:val="99"/>
    <w:unhideWhenUsed/>
    <w:rPr>
      <w:rFonts w:cs="Times New Roman"/>
      <w:color w:val="0000FF"/>
      <w:u w:val="singl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16512">
      <w:bodyDiv w:val="1"/>
      <w:marLeft w:val="0"/>
      <w:marRight w:val="0"/>
      <w:marTop w:val="0"/>
      <w:marBottom w:val="0"/>
      <w:divBdr>
        <w:top w:val="none" w:sz="0" w:space="0" w:color="auto"/>
        <w:left w:val="none" w:sz="0" w:space="0" w:color="auto"/>
        <w:bottom w:val="none" w:sz="0" w:space="0" w:color="auto"/>
        <w:right w:val="none" w:sz="0" w:space="0" w:color="auto"/>
      </w:divBdr>
    </w:div>
    <w:div w:id="12397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FE532-1BD7-460C-93F0-0D3557B9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13</Pages>
  <Words>2529</Words>
  <Characters>18819</Characters>
  <Application>Microsoft Office Word</Application>
  <DocSecurity>0</DocSecurity>
  <Lines>855</Lines>
  <Paragraphs>592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SZATMARI Peter (MOVE)</dc:creator>
  <cp:lastModifiedBy>DIGIT/A3</cp:lastModifiedBy>
  <cp:revision>8</cp:revision>
  <cp:lastPrinted>2017-05-28T06:32:00Z</cp:lastPrinted>
  <dcterms:created xsi:type="dcterms:W3CDTF">2017-06-02T07:50:00Z</dcterms:created>
  <dcterms:modified xsi:type="dcterms:W3CDTF">2017-06-06T12:42:00Z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