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B5A58486670946C28C37CA0BB796B420" style="width:450.75pt;height:424.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20"/>
          <w:docGrid w:linePitch="360"/>
        </w:sectPr>
      </w:pPr>
    </w:p>
    <w:p>
      <w:pPr>
        <w:pStyle w:val="Typedudocument"/>
        <w:rPr>
          <w:noProof/>
        </w:rPr>
      </w:pPr>
      <w:bookmarkStart w:id="0" w:name="_GoBack"/>
      <w:bookmarkEnd w:id="0"/>
      <w:r>
        <w:rPr>
          <w:noProof/>
        </w:rPr>
        <w:lastRenderedPageBreak/>
        <w:t>ΠΑΡΑΡΤΗΜΑ</w:t>
      </w:r>
    </w:p>
    <w:p>
      <w:pPr>
        <w:pStyle w:val="Accompagnant"/>
        <w:rPr>
          <w:noProof/>
        </w:rPr>
      </w:pPr>
      <w:r>
        <w:rPr>
          <w:noProof/>
        </w:rPr>
        <w:t>στην</w:t>
      </w:r>
    </w:p>
    <w:p>
      <w:pPr>
        <w:pStyle w:val="Typeacteprincipal"/>
        <w:rPr>
          <w:noProof/>
        </w:rPr>
      </w:pPr>
      <w:r>
        <w:rPr>
          <w:noProof/>
        </w:rPr>
        <w:t>ΟΔΗΓΙΑ ΤΟΥ ΕΥΡΩΠΑΪΚΟΥ ΚΟΙΝΟΒΟΥΛΙΟΥ ΚΑΙ ΤΟΥ ΣΥΜΒΟΥΛΙΟΥ</w:t>
      </w:r>
    </w:p>
    <w:p>
      <w:pPr>
        <w:pStyle w:val="Objetacteprincipal"/>
        <w:rPr>
          <w:noProof/>
        </w:rPr>
      </w:pPr>
      <w:r>
        <w:rPr>
          <w:noProof/>
        </w:rPr>
        <w:t>για την τροποποίηση της οδηγίας 1999/62/ΕΚ περί επιβολής τελών στα βαρέα φορτηγά οχήματα που χρησιμοποιούν ορισμένα έργα υποδομής</w:t>
      </w:r>
      <w:r>
        <w:rPr>
          <w:noProof/>
        </w:rPr>
        <w:br/>
        <w:t>(Κείμενο που παρουσιάζει ενδιαφέρον για τον ΕΟΧ)</w:t>
      </w:r>
    </w:p>
    <w:p>
      <w:pPr>
        <w:rPr>
          <w:noProof/>
        </w:rPr>
      </w:pPr>
    </w:p>
    <w:p>
      <w:pPr>
        <w:rPr>
          <w:noProof/>
        </w:rPr>
      </w:pPr>
      <w:r>
        <w:rPr>
          <w:noProof/>
        </w:rPr>
        <w:t>1)</w:t>
      </w:r>
      <w:r>
        <w:rPr>
          <w:noProof/>
        </w:rPr>
        <w:tab/>
        <w:t>Τα παραρτήματα 0, III, IIIα, IIIβ και IV τροποποιούνται ως εξής:</w:t>
      </w:r>
    </w:p>
    <w:p>
      <w:pPr>
        <w:rPr>
          <w:noProof/>
        </w:rPr>
      </w:pPr>
      <w:r>
        <w:rPr>
          <w:noProof/>
        </w:rPr>
        <w:t>α)</w:t>
      </w:r>
      <w:r>
        <w:rPr>
          <w:noProof/>
        </w:rPr>
        <w:tab/>
        <w:t>στο παράρτημα 0, το τμήμα 3 τροποποιείται ως εξής:</w:t>
      </w:r>
    </w:p>
    <w:p>
      <w:pPr>
        <w:ind w:firstLine="720"/>
        <w:rPr>
          <w:noProof/>
        </w:rPr>
      </w:pPr>
      <w:r>
        <w:rPr>
          <w:noProof/>
        </w:rPr>
        <w:t>i)</w:t>
      </w:r>
      <w:r>
        <w:rPr>
          <w:noProof/>
        </w:rPr>
        <w:tab/>
        <w:t>ο τίτλος αντικαθίσταται από το ακόλουθο κείμενο:</w:t>
      </w:r>
    </w:p>
    <w:p>
      <w:pPr>
        <w:ind w:left="130" w:firstLine="720"/>
        <w:rPr>
          <w:noProof/>
          <w:lang w:val="it-IT"/>
        </w:rPr>
      </w:pPr>
      <w:r>
        <w:rPr>
          <w:noProof/>
          <w:lang w:val="it-IT"/>
        </w:rPr>
        <w:t xml:space="preserve">«3. </w:t>
      </w:r>
      <w:r>
        <w:rPr>
          <w:noProof/>
        </w:rPr>
        <w:t>οχήματα</w:t>
      </w:r>
      <w:r>
        <w:rPr>
          <w:noProof/>
          <w:lang w:val="it-IT"/>
        </w:rPr>
        <w:t xml:space="preserve"> «EURO III»/«EURO IV»/«EURO V»·</w:t>
      </w:r>
    </w:p>
    <w:p>
      <w:pPr>
        <w:ind w:firstLine="720"/>
        <w:rPr>
          <w:noProof/>
        </w:rPr>
      </w:pPr>
      <w:r>
        <w:rPr>
          <w:noProof/>
        </w:rPr>
        <w:t>ii)</w:t>
      </w:r>
      <w:r>
        <w:rPr>
          <w:noProof/>
        </w:rPr>
        <w:tab/>
        <w:t>στον πίνακα, διαγράφεται η σειρά που αφορά το όχημα ««EEV»·</w:t>
      </w:r>
    </w:p>
    <w:p>
      <w:pPr>
        <w:ind w:left="720"/>
        <w:rPr>
          <w:noProof/>
        </w:rPr>
      </w:pPr>
      <w:r>
        <w:rPr>
          <w:noProof/>
        </w:rPr>
        <w:t>iii)</w:t>
      </w:r>
      <w:r>
        <w:rPr>
          <w:noProof/>
        </w:rPr>
        <w:tab/>
        <w:t>προστίθεται το ακόλουθο κείμενο:</w:t>
      </w:r>
    </w:p>
    <w:p>
      <w:pPr>
        <w:pStyle w:val="NormalCentered"/>
        <w:rPr>
          <w:b/>
          <w:noProof/>
          <w:u w:val="single"/>
        </w:rPr>
      </w:pPr>
      <w:r>
        <w:rPr>
          <w:b/>
          <w:noProof/>
          <w:u w:val="single"/>
        </w:rPr>
        <w:t>«Όρια εκπομπών Euro VI</w:t>
      </w:r>
    </w:p>
    <w:tbl>
      <w:tblPr>
        <w:tblW w:w="1022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276"/>
        <w:gridCol w:w="1262"/>
        <w:gridCol w:w="1216"/>
        <w:gridCol w:w="1216"/>
        <w:gridCol w:w="1216"/>
        <w:gridCol w:w="803"/>
        <w:gridCol w:w="1216"/>
        <w:gridCol w:w="1030"/>
      </w:tblGrid>
      <w:tr>
        <w:trPr>
          <w:trHeight w:val="562"/>
        </w:trPr>
        <w:tc>
          <w:tcPr>
            <w:tcW w:w="993" w:type="dxa"/>
            <w:tcBorders>
              <w:bottom w:val="nil"/>
            </w:tcBorders>
          </w:tcPr>
          <w:p>
            <w:pPr>
              <w:rPr>
                <w:noProof/>
              </w:rPr>
            </w:pPr>
          </w:p>
        </w:tc>
        <w:tc>
          <w:tcPr>
            <w:tcW w:w="9235" w:type="dxa"/>
            <w:gridSpan w:val="8"/>
            <w:hideMark/>
          </w:tcPr>
          <w:p>
            <w:pPr>
              <w:rPr>
                <w:noProof/>
              </w:rPr>
            </w:pPr>
            <w:r>
              <w:rPr>
                <w:noProof/>
              </w:rPr>
              <w:t>Οριακές τιμές</w:t>
            </w:r>
          </w:p>
        </w:tc>
      </w:tr>
      <w:tr>
        <w:trPr>
          <w:trHeight w:val="991"/>
        </w:trPr>
        <w:tc>
          <w:tcPr>
            <w:tcW w:w="993" w:type="dxa"/>
            <w:tcBorders>
              <w:top w:val="nil"/>
            </w:tcBorders>
          </w:tcPr>
          <w:p>
            <w:pPr>
              <w:rPr>
                <w:noProof/>
              </w:rPr>
            </w:pPr>
          </w:p>
        </w:tc>
        <w:tc>
          <w:tcPr>
            <w:tcW w:w="1276" w:type="dxa"/>
            <w:hideMark/>
          </w:tcPr>
          <w:p>
            <w:pPr>
              <w:rPr>
                <w:noProof/>
              </w:rPr>
            </w:pPr>
            <w:r>
              <w:rPr>
                <w:noProof/>
              </w:rPr>
              <w:t>CO</w:t>
            </w:r>
          </w:p>
          <w:p>
            <w:pPr>
              <w:rPr>
                <w:noProof/>
              </w:rPr>
            </w:pPr>
            <w:r>
              <w:rPr>
                <w:noProof/>
              </w:rPr>
              <w:t>(mg/kWh)</w:t>
            </w:r>
          </w:p>
        </w:tc>
        <w:tc>
          <w:tcPr>
            <w:tcW w:w="1262" w:type="dxa"/>
            <w:hideMark/>
          </w:tcPr>
          <w:p>
            <w:pPr>
              <w:rPr>
                <w:noProof/>
              </w:rPr>
            </w:pPr>
            <w:r>
              <w:rPr>
                <w:noProof/>
              </w:rPr>
              <w:t>THC</w:t>
            </w:r>
          </w:p>
          <w:p>
            <w:pPr>
              <w:rPr>
                <w:noProof/>
              </w:rPr>
            </w:pPr>
            <w:r>
              <w:rPr>
                <w:noProof/>
              </w:rPr>
              <w:t>(mg/kWh)</w:t>
            </w:r>
          </w:p>
        </w:tc>
        <w:tc>
          <w:tcPr>
            <w:tcW w:w="1216" w:type="dxa"/>
            <w:hideMark/>
          </w:tcPr>
          <w:p>
            <w:pPr>
              <w:rPr>
                <w:noProof/>
              </w:rPr>
            </w:pPr>
            <w:r>
              <w:rPr>
                <w:noProof/>
              </w:rPr>
              <w:t>NMHC</w:t>
            </w:r>
          </w:p>
          <w:p>
            <w:pPr>
              <w:rPr>
                <w:noProof/>
              </w:rPr>
            </w:pPr>
            <w:r>
              <w:rPr>
                <w:noProof/>
              </w:rPr>
              <w:t>(mg/kWh)</w:t>
            </w:r>
          </w:p>
        </w:tc>
        <w:tc>
          <w:tcPr>
            <w:tcW w:w="1216" w:type="dxa"/>
            <w:hideMark/>
          </w:tcPr>
          <w:p>
            <w:pPr>
              <w:rPr>
                <w:noProof/>
                <w:vertAlign w:val="subscript"/>
              </w:rPr>
            </w:pPr>
            <w:r>
              <w:rPr>
                <w:noProof/>
              </w:rPr>
              <w:t>CH</w:t>
            </w:r>
            <w:r>
              <w:rPr>
                <w:noProof/>
                <w:vertAlign w:val="subscript"/>
              </w:rPr>
              <w:t>4</w:t>
            </w:r>
          </w:p>
          <w:p>
            <w:pPr>
              <w:rPr>
                <w:noProof/>
              </w:rPr>
            </w:pPr>
            <w:r>
              <w:rPr>
                <w:noProof/>
              </w:rPr>
              <w:t>(mg/kWh)</w:t>
            </w:r>
          </w:p>
        </w:tc>
        <w:tc>
          <w:tcPr>
            <w:tcW w:w="1216" w:type="dxa"/>
            <w:hideMark/>
          </w:tcPr>
          <w:p>
            <w:pPr>
              <w:rPr>
                <w:noProof/>
              </w:rPr>
            </w:pPr>
            <w:r>
              <w:rPr>
                <w:noProof/>
              </w:rPr>
              <w:t>NO</w:t>
            </w:r>
            <w:r>
              <w:rPr>
                <w:noProof/>
                <w:vertAlign w:val="subscript"/>
              </w:rPr>
              <w:t>X</w:t>
            </w:r>
            <w:r>
              <w:rPr>
                <w:noProof/>
              </w:rPr>
              <w:t xml:space="preserve"> </w:t>
            </w:r>
            <w:r>
              <w:rPr>
                <w:noProof/>
                <w:vertAlign w:val="superscript"/>
              </w:rPr>
              <w:t>(1)</w:t>
            </w:r>
          </w:p>
          <w:p>
            <w:pPr>
              <w:rPr>
                <w:noProof/>
              </w:rPr>
            </w:pPr>
            <w:r>
              <w:rPr>
                <w:noProof/>
              </w:rPr>
              <w:t>(mg/kWh)</w:t>
            </w:r>
          </w:p>
        </w:tc>
        <w:tc>
          <w:tcPr>
            <w:tcW w:w="803" w:type="dxa"/>
            <w:hideMark/>
          </w:tcPr>
          <w:p>
            <w:pPr>
              <w:rPr>
                <w:noProof/>
                <w:vertAlign w:val="subscript"/>
              </w:rPr>
            </w:pPr>
            <w:r>
              <w:rPr>
                <w:noProof/>
              </w:rPr>
              <w:t>NH</w:t>
            </w:r>
            <w:r>
              <w:rPr>
                <w:noProof/>
                <w:vertAlign w:val="subscript"/>
              </w:rPr>
              <w:t>3</w:t>
            </w:r>
          </w:p>
          <w:p>
            <w:pPr>
              <w:rPr>
                <w:noProof/>
              </w:rPr>
            </w:pPr>
            <w:r>
              <w:rPr>
                <w:noProof/>
              </w:rPr>
              <w:t>(ppm)</w:t>
            </w:r>
          </w:p>
        </w:tc>
        <w:tc>
          <w:tcPr>
            <w:tcW w:w="1216" w:type="dxa"/>
            <w:hideMark/>
          </w:tcPr>
          <w:p>
            <w:pPr>
              <w:rPr>
                <w:noProof/>
              </w:rPr>
            </w:pPr>
            <w:r>
              <w:rPr>
                <w:noProof/>
              </w:rPr>
              <w:t>Μάζα PM</w:t>
            </w:r>
          </w:p>
          <w:p>
            <w:pPr>
              <w:rPr>
                <w:noProof/>
                <w:vertAlign w:val="subscript"/>
              </w:rPr>
            </w:pPr>
            <w:r>
              <w:rPr>
                <w:noProof/>
              </w:rPr>
              <w:t>(mg/kWh)</w:t>
            </w:r>
          </w:p>
        </w:tc>
        <w:tc>
          <w:tcPr>
            <w:tcW w:w="1030" w:type="dxa"/>
            <w:hideMark/>
          </w:tcPr>
          <w:p>
            <w:pPr>
              <w:rPr>
                <w:noProof/>
              </w:rPr>
            </w:pPr>
            <w:r>
              <w:rPr>
                <w:noProof/>
              </w:rPr>
              <w:t>Αριθμός PM</w:t>
            </w:r>
          </w:p>
          <w:p>
            <w:pPr>
              <w:rPr>
                <w:noProof/>
                <w:vertAlign w:val="subscript"/>
              </w:rPr>
            </w:pPr>
            <w:r>
              <w:rPr>
                <w:noProof/>
              </w:rPr>
              <w:t>(#/kWh)</w:t>
            </w:r>
          </w:p>
        </w:tc>
      </w:tr>
      <w:tr>
        <w:trPr>
          <w:trHeight w:val="876"/>
        </w:trPr>
        <w:tc>
          <w:tcPr>
            <w:tcW w:w="993" w:type="dxa"/>
            <w:hideMark/>
          </w:tcPr>
          <w:p>
            <w:pPr>
              <w:rPr>
                <w:noProof/>
              </w:rPr>
            </w:pPr>
            <w:r>
              <w:rPr>
                <w:noProof/>
              </w:rPr>
              <w:t>WHSC (CI)</w:t>
            </w:r>
          </w:p>
        </w:tc>
        <w:tc>
          <w:tcPr>
            <w:tcW w:w="1276" w:type="dxa"/>
            <w:hideMark/>
          </w:tcPr>
          <w:p>
            <w:pPr>
              <w:rPr>
                <w:noProof/>
              </w:rPr>
            </w:pPr>
            <w:r>
              <w:rPr>
                <w:noProof/>
              </w:rPr>
              <w:t>1500</w:t>
            </w:r>
          </w:p>
        </w:tc>
        <w:tc>
          <w:tcPr>
            <w:tcW w:w="1262" w:type="dxa"/>
            <w:hideMark/>
          </w:tcPr>
          <w:p>
            <w:pPr>
              <w:rPr>
                <w:noProof/>
              </w:rPr>
            </w:pPr>
            <w:r>
              <w:rPr>
                <w:noProof/>
              </w:rPr>
              <w:t>130</w:t>
            </w:r>
          </w:p>
        </w:tc>
        <w:tc>
          <w:tcPr>
            <w:tcW w:w="1216" w:type="dxa"/>
          </w:tcPr>
          <w:p>
            <w:pPr>
              <w:rPr>
                <w:noProof/>
              </w:rPr>
            </w:pPr>
          </w:p>
        </w:tc>
        <w:tc>
          <w:tcPr>
            <w:tcW w:w="1216" w:type="dxa"/>
          </w:tcPr>
          <w:p>
            <w:pPr>
              <w:rPr>
                <w:noProof/>
              </w:rPr>
            </w:pPr>
          </w:p>
        </w:tc>
        <w:tc>
          <w:tcPr>
            <w:tcW w:w="1216" w:type="dxa"/>
            <w:hideMark/>
          </w:tcPr>
          <w:p>
            <w:pPr>
              <w:rPr>
                <w:noProof/>
              </w:rPr>
            </w:pPr>
            <w:r>
              <w:rPr>
                <w:noProof/>
              </w:rPr>
              <w:t>400</w:t>
            </w:r>
          </w:p>
        </w:tc>
        <w:tc>
          <w:tcPr>
            <w:tcW w:w="803" w:type="dxa"/>
            <w:hideMark/>
          </w:tcPr>
          <w:p>
            <w:pPr>
              <w:rPr>
                <w:noProof/>
              </w:rPr>
            </w:pPr>
            <w:r>
              <w:rPr>
                <w:noProof/>
              </w:rPr>
              <w:t>10</w:t>
            </w:r>
          </w:p>
        </w:tc>
        <w:tc>
          <w:tcPr>
            <w:tcW w:w="1216" w:type="dxa"/>
            <w:hideMark/>
          </w:tcPr>
          <w:p>
            <w:pPr>
              <w:rPr>
                <w:noProof/>
              </w:rPr>
            </w:pPr>
            <w:r>
              <w:rPr>
                <w:noProof/>
              </w:rPr>
              <w:t>10</w:t>
            </w:r>
          </w:p>
        </w:tc>
        <w:tc>
          <w:tcPr>
            <w:tcW w:w="1030" w:type="dxa"/>
            <w:hideMark/>
          </w:tcPr>
          <w:p>
            <w:pPr>
              <w:rPr>
                <w:noProof/>
                <w:vertAlign w:val="superscript"/>
              </w:rPr>
            </w:pPr>
            <w:r>
              <w:rPr>
                <w:noProof/>
              </w:rPr>
              <w:t>8,0 x 10</w:t>
            </w:r>
            <w:r>
              <w:rPr>
                <w:noProof/>
                <w:vertAlign w:val="superscript"/>
              </w:rPr>
              <w:t>11</w:t>
            </w:r>
          </w:p>
        </w:tc>
      </w:tr>
      <w:tr>
        <w:trPr>
          <w:trHeight w:val="859"/>
        </w:trPr>
        <w:tc>
          <w:tcPr>
            <w:tcW w:w="993" w:type="dxa"/>
            <w:hideMark/>
          </w:tcPr>
          <w:p>
            <w:pPr>
              <w:rPr>
                <w:noProof/>
              </w:rPr>
            </w:pPr>
            <w:r>
              <w:rPr>
                <w:noProof/>
              </w:rPr>
              <w:t>WHTC (CI)</w:t>
            </w:r>
          </w:p>
        </w:tc>
        <w:tc>
          <w:tcPr>
            <w:tcW w:w="1276" w:type="dxa"/>
            <w:hideMark/>
          </w:tcPr>
          <w:p>
            <w:pPr>
              <w:rPr>
                <w:noProof/>
              </w:rPr>
            </w:pPr>
            <w:r>
              <w:rPr>
                <w:noProof/>
              </w:rPr>
              <w:t>4000</w:t>
            </w:r>
          </w:p>
        </w:tc>
        <w:tc>
          <w:tcPr>
            <w:tcW w:w="1262" w:type="dxa"/>
            <w:hideMark/>
          </w:tcPr>
          <w:p>
            <w:pPr>
              <w:rPr>
                <w:noProof/>
              </w:rPr>
            </w:pPr>
            <w:r>
              <w:rPr>
                <w:noProof/>
              </w:rPr>
              <w:t>160</w:t>
            </w:r>
          </w:p>
        </w:tc>
        <w:tc>
          <w:tcPr>
            <w:tcW w:w="1216" w:type="dxa"/>
          </w:tcPr>
          <w:p>
            <w:pPr>
              <w:rPr>
                <w:noProof/>
              </w:rPr>
            </w:pPr>
          </w:p>
        </w:tc>
        <w:tc>
          <w:tcPr>
            <w:tcW w:w="1216" w:type="dxa"/>
          </w:tcPr>
          <w:p>
            <w:pPr>
              <w:rPr>
                <w:noProof/>
              </w:rPr>
            </w:pPr>
          </w:p>
        </w:tc>
        <w:tc>
          <w:tcPr>
            <w:tcW w:w="1216" w:type="dxa"/>
            <w:hideMark/>
          </w:tcPr>
          <w:p>
            <w:pPr>
              <w:rPr>
                <w:noProof/>
              </w:rPr>
            </w:pPr>
            <w:r>
              <w:rPr>
                <w:noProof/>
              </w:rPr>
              <w:t>460</w:t>
            </w:r>
          </w:p>
        </w:tc>
        <w:tc>
          <w:tcPr>
            <w:tcW w:w="803" w:type="dxa"/>
            <w:hideMark/>
          </w:tcPr>
          <w:p>
            <w:pPr>
              <w:rPr>
                <w:noProof/>
              </w:rPr>
            </w:pPr>
            <w:r>
              <w:rPr>
                <w:noProof/>
              </w:rPr>
              <w:t>10</w:t>
            </w:r>
          </w:p>
        </w:tc>
        <w:tc>
          <w:tcPr>
            <w:tcW w:w="1216" w:type="dxa"/>
            <w:hideMark/>
          </w:tcPr>
          <w:p>
            <w:pPr>
              <w:rPr>
                <w:noProof/>
              </w:rPr>
            </w:pPr>
            <w:r>
              <w:rPr>
                <w:noProof/>
              </w:rPr>
              <w:t>10</w:t>
            </w:r>
          </w:p>
        </w:tc>
        <w:tc>
          <w:tcPr>
            <w:tcW w:w="1030" w:type="dxa"/>
            <w:hideMark/>
          </w:tcPr>
          <w:p>
            <w:pPr>
              <w:rPr>
                <w:noProof/>
                <w:vertAlign w:val="superscript"/>
              </w:rPr>
            </w:pPr>
            <w:r>
              <w:rPr>
                <w:noProof/>
              </w:rPr>
              <w:t>6,0 x 10</w:t>
            </w:r>
            <w:r>
              <w:rPr>
                <w:noProof/>
                <w:vertAlign w:val="superscript"/>
              </w:rPr>
              <w:t>11</w:t>
            </w:r>
          </w:p>
        </w:tc>
      </w:tr>
      <w:tr>
        <w:trPr>
          <w:trHeight w:val="876"/>
        </w:trPr>
        <w:tc>
          <w:tcPr>
            <w:tcW w:w="993" w:type="dxa"/>
            <w:hideMark/>
          </w:tcPr>
          <w:p>
            <w:pPr>
              <w:rPr>
                <w:noProof/>
              </w:rPr>
            </w:pPr>
            <w:r>
              <w:rPr>
                <w:noProof/>
              </w:rPr>
              <w:t xml:space="preserve">WHTC (PI) </w:t>
            </w:r>
          </w:p>
        </w:tc>
        <w:tc>
          <w:tcPr>
            <w:tcW w:w="1276" w:type="dxa"/>
            <w:hideMark/>
          </w:tcPr>
          <w:p>
            <w:pPr>
              <w:rPr>
                <w:noProof/>
              </w:rPr>
            </w:pPr>
            <w:r>
              <w:rPr>
                <w:noProof/>
              </w:rPr>
              <w:t>4000</w:t>
            </w:r>
          </w:p>
        </w:tc>
        <w:tc>
          <w:tcPr>
            <w:tcW w:w="1262" w:type="dxa"/>
          </w:tcPr>
          <w:p>
            <w:pPr>
              <w:rPr>
                <w:noProof/>
              </w:rPr>
            </w:pPr>
          </w:p>
        </w:tc>
        <w:tc>
          <w:tcPr>
            <w:tcW w:w="1216" w:type="dxa"/>
            <w:hideMark/>
          </w:tcPr>
          <w:p>
            <w:pPr>
              <w:rPr>
                <w:noProof/>
              </w:rPr>
            </w:pPr>
            <w:r>
              <w:rPr>
                <w:noProof/>
              </w:rPr>
              <w:t>160</w:t>
            </w:r>
          </w:p>
        </w:tc>
        <w:tc>
          <w:tcPr>
            <w:tcW w:w="1216" w:type="dxa"/>
            <w:hideMark/>
          </w:tcPr>
          <w:p>
            <w:pPr>
              <w:rPr>
                <w:noProof/>
              </w:rPr>
            </w:pPr>
            <w:r>
              <w:rPr>
                <w:noProof/>
              </w:rPr>
              <w:t>500</w:t>
            </w:r>
          </w:p>
        </w:tc>
        <w:tc>
          <w:tcPr>
            <w:tcW w:w="1216" w:type="dxa"/>
            <w:hideMark/>
          </w:tcPr>
          <w:p>
            <w:pPr>
              <w:rPr>
                <w:noProof/>
              </w:rPr>
            </w:pPr>
            <w:r>
              <w:rPr>
                <w:noProof/>
              </w:rPr>
              <w:t>460</w:t>
            </w:r>
          </w:p>
        </w:tc>
        <w:tc>
          <w:tcPr>
            <w:tcW w:w="803" w:type="dxa"/>
            <w:hideMark/>
          </w:tcPr>
          <w:p>
            <w:pPr>
              <w:rPr>
                <w:noProof/>
              </w:rPr>
            </w:pPr>
            <w:r>
              <w:rPr>
                <w:noProof/>
              </w:rPr>
              <w:t>10</w:t>
            </w:r>
          </w:p>
        </w:tc>
        <w:tc>
          <w:tcPr>
            <w:tcW w:w="1216" w:type="dxa"/>
            <w:hideMark/>
          </w:tcPr>
          <w:p>
            <w:pPr>
              <w:rPr>
                <w:noProof/>
              </w:rPr>
            </w:pPr>
            <w:r>
              <w:rPr>
                <w:noProof/>
              </w:rPr>
              <w:t>10</w:t>
            </w:r>
          </w:p>
        </w:tc>
        <w:tc>
          <w:tcPr>
            <w:tcW w:w="1030" w:type="dxa"/>
            <w:hideMark/>
          </w:tcPr>
          <w:p>
            <w:pPr>
              <w:rPr>
                <w:noProof/>
              </w:rPr>
            </w:pPr>
            <w:r>
              <w:rPr>
                <w:noProof/>
              </w:rPr>
              <w:t>6,0 x 10</w:t>
            </w:r>
            <w:r>
              <w:rPr>
                <w:noProof/>
                <w:vertAlign w:val="superscript"/>
              </w:rPr>
              <w:t>11</w:t>
            </w:r>
          </w:p>
        </w:tc>
      </w:tr>
    </w:tbl>
    <w:p>
      <w:pPr>
        <w:rPr>
          <w:noProof/>
        </w:rPr>
      </w:pPr>
      <w:r>
        <w:rPr>
          <w:noProof/>
        </w:rPr>
        <w:t>Σημείωση:</w:t>
      </w:r>
    </w:p>
    <w:p>
      <w:pPr>
        <w:pStyle w:val="Point0"/>
        <w:spacing w:before="0" w:after="0"/>
        <w:rPr>
          <w:noProof/>
        </w:rPr>
      </w:pPr>
      <w:r>
        <w:rPr>
          <w:noProof/>
        </w:rPr>
        <w:t>PI =</w:t>
      </w:r>
      <w:r>
        <w:rPr>
          <w:noProof/>
        </w:rPr>
        <w:tab/>
        <w:t>Επιβαλλόμενη ανάφλεξη.</w:t>
      </w:r>
    </w:p>
    <w:p>
      <w:pPr>
        <w:pStyle w:val="Point0"/>
        <w:spacing w:before="0" w:after="0"/>
        <w:rPr>
          <w:noProof/>
        </w:rPr>
      </w:pPr>
      <w:r>
        <w:rPr>
          <w:noProof/>
        </w:rPr>
        <w:t>CI =</w:t>
      </w:r>
      <w:r>
        <w:rPr>
          <w:noProof/>
        </w:rPr>
        <w:tab/>
        <w:t>Ανάφλεξη με συμπίεση.</w:t>
      </w:r>
    </w:p>
    <w:p>
      <w:pPr>
        <w:rPr>
          <w:noProof/>
        </w:rPr>
      </w:pPr>
      <w:r>
        <w:rPr>
          <w:noProof/>
          <w:vertAlign w:val="superscript"/>
        </w:rPr>
        <w:t>(1)</w:t>
      </w:r>
      <w:r>
        <w:rPr>
          <w:noProof/>
        </w:rPr>
        <w:tab/>
        <w:t>Το επιτρεπόμενο όριο του στοιχείου NO</w:t>
      </w:r>
      <w:r>
        <w:rPr>
          <w:noProof/>
          <w:vertAlign w:val="subscript"/>
        </w:rPr>
        <w:t>2</w:t>
      </w:r>
      <w:r>
        <w:rPr>
          <w:noProof/>
        </w:rPr>
        <w:t xml:space="preserve"> στην οριακή τιμή των NO</w:t>
      </w:r>
      <w:r>
        <w:rPr>
          <w:noProof/>
          <w:vertAlign w:val="subscript"/>
        </w:rPr>
        <w:t>x</w:t>
      </w:r>
      <w:r>
        <w:rPr>
          <w:noProof/>
        </w:rPr>
        <w:t xml:space="preserve"> μπορεί να καθοριστεί σε μεταγενέστερο στάδιο.»·</w:t>
      </w:r>
    </w:p>
    <w:p>
      <w:pPr>
        <w:rPr>
          <w:noProof/>
        </w:rPr>
      </w:pPr>
      <w:r>
        <w:rPr>
          <w:noProof/>
        </w:rPr>
        <w:t>β)</w:t>
      </w:r>
      <w:r>
        <w:rPr>
          <w:noProof/>
        </w:rPr>
        <w:tab/>
        <w:t>Το παράρτημα III τροποποιείται ως εξής:</w:t>
      </w:r>
    </w:p>
    <w:p>
      <w:pPr>
        <w:ind w:firstLine="720"/>
        <w:rPr>
          <w:noProof/>
        </w:rPr>
      </w:pPr>
      <w:r>
        <w:rPr>
          <w:noProof/>
        </w:rPr>
        <w:t>i)</w:t>
      </w:r>
      <w:r>
        <w:rPr>
          <w:noProof/>
        </w:rPr>
        <w:tab/>
        <w:t>Το τμήμα 2 τροποποιείται ως εξής:</w:t>
      </w:r>
    </w:p>
    <w:p>
      <w:pPr>
        <w:ind w:left="131" w:firstLine="578"/>
        <w:rPr>
          <w:noProof/>
        </w:rPr>
      </w:pPr>
      <w:r>
        <w:rPr>
          <w:noProof/>
        </w:rPr>
        <w:t xml:space="preserve">— στο σημείο 2.1., η έκτη περίπτωση αντικαθίσταται από το ακόλουθο κείμενο:  </w:t>
      </w:r>
    </w:p>
    <w:p>
      <w:pPr>
        <w:ind w:left="709"/>
        <w:rPr>
          <w:noProof/>
        </w:rPr>
      </w:pPr>
      <w:r>
        <w:rPr>
          <w:noProof/>
        </w:rPr>
        <w:lastRenderedPageBreak/>
        <w:t>«—</w:t>
      </w:r>
      <w:r>
        <w:rPr>
          <w:noProof/>
        </w:rPr>
        <w:tab/>
        <w:t>Ο επιμερισμός του κόστους στα βαρέα επαγγελματικά οχήματα πραγματοποιείται βάσει αντικειμενικών και διαφανών κριτηρίων, λαμβανομένων υπόψη της αναλογίας των βαρέων επαγγελματικών οχημάτων που κυκλοφορούν στο δίκτυο και του συναφούς κόστους. Για το σκοπό αυτό, τα οχηματοχιλιόμετρα που διανύουν τα βαρέα επαγγελματικά οχήματα μπορούν να αναπροσαρμόζονται βάσει αντικειμενικώς αιτιολογούμενων «συντελεστών ισοδυναμίας», όπως είναι εκείνοι που καθορίζονται στο σημείο 4 (*).</w:t>
      </w:r>
    </w:p>
    <w:p>
      <w:pPr>
        <w:rPr>
          <w:noProof/>
        </w:rPr>
      </w:pPr>
      <w:r>
        <w:rPr>
          <w:noProof/>
        </w:rPr>
        <w:t>________</w:t>
      </w:r>
    </w:p>
    <w:p>
      <w:pPr>
        <w:rPr>
          <w:noProof/>
        </w:rPr>
      </w:pPr>
      <w:r>
        <w:rPr>
          <w:noProof/>
        </w:rPr>
        <w:t>*</w:t>
      </w:r>
      <w:r>
        <w:rPr>
          <w:noProof/>
        </w:rPr>
        <w:tab/>
        <w:t>Κατά την εφαρμογή των συντελεστών ισοδυναμίας από τα κράτη μέλη μπορεί να λαμβάνεται υπόψη η σταδιακή κατασκευή οδών ή προσέγγιση βασιζόμενη σε μεγαλύτερη διάρκεια ζωής.·»</w:t>
      </w:r>
    </w:p>
    <w:p>
      <w:pPr>
        <w:ind w:left="709"/>
        <w:rPr>
          <w:noProof/>
        </w:rPr>
      </w:pPr>
      <w:r>
        <w:rPr>
          <w:noProof/>
        </w:rPr>
        <w:t>— στο σημείο 2.2., η δεύτερη περίπτωση αντικαθίσταται από το ακόλουθο κείμενο:</w:t>
      </w:r>
    </w:p>
    <w:p>
      <w:pPr>
        <w:ind w:left="709"/>
        <w:rPr>
          <w:noProof/>
        </w:rPr>
      </w:pPr>
      <w:r>
        <w:rPr>
          <w:noProof/>
        </w:rPr>
        <w:t>«—</w:t>
      </w:r>
      <w:r>
        <w:rPr>
          <w:noProof/>
        </w:rPr>
        <w:tab/>
        <w:t>Το κόστος επιμερίζεται μεταξύ των βαρέων επαγγελματικών οχημάτων και της υπόλοιπης κυκλοφορίας με βάση την υφιστάμενη και την προβλεπόμενη κατανομή οχηματοχιλιομέτρων και μπορεί να προσαρμόζεται με αντικειμενικώς αιτιολογημένους «συντελεστές ισοδυναμίας», όπως είναι εκείνοι που καθορίζονται στο σημείο 4.»·</w:t>
      </w:r>
    </w:p>
    <w:p>
      <w:pPr>
        <w:ind w:left="709"/>
        <w:rPr>
          <w:noProof/>
        </w:rPr>
      </w:pPr>
      <w:r>
        <w:rPr>
          <w:noProof/>
        </w:rPr>
        <w:t>ii)</w:t>
      </w:r>
      <w:r>
        <w:rPr>
          <w:noProof/>
        </w:rPr>
        <w:tab/>
        <w:t>στην παράγραφο 4, ο τίτλος και η πρώτη περίπτωση αντικαθίστανται με το ακόλουθο κείμενο:</w:t>
      </w:r>
    </w:p>
    <w:p>
      <w:pPr>
        <w:ind w:left="720" w:hanging="720"/>
        <w:rPr>
          <w:noProof/>
        </w:rPr>
      </w:pPr>
      <w:r>
        <w:rPr>
          <w:noProof/>
        </w:rPr>
        <w:t>«4.</w:t>
      </w:r>
      <w:r>
        <w:rPr>
          <w:noProof/>
        </w:rPr>
        <w:tab/>
        <w:t>ΜΕΡΙΔΙΟ ΤΗΣ ΚΥΚΛΟΦΟΡΙΑΣ ΒΑΡΕΩΝ ΕΠΑΓΓΕΛΜΑΤΙΚΩΝ ΟΧΗΜΑΤΩΝ, ΣΥΝΤΕΛΕΣΤΕΣ ΙΣΟΔΥΝΑΜΙΑΣ ΚΑΙ ΔΙΟΡΘΩΤΙΚΟΣ ΜΗΧΑΝΙΣΜΟΣ</w:t>
      </w:r>
    </w:p>
    <w:p>
      <w:pPr>
        <w:ind w:left="720" w:hanging="720"/>
        <w:rPr>
          <w:noProof/>
        </w:rPr>
      </w:pPr>
      <w:r>
        <w:rPr>
          <w:noProof/>
        </w:rPr>
        <w:t>–</w:t>
      </w:r>
      <w:r>
        <w:rPr>
          <w:noProof/>
        </w:rPr>
        <w:tab/>
        <w:t>Ο υπολογισμός των διοδίων βασίζεται στο υφιστάμενο ή προβλεπόμενο μερίδιο οχηματοχιλιομέτρων βαρέων επαγγελματικών οχημάτων αναπροσαρμοσμένων, ενδεχομένως, βάσει συντελεστών ισοδυναμίας, ώστε να λαμβάνεται δεόντως υπόψη το αυξημένο κόστος κατασκευής και επισκευής της υποδομής για χρήση από βαρέα επαγγελματικά οχήματα.»·</w:t>
      </w:r>
    </w:p>
    <w:p>
      <w:pPr>
        <w:rPr>
          <w:noProof/>
        </w:rPr>
      </w:pPr>
      <w:r>
        <w:rPr>
          <w:noProof/>
        </w:rPr>
        <w:t>γ)</w:t>
      </w:r>
      <w:r>
        <w:rPr>
          <w:noProof/>
        </w:rPr>
        <w:tab/>
        <w:t>Το παράρτημα IIIα αντικαθίσταται από το ακόλουθο κείμενο:</w:t>
      </w:r>
    </w:p>
    <w:p>
      <w:pPr>
        <w:pStyle w:val="Annexetitreacte"/>
        <w:rPr>
          <w:noProof/>
          <w:lang w:val="el-GR"/>
        </w:rPr>
      </w:pPr>
      <w:r>
        <w:rPr>
          <w:b w:val="0"/>
          <w:noProof/>
          <w:u w:val="none"/>
          <w:lang w:val="el-GR"/>
        </w:rPr>
        <w:t>«</w:t>
      </w:r>
      <w:r>
        <w:rPr>
          <w:noProof/>
          <w:lang w:val="el-GR"/>
        </w:rPr>
        <w:t>ΠΑΡΑΡΤΗΜΑ ΙΙΙα</w:t>
      </w:r>
    </w:p>
    <w:p>
      <w:pPr>
        <w:pStyle w:val="ManualHeading1"/>
        <w:ind w:left="851" w:hanging="851"/>
        <w:rPr>
          <w:noProof/>
        </w:rPr>
      </w:pPr>
      <w:r>
        <w:rPr>
          <w:i/>
          <w:noProof/>
        </w:rPr>
        <w:t>ΕΛΑΧΙΣΤΕΣ ΑΠΑΙΤΗΣΕΙΣ ΓΙΑ ΤΗΝ ΕΠΙΒΟΛΗ ΤΕΛΟΥΣ ΕΞΩΤΕΡΙΚΟΥ ΚΟΣΤΟΥΣ</w:t>
      </w:r>
    </w:p>
    <w:p>
      <w:pPr>
        <w:rPr>
          <w:noProof/>
        </w:rPr>
      </w:pPr>
      <w:r>
        <w:rPr>
          <w:noProof/>
        </w:rPr>
        <w:t>Το παρόν παράρτημα καθορίζει τις ελάχιστες απαιτήσεις για την επιβολή τέλους εξωτερικού κόστους και, εφόσον συντρέχει περίπτωση, για τον υπολογισμό του μέγιστου τέλους εξωτερικού κόστους.</w:t>
      </w:r>
    </w:p>
    <w:p>
      <w:pPr>
        <w:pStyle w:val="ManualHeading2"/>
        <w:ind w:left="851" w:hanging="851"/>
        <w:rPr>
          <w:noProof/>
        </w:rPr>
      </w:pPr>
      <w:r>
        <w:rPr>
          <w:noProof/>
        </w:rPr>
        <w:t>1.</w:t>
      </w:r>
      <w:r>
        <w:rPr>
          <w:noProof/>
        </w:rPr>
        <w:tab/>
      </w:r>
      <w:r>
        <w:rPr>
          <w:i/>
          <w:noProof/>
        </w:rPr>
        <w:t>Καλυπτόμενα τμήματα του οδικού δικτύου</w:t>
      </w:r>
    </w:p>
    <w:p>
      <w:pPr>
        <w:rPr>
          <w:noProof/>
        </w:rPr>
      </w:pPr>
      <w:r>
        <w:rPr>
          <w:noProof/>
        </w:rPr>
        <w:t>Το κράτος μέλος προσδιορίζει επακριβώς το τμήμα ή τα τμήματα του οδικού δικτύου τους που αποτελούν αντικείμενο τέλους εξωτερικού κόστους.</w:t>
      </w:r>
    </w:p>
    <w:p>
      <w:pPr>
        <w:rPr>
          <w:noProof/>
        </w:rPr>
      </w:pPr>
      <w:r>
        <w:rPr>
          <w:noProof/>
        </w:rPr>
        <w:t>Εφόσον κράτος μέλος προτίθεται να επιβάλει τέλος εξωτερικού κόστους μόνο σε τμήμα ή τμήματα του οδικού δικτύου που αποτελούνται από το μερίδιό του στο διευρωπαϊκό δίκτυο και τους αυτοκινητόδρομούς του, το τμήμα ή τα τμήματα επιλέγονται μετά από αξιολόγηση με την οποία διαπιστώνεται ότι:</w:t>
      </w:r>
    </w:p>
    <w:p>
      <w:pPr>
        <w:pStyle w:val="Tiret0"/>
        <w:numPr>
          <w:ilvl w:val="0"/>
          <w:numId w:val="5"/>
        </w:numPr>
        <w:ind w:left="851"/>
        <w:rPr>
          <w:noProof/>
        </w:rPr>
      </w:pPr>
      <w:r>
        <w:rPr>
          <w:noProof/>
        </w:rPr>
        <w:t xml:space="preserve">η χρήση του οδικού δικτύου όπου θα επιβληθεί το τέλος εξωτερικού κόστους από τα οχήματα προκαλεί ζημίες στο περιβάλλον και/ή συμφόρηση μεγαλύτερες από </w:t>
      </w:r>
      <w:r>
        <w:rPr>
          <w:noProof/>
        </w:rPr>
        <w:lastRenderedPageBreak/>
        <w:t xml:space="preserve">εκείνες που προκαλούνται κατά μέσον όρο όπως αξιολογούνται </w:t>
      </w:r>
      <w:r>
        <w:rPr>
          <w:noProof/>
          <w:color w:val="FF0000"/>
        </w:rPr>
        <w:t>σύμφωνα με τις εκθέσεις για την ποιότητα του αέρα, τις εθνικές απογραφές εκπομπών, τον όγκο κυκλοφορίας και, για τον θόρυβο, σύμφωνα με την οδηγία 2002/49/ΕΚ</w:t>
      </w:r>
      <w:r>
        <w:rPr>
          <w:noProof/>
        </w:rPr>
        <w:t>, ή</w:t>
      </w:r>
    </w:p>
    <w:p>
      <w:pPr>
        <w:pStyle w:val="Tiret0"/>
        <w:numPr>
          <w:ilvl w:val="0"/>
          <w:numId w:val="10"/>
        </w:numPr>
        <w:ind w:left="851"/>
        <w:rPr>
          <w:noProof/>
        </w:rPr>
      </w:pPr>
      <w:r>
        <w:rPr>
          <w:noProof/>
        </w:rPr>
        <w:t>η επιβολή τέλους εξωτερικού κόστους σε άλλα τμήματα του οδικού δικτύου που αποτελούνται από το μερίδιό του στο διευρωπαϊκό δίκτυο και τους αυτοκινητόδρομούς του ίσως να έχει αρνητικές επιπτώσεις στο περιβάλλον ή την οδική ασφάλεια, ή ότι η επιβολή και είσπραξη τέλους εξωτερικού κόστους στα εν λόγω τμήματα θα έχει ως αποτέλεσμα δυσανάλογες δαπάνες.</w:t>
      </w:r>
    </w:p>
    <w:p>
      <w:pPr>
        <w:pStyle w:val="ManualHeading2"/>
        <w:ind w:left="851" w:hanging="851"/>
        <w:rPr>
          <w:noProof/>
        </w:rPr>
      </w:pPr>
      <w:r>
        <w:rPr>
          <w:noProof/>
        </w:rPr>
        <w:t>2.</w:t>
      </w:r>
      <w:r>
        <w:rPr>
          <w:noProof/>
        </w:rPr>
        <w:tab/>
      </w:r>
      <w:r>
        <w:rPr>
          <w:i/>
          <w:noProof/>
        </w:rPr>
        <w:t>Καλυπτόμενα οχήματα, οδικά δίκτυα και χρονικά διαστήματα</w:t>
      </w:r>
    </w:p>
    <w:p>
      <w:pPr>
        <w:rPr>
          <w:noProof/>
        </w:rPr>
      </w:pPr>
      <w:r>
        <w:rPr>
          <w:noProof/>
        </w:rPr>
        <w:t>Όταν κράτος μέλος προτίθεται να επιβάλλει υψηλότερα τέλη εξωτερικού κόστους από τις τιμές αναφοράς που αναφέρονται στο παράρτημα IIIβ, κοινοποιεί στην Επιτροπή τον καθορισμό της κατηγορίας των οχημάτων βάσει της οποίας διαφοροποιείται το τέλος εξωτερικού κόστους. Κοινοποιεί επίσης στην Επιτροπή τις τοποθεσίες του οδικού δικτύου που υπόκεινται σε υψηλότερα τέλη εξωτερικού κόστους [εφεξής «προαστιακά οδικά δίκτυα (συμπεριλαμβανομένων των αυτοκινητοδρόμων)»] και του οδικού δικτύου που υπόκεινται σε χαμηλότερα τέλη εξωτερικού κόστους [εφεξής «υπεραστικά οδικά δίκτυα (συμπεριλαμβανομένων των αυτοκινητοδρόμων)]».</w:t>
      </w:r>
    </w:p>
    <w:p>
      <w:pPr>
        <w:rPr>
          <w:noProof/>
        </w:rPr>
      </w:pPr>
      <w:r>
        <w:rPr>
          <w:noProof/>
        </w:rPr>
        <w:t>Όπου απαιτείται, κοινοποιεί επίσης στην Επιτροπή τις επακριβείς χρονικές περιόδους που αντιστοιχούν στις νυκτερινές περιόδους κατά τη διάρκεια των οποίων είναι δυνατόν να επιβληθεί υψηλότερο τέλος εξωτερικού κόστους λόγω ηχορρύπανσης που να αντικατοπτρίζει μεγαλύτερη ηχητική όχληση.</w:t>
      </w:r>
    </w:p>
    <w:p>
      <w:pPr>
        <w:rPr>
          <w:noProof/>
        </w:rPr>
      </w:pPr>
      <w:r>
        <w:rPr>
          <w:noProof/>
        </w:rPr>
        <w:t>Η διαίρεση των οδικών δικτύων σε προαστιακά οδικά δίκτυα (συμπεριλαμβανομένων των αυτοκινητοδρόμων) και σε υπεραστικά οδικά δίκτυα (συμπεριλαμβανομένων των αυτοκινητοδρόμων) και ο καθορισμός των χρονικών περιόδων στηρίζεται σε αντικειμενικά κριτήρια που σχετίζονται με το επίπεδο έκθεσης του οδικού δικτύου και του γύρω χώρου σε ρύπανση, όπως για παράδειγμα η πυκνότητα του πληθυσμού, η ετήσια μέση ατμοσφαιρική ρύπανση (ιδίως για PM</w:t>
      </w:r>
      <w:r>
        <w:rPr>
          <w:noProof/>
          <w:vertAlign w:val="subscript"/>
        </w:rPr>
        <w:t>10</w:t>
      </w:r>
      <w:r>
        <w:rPr>
          <w:noProof/>
        </w:rPr>
        <w:t xml:space="preserve"> και NO</w:t>
      </w:r>
      <w:r>
        <w:rPr>
          <w:noProof/>
          <w:vertAlign w:val="subscript"/>
        </w:rPr>
        <w:t>2</w:t>
      </w:r>
      <w:r>
        <w:rPr>
          <w:noProof/>
        </w:rPr>
        <w:t>) και ο αριθμός ημερών (για PM</w:t>
      </w:r>
      <w:r>
        <w:rPr>
          <w:noProof/>
          <w:vertAlign w:val="subscript"/>
        </w:rPr>
        <w:t>10</w:t>
      </w:r>
      <w:r>
        <w:rPr>
          <w:noProof/>
        </w:rPr>
        <w:t>) και ωρών (NO</w:t>
      </w:r>
      <w:r>
        <w:rPr>
          <w:noProof/>
          <w:vertAlign w:val="subscript"/>
        </w:rPr>
        <w:t>2</w:t>
      </w:r>
      <w:r>
        <w:rPr>
          <w:noProof/>
        </w:rPr>
        <w:t>) κατά τις οποίες σημειώθηκε υπέρβαση των οριακών τιμών που θεσπίζει η οδηγία 2008/50/ΕΚ. Τα κριτήρια περιλαμβάνονται στην κοινοποίηση.</w:t>
      </w:r>
    </w:p>
    <w:p>
      <w:pPr>
        <w:pStyle w:val="ManualHeading2"/>
        <w:ind w:left="851" w:hanging="851"/>
        <w:rPr>
          <w:noProof/>
        </w:rPr>
      </w:pPr>
      <w:r>
        <w:rPr>
          <w:noProof/>
        </w:rPr>
        <w:t>3.</w:t>
      </w:r>
      <w:r>
        <w:rPr>
          <w:noProof/>
        </w:rPr>
        <w:tab/>
      </w:r>
      <w:r>
        <w:rPr>
          <w:i/>
          <w:noProof/>
        </w:rPr>
        <w:t>Ύψος του τέλους</w:t>
      </w:r>
    </w:p>
    <w:p>
      <w:pPr>
        <w:rPr>
          <w:rFonts w:eastAsia="Arial Unicode MS"/>
          <w:noProof/>
        </w:rPr>
      </w:pPr>
      <w:r>
        <w:rPr>
          <w:noProof/>
        </w:rPr>
        <w:t>Το παρόν τμήμα εφαρμόζεται στις περιπτώσεις που κράτος μέλος προτίθεται να επιβάλλει υψηλότερα τέλη εξωτερικού κόστους από τις τιμές αναφοράς που καθορίζονται στο παράρτημα IIIβ.</w:t>
      </w:r>
    </w:p>
    <w:p>
      <w:pPr>
        <w:rPr>
          <w:noProof/>
        </w:rPr>
      </w:pPr>
      <w:r>
        <w:rPr>
          <w:noProof/>
        </w:rPr>
        <w:t>Για κάθε κατηγορία οχημάτων, τύπο οδικού δικτύου και χρονική περίοδο, το κράτος μέλος ή, κατά περίπτωση, η ανεξάρτητη αρχή καθορίζει ενιαίο συγκεκριμένο ποσό. Η επακόλουθη διάρθρωση της χρέωσης είναι διαφανής, δημοσιοποιείται και διατίθεται επί ίσοις όροις σε όλους τους χρήστες. Η δημοσίευση θα πρέπει να γίνεται εγκαίρως πριν από την εφαρμογή. Δημοσιοποιούνται όλες οι παράμετροι, τα δεδομένα και λοιπές πληροφορίες που απαιτούνται για την κατανόηση του τρόπου υπολογισμού των διαφόρων στοιχείων εξωτερικού κόστους.</w:t>
      </w:r>
    </w:p>
    <w:p>
      <w:pPr>
        <w:rPr>
          <w:noProof/>
        </w:rPr>
      </w:pPr>
      <w:r>
        <w:rPr>
          <w:noProof/>
        </w:rPr>
        <w:t>Κατά τον καθορισμό των τελών, το κράτος μέλος ή, κατά περίπτωση, η ανεξάρτητη αρχή στηρίζεται στη αρχή της αποτελεσματικής τιμολόγησης, που σημαίνει καθορισμό τιμής πλησίον του κοινωνικού οριακού κόστους της χρήσης του οχήματος που χρεώνεται.</w:t>
      </w:r>
    </w:p>
    <w:p>
      <w:pPr>
        <w:rPr>
          <w:noProof/>
        </w:rPr>
      </w:pPr>
      <w:r>
        <w:rPr>
          <w:noProof/>
        </w:rPr>
        <w:t xml:space="preserve">Το τέλος καθορίζεται αφού ληφθεί υπόψη ο κίνδυνος παράκαμψης της κυκλοφορίας σε συνδυασμό με την έλλειψη δυσμενών επιπτώσεων στην οδική ασφάλεια, το περιβάλλον και </w:t>
      </w:r>
      <w:r>
        <w:rPr>
          <w:noProof/>
        </w:rPr>
        <w:lastRenderedPageBreak/>
        <w:t>τη συμφόρηση, και εξετασθούν λύσεις για τον μετριασμό των επιπτώσεων των εν λόγω κινδύνων.</w:t>
      </w:r>
    </w:p>
    <w:p>
      <w:pPr>
        <w:rPr>
          <w:noProof/>
        </w:rPr>
      </w:pPr>
      <w:r>
        <w:rPr>
          <w:noProof/>
        </w:rPr>
        <w:t>Το κράτος μέλος ή, κατά περίπτωση, η ανεξάρτητη αρχή παρακολουθεί την αποτελεσματικότητα του καθεστώτος επιβολής τελών όσον αφορά τη μείωση της ζημίας που προκαλούν στο περιβάλλον οι οδικές μεταφορές. Προσαρμόζει ανά διετία, κατά περίπτωση, τη διάρθρωση χρέωσης και το συγκεκριμένο ύψος του τέλους που έχει καθοριστεί για δεδομένη κατηγορία οχημάτων, τύπο οδικού δικτύου και χρονική περίοδο, βάσει των αλλαγών της προσφοράς και της ζήτησης για μεταφορές.</w:t>
      </w:r>
    </w:p>
    <w:p>
      <w:pPr>
        <w:pStyle w:val="ManualHeading3"/>
        <w:rPr>
          <w:i w:val="0"/>
          <w:iCs/>
          <w:noProof/>
        </w:rPr>
      </w:pPr>
      <w:r>
        <w:rPr>
          <w:b/>
          <w:noProof/>
        </w:rPr>
        <w:t>4.</w:t>
      </w:r>
      <w:r>
        <w:rPr>
          <w:noProof/>
        </w:rPr>
        <w:tab/>
      </w:r>
      <w:r>
        <w:rPr>
          <w:b/>
          <w:i w:val="0"/>
          <w:noProof/>
        </w:rPr>
        <w:t>Στοιχεία εξωτερικού κόστους</w:t>
      </w:r>
      <w:r>
        <w:rPr>
          <w:i w:val="0"/>
          <w:noProof/>
        </w:rPr>
        <w:t xml:space="preserve"> </w:t>
      </w:r>
    </w:p>
    <w:p>
      <w:pPr>
        <w:pStyle w:val="ManualHeading3"/>
        <w:rPr>
          <w:noProof/>
        </w:rPr>
      </w:pPr>
      <w:r>
        <w:rPr>
          <w:noProof/>
        </w:rPr>
        <w:t>4.1.</w:t>
      </w:r>
      <w:r>
        <w:rPr>
          <w:noProof/>
        </w:rPr>
        <w:tab/>
        <w:t>Κόστος ατμοσφαιρικής ρύπανσης λόγω κυκλοφορίας</w:t>
      </w:r>
    </w:p>
    <w:p>
      <w:pPr>
        <w:rPr>
          <w:noProof/>
        </w:rPr>
      </w:pPr>
      <w:r>
        <w:rPr>
          <w:noProof/>
        </w:rPr>
        <w:t>Όταν κράτος μέλος προτίθεται να επιβάλλει υψηλότερα τέλη εξωτερικού κόστους από τις τιμές αναφοράς που αναφέρονται στο παράρτημα IIIβ, το εν λόγω κράτος μέλος ή, κατά περίπτωση, η ανεξάρτητη αρχή υπολογίζει το επιτρεπόμενο κόστος της ατμοσφαιρικής ρύπανσης λόγω κυκλοφορίας εφαρμόζοντας τον ακόλουθο μαθηματικό τύπο:</w:t>
      </w:r>
    </w:p>
    <w:p>
      <w:pPr>
        <w:rPr>
          <w:noProof/>
        </w:rPr>
      </w:pPr>
      <w:r>
        <w:rPr>
          <w:noProof/>
          <w:lang w:val="en-US"/>
        </w:rPr>
        <w:drawing>
          <wp:inline distT="0" distB="0" distL="0" distR="0">
            <wp:extent cx="1714500" cy="2290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714125" cy="229013"/>
                    </a:xfrm>
                    <a:prstGeom prst="rect">
                      <a:avLst/>
                    </a:prstGeom>
                  </pic:spPr>
                </pic:pic>
              </a:graphicData>
            </a:graphic>
          </wp:inline>
        </w:drawing>
      </w:r>
    </w:p>
    <w:p>
      <w:pPr>
        <w:rPr>
          <w:noProof/>
        </w:rPr>
      </w:pPr>
      <w:r>
        <w:rPr>
          <w:noProof/>
        </w:rPr>
        <w:t>όπου :</w:t>
      </w:r>
    </w:p>
    <w:tbl>
      <w:tblPr>
        <w:tblW w:w="0" w:type="auto"/>
        <w:tblLayout w:type="fixed"/>
        <w:tblLook w:val="0000" w:firstRow="0" w:lastRow="0" w:firstColumn="0" w:lastColumn="0" w:noHBand="0" w:noVBand="0"/>
      </w:tblPr>
      <w:tblGrid>
        <w:gridCol w:w="557"/>
        <w:gridCol w:w="1022"/>
        <w:gridCol w:w="557"/>
        <w:gridCol w:w="7150"/>
      </w:tblGrid>
      <w:tr>
        <w:tc>
          <w:tcPr>
            <w:tcW w:w="557" w:type="dxa"/>
          </w:tcPr>
          <w:p>
            <w:pPr>
              <w:pStyle w:val="NormalLeft"/>
              <w:rPr>
                <w:noProof/>
              </w:rPr>
            </w:pPr>
            <w:r>
              <w:rPr>
                <w:noProof/>
              </w:rPr>
              <w:t>—</w:t>
            </w:r>
          </w:p>
        </w:tc>
        <w:tc>
          <w:tcPr>
            <w:tcW w:w="1022" w:type="dxa"/>
          </w:tcPr>
          <w:p>
            <w:pPr>
              <w:pStyle w:val="NormalLeft"/>
              <w:rPr>
                <w:noProof/>
              </w:rPr>
            </w:pPr>
            <w:r>
              <w:rPr>
                <w:noProof/>
              </w:rPr>
              <w:t>PCV</w:t>
            </w:r>
            <w:r>
              <w:rPr>
                <w:noProof/>
                <w:vertAlign w:val="subscript"/>
              </w:rPr>
              <w:t>ij</w:t>
            </w:r>
          </w:p>
        </w:tc>
        <w:tc>
          <w:tcPr>
            <w:tcW w:w="557" w:type="dxa"/>
          </w:tcPr>
          <w:p>
            <w:pPr>
              <w:pStyle w:val="NormalLeft"/>
              <w:rPr>
                <w:noProof/>
              </w:rPr>
            </w:pPr>
            <w:r>
              <w:rPr>
                <w:noProof/>
              </w:rPr>
              <w:t>=</w:t>
            </w:r>
          </w:p>
        </w:tc>
        <w:tc>
          <w:tcPr>
            <w:tcW w:w="7150" w:type="dxa"/>
          </w:tcPr>
          <w:p>
            <w:pPr>
              <w:pStyle w:val="NormalLeft"/>
              <w:rPr>
                <w:noProof/>
              </w:rPr>
            </w:pPr>
            <w:r>
              <w:rPr>
                <w:noProof/>
              </w:rPr>
              <w:t>το κόστος της ατμοσφαιρικής ρύπανσης οχήματος κατηγορίας i σε οδικό δίκτυο τύπου j (ευρώ/οχηματοχιλιόμετρο)</w:t>
            </w:r>
          </w:p>
        </w:tc>
      </w:tr>
      <w:tr>
        <w:tc>
          <w:tcPr>
            <w:tcW w:w="557" w:type="dxa"/>
          </w:tcPr>
          <w:p>
            <w:pPr>
              <w:pStyle w:val="NormalLeft"/>
              <w:rPr>
                <w:noProof/>
              </w:rPr>
            </w:pPr>
            <w:r>
              <w:rPr>
                <w:noProof/>
              </w:rPr>
              <w:t>—</w:t>
            </w:r>
          </w:p>
        </w:tc>
        <w:tc>
          <w:tcPr>
            <w:tcW w:w="1022" w:type="dxa"/>
          </w:tcPr>
          <w:p>
            <w:pPr>
              <w:pStyle w:val="NormalLeft"/>
              <w:rPr>
                <w:noProof/>
              </w:rPr>
            </w:pPr>
            <w:r>
              <w:rPr>
                <w:noProof/>
              </w:rPr>
              <w:t>EF</w:t>
            </w:r>
            <w:r>
              <w:rPr>
                <w:noProof/>
                <w:vertAlign w:val="subscript"/>
              </w:rPr>
              <w:t>ik</w:t>
            </w:r>
          </w:p>
        </w:tc>
        <w:tc>
          <w:tcPr>
            <w:tcW w:w="557" w:type="dxa"/>
          </w:tcPr>
          <w:p>
            <w:pPr>
              <w:pStyle w:val="NormalLeft"/>
              <w:rPr>
                <w:noProof/>
              </w:rPr>
            </w:pPr>
            <w:r>
              <w:rPr>
                <w:noProof/>
              </w:rPr>
              <w:t>=</w:t>
            </w:r>
          </w:p>
        </w:tc>
        <w:tc>
          <w:tcPr>
            <w:tcW w:w="7150" w:type="dxa"/>
          </w:tcPr>
          <w:p>
            <w:pPr>
              <w:pStyle w:val="NormalLeft"/>
              <w:rPr>
                <w:noProof/>
              </w:rPr>
            </w:pPr>
            <w:r>
              <w:rPr>
                <w:noProof/>
              </w:rPr>
              <w:t>συντελεστής εκπομπών του ρύπου k και του οχήματος κατηγορίας i (γραμμάριο/οχηματοχιλιόμετρο)</w:t>
            </w:r>
          </w:p>
        </w:tc>
      </w:tr>
      <w:tr>
        <w:tc>
          <w:tcPr>
            <w:tcW w:w="557" w:type="dxa"/>
          </w:tcPr>
          <w:p>
            <w:pPr>
              <w:pStyle w:val="NormalLeft"/>
              <w:rPr>
                <w:noProof/>
              </w:rPr>
            </w:pPr>
            <w:r>
              <w:rPr>
                <w:noProof/>
              </w:rPr>
              <w:t>—</w:t>
            </w:r>
          </w:p>
        </w:tc>
        <w:tc>
          <w:tcPr>
            <w:tcW w:w="1022" w:type="dxa"/>
          </w:tcPr>
          <w:p>
            <w:pPr>
              <w:pStyle w:val="NormalLeft"/>
              <w:rPr>
                <w:noProof/>
              </w:rPr>
            </w:pPr>
            <w:r>
              <w:rPr>
                <w:noProof/>
              </w:rPr>
              <w:t>PC</w:t>
            </w:r>
            <w:r>
              <w:rPr>
                <w:noProof/>
                <w:vertAlign w:val="subscript"/>
              </w:rPr>
              <w:t>jk</w:t>
            </w:r>
          </w:p>
        </w:tc>
        <w:tc>
          <w:tcPr>
            <w:tcW w:w="557" w:type="dxa"/>
          </w:tcPr>
          <w:p>
            <w:pPr>
              <w:pStyle w:val="NormalLeft"/>
              <w:rPr>
                <w:noProof/>
              </w:rPr>
            </w:pPr>
            <w:r>
              <w:rPr>
                <w:noProof/>
              </w:rPr>
              <w:t>=</w:t>
            </w:r>
          </w:p>
        </w:tc>
        <w:tc>
          <w:tcPr>
            <w:tcW w:w="7150" w:type="dxa"/>
          </w:tcPr>
          <w:p>
            <w:pPr>
              <w:pStyle w:val="NormalLeft"/>
              <w:rPr>
                <w:noProof/>
              </w:rPr>
            </w:pPr>
            <w:r>
              <w:rPr>
                <w:noProof/>
              </w:rPr>
              <w:t>κόστος του ρύπου k για οδικό δίκτυο τύπου j (ευρώ/γραμμάριο).</w:t>
            </w:r>
          </w:p>
        </w:tc>
      </w:tr>
    </w:tbl>
    <w:p>
      <w:pPr>
        <w:rPr>
          <w:noProof/>
        </w:rPr>
      </w:pPr>
    </w:p>
    <w:p>
      <w:pPr>
        <w:rPr>
          <w:noProof/>
        </w:rPr>
      </w:pPr>
      <w:r>
        <w:rPr>
          <w:noProof/>
        </w:rPr>
        <w:t>Οι συντελεστές εκπομπών είναι οι ίδιοι με εκείνους που χρησιμοποιούν τα κράτη μέλη για να καταρτίζουν τις εθνικές απογραφές εκπομπών που προβλέπονται από την οδηγία (ΕΕ) 2016/2284 του Ευρωπαϊκού Κοινοβουλίου και του Συμβουλίου, της 14ης Δεκεμβρίου 2016, σχετικά με τη μείωση των εθνικών εκπομπών ορισμένων ατμοσφαιρικών ρύπων * (που απαιτεί χρήση του εγχειριδίου EMEP/EEA για την απογραφή των εκπομπών ατμοσφαιρικών ρύπων**). Το κόστος των ρύπων υπολογίζεται από το κράτος μέλος ή, κατά περίπτωση, από την ανεξάρτητη αρχή που αναφέρεται στο άρθρο 7γ παράγραφος 4, με τη χρήση επιστημονικώς αποδεδειγμένων μεθόδων.</w:t>
      </w:r>
    </w:p>
    <w:p>
      <w:pPr>
        <w:rPr>
          <w:noProof/>
        </w:rPr>
      </w:pPr>
      <w:r>
        <w:rPr>
          <w:noProof/>
        </w:rPr>
        <w:t>Το κράτος μέλος ή, κατά περίπτωση, η ανεξάρτητη αρχή επιτρέπεται να εφαρμόζει επιστημονικώς αποδεδειγμένες εναλλακτικές μεθόδους για τον υπολογισμό του κόστους της ατμοσφαιρικής ρύπανσης, χρησιμοποιώντας δεδομένα από μετρήσεις ατμοσφαιρικών ρύπων και την τοπική αξία του κόστους των ατμοσφαιρικών ρύπων.</w:t>
      </w:r>
    </w:p>
    <w:p>
      <w:pPr>
        <w:pStyle w:val="ManualHeading3"/>
        <w:rPr>
          <w:noProof/>
        </w:rPr>
      </w:pPr>
      <w:r>
        <w:rPr>
          <w:noProof/>
        </w:rPr>
        <w:t>4.2.</w:t>
      </w:r>
      <w:r>
        <w:rPr>
          <w:noProof/>
        </w:rPr>
        <w:tab/>
        <w:t>Κόστος ηχορρύπανσης λόγω κυκλοφορίας</w:t>
      </w:r>
    </w:p>
    <w:p>
      <w:pPr>
        <w:rPr>
          <w:noProof/>
        </w:rPr>
      </w:pPr>
      <w:r>
        <w:rPr>
          <w:noProof/>
        </w:rPr>
        <w:t>Όταν κράτος μέλος προτίθεται να επιβάλλει υψηλότερα τέλη εξωτερικού κόστους από τις τιμές αναφοράς που αναφέρονται στο παράρτημα IIIβ, το κράτος μέλος ή, κατά περίπτωση, η ανεξάρτητη αρχή υπολογίζει το επιτρεπόμενο κόστος της ηχορρύπανσης λόγω κυκλοφορίας εφαρμόζοντας τους ακόλουθους μαθηματικούς τύπους:</w:t>
      </w:r>
    </w:p>
    <w:p>
      <w:pPr>
        <w:rPr>
          <w:noProof/>
        </w:rPr>
      </w:pPr>
      <w:r>
        <w:rPr>
          <w:noProof/>
          <w:lang w:val="en-US"/>
        </w:rPr>
        <w:lastRenderedPageBreak/>
        <w:drawing>
          <wp:inline distT="0" distB="0" distL="0" distR="0">
            <wp:extent cx="2673997" cy="9620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667416" cy="959657"/>
                    </a:xfrm>
                    <a:prstGeom prst="rect">
                      <a:avLst/>
                    </a:prstGeom>
                  </pic:spPr>
                </pic:pic>
              </a:graphicData>
            </a:graphic>
          </wp:inline>
        </w:drawing>
      </w:r>
    </w:p>
    <w:p>
      <w:pPr>
        <w:rPr>
          <w:noProof/>
        </w:rPr>
      </w:pPr>
      <w:r>
        <w:rPr>
          <w:noProof/>
        </w:rPr>
        <w:t>όπου :</w:t>
      </w:r>
    </w:p>
    <w:tbl>
      <w:tblPr>
        <w:tblW w:w="0" w:type="auto"/>
        <w:tblLayout w:type="fixed"/>
        <w:tblLook w:val="0000" w:firstRow="0" w:lastRow="0" w:firstColumn="0" w:lastColumn="0" w:noHBand="0" w:noVBand="0"/>
      </w:tblPr>
      <w:tblGrid>
        <w:gridCol w:w="557"/>
        <w:gridCol w:w="1207"/>
        <w:gridCol w:w="372"/>
        <w:gridCol w:w="7150"/>
      </w:tblGrid>
      <w:tr>
        <w:tc>
          <w:tcPr>
            <w:tcW w:w="557"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w:t>
            </w:r>
          </w:p>
        </w:tc>
        <w:tc>
          <w:tcPr>
            <w:tcW w:w="1207"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NCV</w:t>
            </w:r>
            <w:r>
              <w:rPr>
                <w:noProof/>
                <w:vertAlign w:val="subscript"/>
              </w:rPr>
              <w:t>j</w:t>
            </w:r>
            <w:r>
              <w:rPr>
                <w:noProof/>
              </w:rPr>
              <w:t xml:space="preserve"> =</w:t>
            </w:r>
          </w:p>
        </w:tc>
        <w:tc>
          <w:tcPr>
            <w:tcW w:w="372"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71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το κόστος θορύβου βαρέος φορτηγού οχήματος σε οδικό δίκτυο τύπου j (ευρώ/οχηματοχιλιόμετρο)</w:t>
            </w:r>
          </w:p>
        </w:tc>
      </w:tr>
      <w:tr>
        <w:tc>
          <w:tcPr>
            <w:tcW w:w="557"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w:t>
            </w:r>
          </w:p>
        </w:tc>
        <w:tc>
          <w:tcPr>
            <w:tcW w:w="1207"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NC</w:t>
            </w:r>
            <w:r>
              <w:rPr>
                <w:noProof/>
                <w:vertAlign w:val="subscript"/>
              </w:rPr>
              <w:t>jk</w:t>
            </w:r>
            <w:r>
              <w:rPr>
                <w:noProof/>
              </w:rPr>
              <w:t xml:space="preserve"> =</w:t>
            </w:r>
          </w:p>
        </w:tc>
        <w:tc>
          <w:tcPr>
            <w:tcW w:w="372"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71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κόστος θορύβου ανά εκτεθειμένο άτομο σε οδικό δίκτυο τύπου j σε επίπεδο θορύβου k (ευρώ/άτομο)</w:t>
            </w:r>
          </w:p>
        </w:tc>
      </w:tr>
      <w:tr>
        <w:tc>
          <w:tcPr>
            <w:tcW w:w="557"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w:t>
            </w:r>
          </w:p>
        </w:tc>
        <w:tc>
          <w:tcPr>
            <w:tcW w:w="1207"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POP</w:t>
            </w:r>
            <w:r>
              <w:rPr>
                <w:noProof/>
                <w:vertAlign w:val="subscript"/>
              </w:rPr>
              <w:t>k</w:t>
            </w:r>
            <w:r>
              <w:rPr>
                <w:noProof/>
              </w:rPr>
              <w:t xml:space="preserve"> =</w:t>
            </w:r>
          </w:p>
        </w:tc>
        <w:tc>
          <w:tcPr>
            <w:tcW w:w="372"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71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πληθυσμός που εκτίθεται σε ημερήσια στάθμη θορύβου k ανά χιλιόμετρο (άτομο/χιλιόμετρο)</w:t>
            </w:r>
          </w:p>
        </w:tc>
      </w:tr>
      <w:tr>
        <w:tc>
          <w:tcPr>
            <w:tcW w:w="557"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w:t>
            </w:r>
          </w:p>
        </w:tc>
        <w:tc>
          <w:tcPr>
            <w:tcW w:w="1207"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WADT =</w:t>
            </w:r>
          </w:p>
        </w:tc>
        <w:tc>
          <w:tcPr>
            <w:tcW w:w="372"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71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σταθμισμένη μέση ημερήσια κυκλοφορία (ισοδύναμο επιβατηγών αυτοκινήτων)</w:t>
            </w:r>
          </w:p>
        </w:tc>
      </w:tr>
      <w:tr>
        <w:tc>
          <w:tcPr>
            <w:tcW w:w="557"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w:t>
            </w:r>
          </w:p>
        </w:tc>
        <w:tc>
          <w:tcPr>
            <w:tcW w:w="1207"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a και b</w:t>
            </w:r>
          </w:p>
        </w:tc>
        <w:tc>
          <w:tcPr>
            <w:tcW w:w="372"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71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συντελεστές στάθμισης που καθορίζονται από το κράτος μέλος με τρόπο ώστε το προκύπτον σταθμισμένο μέσο τέλος λόγω θορύβου ανά οχηματοχιλιόμετρο να αντιστοιχεί στο NCV</w:t>
            </w:r>
            <w:r>
              <w:rPr>
                <w:noProof/>
                <w:vertAlign w:val="subscript"/>
              </w:rPr>
              <w:t>j</w:t>
            </w:r>
            <w:r>
              <w:rPr>
                <w:noProof/>
              </w:rPr>
              <w:t xml:space="preserve"> (ημερησίως).</w:t>
            </w:r>
          </w:p>
        </w:tc>
      </w:tr>
    </w:tbl>
    <w:p>
      <w:pPr>
        <w:rPr>
          <w:noProof/>
        </w:rPr>
      </w:pPr>
    </w:p>
    <w:p>
      <w:pPr>
        <w:rPr>
          <w:noProof/>
        </w:rPr>
      </w:pPr>
      <w:r>
        <w:rPr>
          <w:noProof/>
        </w:rPr>
        <w:t>Η ηχορρύπανση λόγω κυκλοφορίας αφορά τον αντίκτυπο του θορύβου στην υγεία των πολιτών που βρίσκονται κοντά στον δρόμο.</w:t>
      </w:r>
    </w:p>
    <w:p>
      <w:pPr>
        <w:rPr>
          <w:noProof/>
        </w:rPr>
      </w:pPr>
      <w:r>
        <w:rPr>
          <w:noProof/>
        </w:rPr>
        <w:t>Ο πληθυσμός που εκτίθεται σε στάθμη θορύβου k λαμβάνεται από τους στρατηγικούς χάρτες θορύβου που καταρτίζονται βάσει του άρθρου 7 της οδηγίας 2002/49/ΕΚ του Ευρωπαϊκού Κοινοβουλίου και του Συμβουλίου***.</w:t>
      </w:r>
    </w:p>
    <w:p>
      <w:pPr>
        <w:rPr>
          <w:noProof/>
        </w:rPr>
      </w:pPr>
      <w:r>
        <w:rPr>
          <w:noProof/>
        </w:rPr>
        <w:t>Το κόστος ανά πρόσωπο που εκτίθεται σε στάθμη θορύβου k υπολογίζεται από το κράτος μέλος ή, κατά περίπτωση, από την ανεξάρτητη αρχή, με τη χρήση επιστημονικώς αποδεδειγμένων μεθόδων.</w:t>
      </w:r>
    </w:p>
    <w:p>
      <w:pPr>
        <w:rPr>
          <w:noProof/>
        </w:rPr>
      </w:pPr>
      <w:r>
        <w:rPr>
          <w:noProof/>
        </w:rPr>
        <w:t>Η σταθμισμένη μέση ημερήσια κυκλοφορία προϋποθέτει συντελεστή ισοδυναμίας «e» ανάμεσα σε βαρέα φορτηγά οχήματα και επιβατηγά αυτοκίνητα όπως προκύπτει βάσει της στάθμης εκπομπής θορύβου του μέσου αυτοκινήτου και του μέσου βαρέος επαγγελματικού οχήματος και λαμβανομένου υπόψη του κανονισμού (ΕΕ) αριθ. 540/2014 του Ευρωπαϊκού Κοινοβουλίου και του Συμβουλίου, της 16ης Απριλίου 2014, σχετικά με την ηχοστάθμη των μηχανοκίνητων οχημάτων και την αντικατάσταση των σιγαστήρων τους, την τροποποίηση της οδηγίας 2007/46/ΕΚ και την κατάργηση της οδηγίας 70/157/ΕΟΚ.</w:t>
      </w:r>
    </w:p>
    <w:p>
      <w:pPr>
        <w:rPr>
          <w:noProof/>
        </w:rPr>
      </w:pPr>
      <w:r>
        <w:rPr>
          <w:noProof/>
        </w:rPr>
        <w:t>Το κράτος μέλος ή, κατά περίπτωση, η ανεξάρτητη αρχή επιτρέπεται να ορίζει διαφοροποιημένα τέλη θορύβου για να ανταμείβεται η χρήση λιγότερο θορυβωδών οχημάτων, εφόσον δεν προκαλούνται με αυτό τον τρόπο διακρίσεις εις βάρος αλλοδαπών οχημάτων.</w:t>
      </w:r>
    </w:p>
    <w:p>
      <w:pPr>
        <w:rPr>
          <w:noProof/>
        </w:rPr>
      </w:pPr>
      <w:r>
        <w:rPr>
          <w:noProof/>
        </w:rPr>
        <w:t>_____________</w:t>
      </w:r>
    </w:p>
    <w:p>
      <w:pPr>
        <w:rPr>
          <w:noProof/>
        </w:rPr>
      </w:pPr>
      <w:r>
        <w:rPr>
          <w:noProof/>
        </w:rPr>
        <w:lastRenderedPageBreak/>
        <w:t>*</w:t>
      </w:r>
      <w:r>
        <w:rPr>
          <w:noProof/>
        </w:rPr>
        <w:tab/>
        <w:t xml:space="preserve">Οδηγία (ΕΕ) 2016/2284 του Ευρωπαϊκού Κοινοβουλίου και του Συμβουλίου, της 14ης Δεκεμβρίου 2016, σχετικά με τη μείωση των εθνικών εκπομπών ορισμένων ατμοσφαιρικών ρύπων, την τροποποίηση της οδηγίας 2003/35/ΕΚ και την κατάργηση της οδηγίας 2001/81/ΕΚ (ΕΕ L 344 της 17.12.2016, σ. 1). </w:t>
      </w:r>
    </w:p>
    <w:p>
      <w:pPr>
        <w:rPr>
          <w:noProof/>
        </w:rPr>
      </w:pPr>
      <w:r>
        <w:rPr>
          <w:noProof/>
        </w:rPr>
        <w:t>**</w:t>
      </w:r>
      <w:r>
        <w:rPr>
          <w:noProof/>
        </w:rPr>
        <w:tab/>
        <w:t>Μεθοδολογία του Ευρωπαϊκού Οργανισμού Περιβάλλοντος: http://www.eea.europa.eu//publications/emep-eea-guidebook-2016</w:t>
      </w:r>
    </w:p>
    <w:p>
      <w:pPr>
        <w:rPr>
          <w:noProof/>
        </w:rPr>
      </w:pPr>
      <w:r>
        <w:rPr>
          <w:noProof/>
        </w:rPr>
        <w:t>***</w:t>
      </w:r>
      <w:r>
        <w:rPr>
          <w:noProof/>
        </w:rPr>
        <w:tab/>
        <w:t>Οδηγία 2002/49/ΕΚ του Ευρωπαϊκού Κοινοβουλίου και του Συμβουλίου, της 25ης Ιουνίου 2002, σχετικά με την αξιολόγηση και τη διαχείριση του περιβαλλοντικού θορύβου (ΕΕ L 189 της 18.7.2002, σ. 12).»·</w:t>
      </w:r>
    </w:p>
    <w:p>
      <w:pPr>
        <w:rPr>
          <w:noProof/>
        </w:rPr>
      </w:pPr>
    </w:p>
    <w:p>
      <w:pPr>
        <w:rPr>
          <w:noProof/>
        </w:rPr>
      </w:pPr>
      <w:r>
        <w:rPr>
          <w:noProof/>
        </w:rPr>
        <w:t>δ)</w:t>
      </w:r>
      <w:r>
        <w:rPr>
          <w:noProof/>
        </w:rPr>
        <w:tab/>
        <w:t>Το παράρτημα IIIβ αντικαθίσταται από το ακόλουθο κείμενο:</w:t>
      </w:r>
    </w:p>
    <w:p>
      <w:pPr>
        <w:pStyle w:val="Annexetitreacte"/>
        <w:rPr>
          <w:noProof/>
          <w:lang w:val="el-GR"/>
        </w:rPr>
      </w:pPr>
      <w:r>
        <w:rPr>
          <w:b w:val="0"/>
          <w:noProof/>
          <w:u w:val="none"/>
          <w:lang w:val="el-GR"/>
        </w:rPr>
        <w:t>«</w:t>
      </w:r>
      <w:r>
        <w:rPr>
          <w:noProof/>
          <w:lang w:val="el-GR"/>
        </w:rPr>
        <w:t>ΠΑΡΑΡΤΗΜΑ ΙΙΙβ</w:t>
      </w:r>
    </w:p>
    <w:p>
      <w:pPr>
        <w:pStyle w:val="NormalCentered"/>
        <w:rPr>
          <w:b/>
          <w:bCs/>
          <w:noProof/>
        </w:rPr>
      </w:pPr>
      <w:r>
        <w:rPr>
          <w:b/>
          <w:noProof/>
        </w:rPr>
        <w:t xml:space="preserve"> ΤΙΜΕΣ ΑΝΑΦΟΡΑΣ ΤΟΥ ΤΕΛΟΥΣ ΕΞΩΤΕΡΙΚΟΥ ΚΟΣΤΟΥΣ</w:t>
      </w:r>
    </w:p>
    <w:p>
      <w:pPr>
        <w:rPr>
          <w:noProof/>
        </w:rPr>
      </w:pPr>
      <w:r>
        <w:rPr>
          <w:noProof/>
        </w:rPr>
        <w:t>Το παρόν παράρτημα καθορίζει τιμές αναφοράς του τέλους εξωτερικού κόστους, συμπεριλαμβανομένου του κόστους της ατμοσφαιρικής ρύπανσης και του θορύβου.</w:t>
      </w:r>
    </w:p>
    <w:p>
      <w:pPr>
        <w:spacing w:before="100" w:beforeAutospacing="1" w:after="100" w:afterAutospacing="1"/>
        <w:ind w:left="800" w:hanging="400"/>
        <w:rPr>
          <w:rFonts w:eastAsia="Arial Unicode MS"/>
          <w:noProof/>
        </w:rPr>
      </w:pPr>
      <w:r>
        <w:rPr>
          <w:i/>
          <w:noProof/>
        </w:rPr>
        <w:t>Πίνακας 1:</w:t>
      </w:r>
      <w:r>
        <w:rPr>
          <w:noProof/>
        </w:rPr>
        <w:t>  </w:t>
      </w:r>
      <w:r>
        <w:rPr>
          <w:i/>
          <w:noProof/>
        </w:rPr>
        <w:t>τιμές αναφοράς του τέλους εξωτερικού κόστους για τα βαρέα φορτηγά οχήματα</w:t>
      </w:r>
    </w:p>
    <w:tbl>
      <w:tblPr>
        <w:tblW w:w="8740"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60"/>
        <w:gridCol w:w="3248"/>
        <w:gridCol w:w="1633"/>
        <w:gridCol w:w="1599"/>
      </w:tblGrid>
      <w:tr>
        <w:trPr>
          <w:tblCellSpacing w:w="0" w:type="dxa"/>
          <w:jc w:val="center"/>
        </w:trPr>
        <w:tc>
          <w:tcPr>
            <w:tcW w:w="1366" w:type="pct"/>
            <w:tcBorders>
              <w:top w:val="outset" w:sz="6" w:space="0" w:color="auto"/>
              <w:left w:val="outset" w:sz="6" w:space="0" w:color="auto"/>
              <w:bottom w:val="outset" w:sz="6" w:space="0" w:color="auto"/>
              <w:right w:val="outset" w:sz="6" w:space="0" w:color="auto"/>
            </w:tcBorders>
          </w:tcPr>
          <w:p>
            <w:pPr>
              <w:spacing w:before="100" w:beforeAutospacing="1" w:after="100" w:afterAutospacing="1"/>
              <w:rPr>
                <w:b/>
                <w:bCs/>
                <w:noProof/>
              </w:rPr>
            </w:pPr>
            <w:r>
              <w:rPr>
                <w:b/>
                <w:noProof/>
              </w:rPr>
              <w:t>Κατηγορία οχήματος</w:t>
            </w: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b/>
                <w:bCs/>
                <w:noProof/>
              </w:rPr>
            </w:pPr>
            <w:r>
              <w:rPr>
                <w:b/>
                <w:noProof/>
              </w:rPr>
              <w:t>ευρωλεπτά/οχηματοχιλιόμετρο</w:t>
            </w:r>
          </w:p>
        </w:tc>
        <w:tc>
          <w:tcPr>
            <w:tcW w:w="974"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jc w:val="center"/>
              <w:rPr>
                <w:b/>
                <w:bCs/>
                <w:noProof/>
              </w:rPr>
            </w:pPr>
            <w:r>
              <w:rPr>
                <w:b/>
                <w:noProof/>
              </w:rPr>
              <w:t>Προαστιακές</w:t>
            </w:r>
            <w:r>
              <w:rPr>
                <w:b/>
                <w:noProof/>
                <w:vertAlign w:val="superscript"/>
              </w:rPr>
              <w:t>(1)</w:t>
            </w:r>
          </w:p>
        </w:tc>
        <w:tc>
          <w:tcPr>
            <w:tcW w:w="877"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jc w:val="center"/>
              <w:rPr>
                <w:b/>
                <w:bCs/>
                <w:noProof/>
              </w:rPr>
            </w:pPr>
            <w:r>
              <w:rPr>
                <w:b/>
                <w:noProof/>
              </w:rPr>
              <w:t>Υπεραστικές</w:t>
            </w:r>
            <w:r>
              <w:rPr>
                <w:b/>
                <w:noProof/>
                <w:vertAlign w:val="superscript"/>
              </w:rPr>
              <w:t>(2)</w:t>
            </w:r>
          </w:p>
        </w:tc>
      </w:tr>
      <w:tr>
        <w:trPr>
          <w:tblCellSpacing w:w="0" w:type="dxa"/>
          <w:jc w:val="center"/>
        </w:trPr>
        <w:tc>
          <w:tcPr>
            <w:tcW w:w="1366" w:type="pct"/>
            <w:vMerge w:val="restart"/>
            <w:tcBorders>
              <w:top w:val="outset" w:sz="6" w:space="0" w:color="auto"/>
              <w:left w:val="outset" w:sz="6" w:space="0" w:color="auto"/>
              <w:right w:val="outset" w:sz="6" w:space="0" w:color="auto"/>
            </w:tcBorders>
          </w:tcPr>
          <w:p>
            <w:pPr>
              <w:spacing w:before="100" w:beforeAutospacing="1" w:after="100" w:afterAutospacing="1"/>
              <w:rPr>
                <w:noProof/>
              </w:rPr>
            </w:pPr>
            <w:r>
              <w:rPr>
                <w:noProof/>
              </w:rPr>
              <w:t xml:space="preserve">Βαρύ επαγγελματικό όχημα με μέγιστο επιτρεπόμενο μεικτό βάρος </w:t>
            </w:r>
          </w:p>
          <w:p>
            <w:pPr>
              <w:spacing w:before="100" w:beforeAutospacing="1" w:after="100" w:afterAutospacing="1"/>
              <w:rPr>
                <w:noProof/>
              </w:rPr>
            </w:pPr>
            <w:r>
              <w:rPr>
                <w:noProof/>
              </w:rPr>
              <w:t>μικρότερο των 14 τόνων</w:t>
            </w:r>
          </w:p>
          <w:p>
            <w:pPr>
              <w:spacing w:before="100" w:beforeAutospacing="1" w:after="100" w:afterAutospacing="1"/>
              <w:rPr>
                <w:noProof/>
              </w:rPr>
            </w:pPr>
            <w:r>
              <w:rPr>
                <w:noProof/>
              </w:rPr>
              <w:t>ή διαξονικό</w:t>
            </w: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0</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13,3</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8,3</w:t>
            </w:r>
          </w:p>
        </w:tc>
      </w:tr>
      <w:tr>
        <w:trPr>
          <w:tblCellSpacing w:w="0" w:type="dxa"/>
          <w:jc w:val="center"/>
        </w:trPr>
        <w:tc>
          <w:tcPr>
            <w:tcW w:w="1366" w:type="pct"/>
            <w:vMerge/>
            <w:tcBorders>
              <w:left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9,1</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5,4</w:t>
            </w:r>
          </w:p>
        </w:tc>
      </w:tr>
      <w:tr>
        <w:trPr>
          <w:tblCellSpacing w:w="0" w:type="dxa"/>
          <w:jc w:val="center"/>
        </w:trPr>
        <w:tc>
          <w:tcPr>
            <w:tcW w:w="1366" w:type="pct"/>
            <w:vMerge/>
            <w:tcBorders>
              <w:left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8,8</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5,4</w:t>
            </w:r>
          </w:p>
        </w:tc>
      </w:tr>
      <w:tr>
        <w:trPr>
          <w:tblCellSpacing w:w="0" w:type="dxa"/>
          <w:jc w:val="center"/>
        </w:trPr>
        <w:tc>
          <w:tcPr>
            <w:tcW w:w="1366" w:type="pct"/>
            <w:vMerge/>
            <w:tcBorders>
              <w:left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III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7,7</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4,3</w:t>
            </w:r>
          </w:p>
        </w:tc>
      </w:tr>
      <w:tr>
        <w:trPr>
          <w:tblCellSpacing w:w="0" w:type="dxa"/>
          <w:jc w:val="center"/>
        </w:trPr>
        <w:tc>
          <w:tcPr>
            <w:tcW w:w="1366" w:type="pct"/>
            <w:vMerge/>
            <w:tcBorders>
              <w:left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IV</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5,9</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3,1</w:t>
            </w:r>
          </w:p>
        </w:tc>
      </w:tr>
      <w:tr>
        <w:trPr>
          <w:tblCellSpacing w:w="0" w:type="dxa"/>
          <w:jc w:val="center"/>
        </w:trPr>
        <w:tc>
          <w:tcPr>
            <w:tcW w:w="1366" w:type="pct"/>
            <w:vMerge/>
            <w:tcBorders>
              <w:left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V</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5,7</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1,9</w:t>
            </w:r>
          </w:p>
        </w:tc>
      </w:tr>
      <w:tr>
        <w:trPr>
          <w:tblCellSpacing w:w="0" w:type="dxa"/>
          <w:jc w:val="center"/>
        </w:trPr>
        <w:tc>
          <w:tcPr>
            <w:tcW w:w="1366" w:type="pct"/>
            <w:vMerge/>
            <w:tcBorders>
              <w:left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VI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3,2</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0,6</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Λιγότερο ρυπογόνα από την κατηγορία EURO VI</w:t>
            </w:r>
          </w:p>
        </w:tc>
        <w:tc>
          <w:tcPr>
            <w:tcW w:w="974" w:type="pct"/>
            <w:tcBorders>
              <w:top w:val="outset" w:sz="6" w:space="0" w:color="auto"/>
              <w:left w:val="outset" w:sz="6" w:space="0" w:color="auto"/>
              <w:bottom w:val="outset" w:sz="6" w:space="0" w:color="auto"/>
              <w:right w:val="outset" w:sz="6" w:space="0" w:color="auto"/>
            </w:tcBorders>
            <w:shd w:val="clear" w:color="auto" w:fill="auto"/>
            <w:vAlign w:val="center"/>
            <w:hideMark/>
          </w:tcPr>
          <w:p>
            <w:pPr>
              <w:spacing w:before="100" w:beforeAutospacing="1" w:after="100" w:afterAutospacing="1"/>
              <w:contextualSpacing/>
              <w:jc w:val="center"/>
              <w:rPr>
                <w:noProof/>
              </w:rPr>
            </w:pPr>
            <w:r>
              <w:rPr>
                <w:noProof/>
              </w:rPr>
              <w:t>2,5</w:t>
            </w:r>
          </w:p>
        </w:tc>
        <w:tc>
          <w:tcPr>
            <w:tcW w:w="877" w:type="pct"/>
            <w:tcBorders>
              <w:top w:val="outset" w:sz="6" w:space="0" w:color="auto"/>
              <w:left w:val="outset" w:sz="6" w:space="0" w:color="auto"/>
              <w:bottom w:val="outset" w:sz="6" w:space="0" w:color="auto"/>
              <w:right w:val="outset" w:sz="6" w:space="0" w:color="auto"/>
            </w:tcBorders>
            <w:shd w:val="clear" w:color="auto" w:fill="auto"/>
            <w:vAlign w:val="center"/>
            <w:hideMark/>
          </w:tcPr>
          <w:p>
            <w:pPr>
              <w:spacing w:before="100" w:beforeAutospacing="1" w:after="100" w:afterAutospacing="1"/>
              <w:contextualSpacing/>
              <w:jc w:val="center"/>
              <w:rPr>
                <w:noProof/>
              </w:rPr>
            </w:pPr>
            <w:r>
              <w:rPr>
                <w:noProof/>
              </w:rPr>
              <w:t>0,3</w:t>
            </w:r>
          </w:p>
        </w:tc>
      </w:tr>
      <w:tr>
        <w:trPr>
          <w:tblCellSpacing w:w="0" w:type="dxa"/>
          <w:jc w:val="center"/>
        </w:trPr>
        <w:tc>
          <w:tcPr>
            <w:tcW w:w="1366" w:type="pct"/>
            <w:vMerge w:val="restart"/>
            <w:tcBorders>
              <w:left w:val="outset" w:sz="6" w:space="0" w:color="auto"/>
              <w:bottom w:val="outset" w:sz="6" w:space="0" w:color="auto"/>
              <w:right w:val="outset" w:sz="6" w:space="0" w:color="auto"/>
            </w:tcBorders>
          </w:tcPr>
          <w:p>
            <w:pPr>
              <w:spacing w:before="100" w:beforeAutospacing="1" w:after="100" w:afterAutospacing="1"/>
              <w:rPr>
                <w:noProof/>
              </w:rPr>
            </w:pPr>
            <w:r>
              <w:rPr>
                <w:noProof/>
              </w:rPr>
              <w:t xml:space="preserve">Βαρύ επαγγελματικό όχημα με μέγιστο επιτρεπόμενο μεικτό βάρος </w:t>
            </w:r>
          </w:p>
          <w:p>
            <w:pPr>
              <w:spacing w:before="100" w:beforeAutospacing="1" w:after="100" w:afterAutospacing="1"/>
              <w:rPr>
                <w:noProof/>
              </w:rPr>
            </w:pPr>
            <w:r>
              <w:rPr>
                <w:noProof/>
              </w:rPr>
              <w:t xml:space="preserve">μεταξύ 14 και 28 τόνων </w:t>
            </w:r>
          </w:p>
          <w:p>
            <w:pPr>
              <w:spacing w:before="100" w:beforeAutospacing="1" w:after="100" w:afterAutospacing="1"/>
              <w:rPr>
                <w:noProof/>
              </w:rPr>
            </w:pPr>
            <w:r>
              <w:rPr>
                <w:noProof/>
              </w:rPr>
              <w:t>ή τριαξονικό</w:t>
            </w: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0</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23,3</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15,1</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16,4</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10,1</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15,7</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10,0</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III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13,5</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8,2</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IV</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9,5</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5,7</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V</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8,9</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3,7</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VI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3,6</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0,8</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Λιγότερο ρυπογόνα από την κατηγορία EURO VI</w:t>
            </w:r>
          </w:p>
        </w:tc>
        <w:tc>
          <w:tcPr>
            <w:tcW w:w="974" w:type="pct"/>
            <w:tcBorders>
              <w:top w:val="outset" w:sz="6" w:space="0" w:color="auto"/>
              <w:left w:val="outset" w:sz="6" w:space="0" w:color="auto"/>
              <w:bottom w:val="outset" w:sz="6" w:space="0" w:color="auto"/>
              <w:right w:val="outset" w:sz="6" w:space="0" w:color="auto"/>
            </w:tcBorders>
            <w:vAlign w:val="center"/>
            <w:hideMark/>
          </w:tcPr>
          <w:p>
            <w:pPr>
              <w:spacing w:before="100" w:beforeAutospacing="1" w:after="100" w:afterAutospacing="1"/>
              <w:contextualSpacing/>
              <w:jc w:val="center"/>
              <w:rPr>
                <w:noProof/>
              </w:rPr>
            </w:pPr>
            <w:r>
              <w:rPr>
                <w:noProof/>
              </w:rPr>
              <w:t>2,5</w:t>
            </w:r>
          </w:p>
        </w:tc>
        <w:tc>
          <w:tcPr>
            <w:tcW w:w="877" w:type="pct"/>
            <w:tcBorders>
              <w:top w:val="outset" w:sz="6" w:space="0" w:color="auto"/>
              <w:left w:val="outset" w:sz="6" w:space="0" w:color="auto"/>
              <w:bottom w:val="outset" w:sz="6" w:space="0" w:color="auto"/>
              <w:right w:val="outset" w:sz="6" w:space="0" w:color="auto"/>
            </w:tcBorders>
            <w:vAlign w:val="center"/>
            <w:hideMark/>
          </w:tcPr>
          <w:p>
            <w:pPr>
              <w:spacing w:before="100" w:beforeAutospacing="1" w:after="100" w:afterAutospacing="1"/>
              <w:contextualSpacing/>
              <w:jc w:val="center"/>
              <w:rPr>
                <w:noProof/>
              </w:rPr>
            </w:pPr>
            <w:r>
              <w:rPr>
                <w:noProof/>
              </w:rPr>
              <w:t>0,3</w:t>
            </w:r>
          </w:p>
        </w:tc>
      </w:tr>
      <w:tr>
        <w:trPr>
          <w:tblCellSpacing w:w="0" w:type="dxa"/>
          <w:jc w:val="center"/>
        </w:trPr>
        <w:tc>
          <w:tcPr>
            <w:tcW w:w="1366" w:type="pct"/>
            <w:vMerge w:val="restart"/>
            <w:tcBorders>
              <w:left w:val="outset" w:sz="6" w:space="0" w:color="auto"/>
              <w:bottom w:val="outset" w:sz="6" w:space="0" w:color="auto"/>
              <w:right w:val="outset" w:sz="6" w:space="0" w:color="auto"/>
            </w:tcBorders>
          </w:tcPr>
          <w:p>
            <w:pPr>
              <w:spacing w:before="100" w:beforeAutospacing="1" w:after="100" w:afterAutospacing="1"/>
              <w:rPr>
                <w:noProof/>
              </w:rPr>
            </w:pPr>
            <w:r>
              <w:rPr>
                <w:noProof/>
              </w:rPr>
              <w:t xml:space="preserve">Βαρύ επαγγελματικό όχημα με μέγιστο </w:t>
            </w:r>
            <w:r>
              <w:rPr>
                <w:noProof/>
              </w:rPr>
              <w:lastRenderedPageBreak/>
              <w:t xml:space="preserve">επιτρεπόμενο μεικτό βάρος </w:t>
            </w:r>
          </w:p>
          <w:p>
            <w:pPr>
              <w:spacing w:before="100" w:beforeAutospacing="1" w:after="100" w:afterAutospacing="1"/>
              <w:rPr>
                <w:noProof/>
              </w:rPr>
            </w:pPr>
            <w:r>
              <w:rPr>
                <w:noProof/>
              </w:rPr>
              <w:t xml:space="preserve">μεταξύ 28 και 40 τόνων </w:t>
            </w:r>
          </w:p>
          <w:p>
            <w:pPr>
              <w:spacing w:before="100" w:beforeAutospacing="1" w:after="100" w:afterAutospacing="1"/>
              <w:rPr>
                <w:noProof/>
              </w:rPr>
            </w:pPr>
            <w:r>
              <w:rPr>
                <w:noProof/>
              </w:rPr>
              <w:t>ή τετραξονικό</w:t>
            </w: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lastRenderedPageBreak/>
              <w:t>EURO 0</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30,4</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19,7</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22,6</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13,9</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21,3</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13,9</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III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17,8</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11,2</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IV</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12,2</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7,7</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V</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9,2</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4,0</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VI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3,5</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0,8</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Λιγότερο ρυπογόνα από την κατηγορία EURO VI</w:t>
            </w:r>
          </w:p>
        </w:tc>
        <w:tc>
          <w:tcPr>
            <w:tcW w:w="974" w:type="pct"/>
            <w:tcBorders>
              <w:top w:val="outset" w:sz="6" w:space="0" w:color="auto"/>
              <w:left w:val="outset" w:sz="6" w:space="0" w:color="auto"/>
              <w:bottom w:val="outset" w:sz="6" w:space="0" w:color="auto"/>
              <w:right w:val="outset" w:sz="6" w:space="0" w:color="auto"/>
            </w:tcBorders>
            <w:vAlign w:val="center"/>
            <w:hideMark/>
          </w:tcPr>
          <w:p>
            <w:pPr>
              <w:spacing w:before="100" w:beforeAutospacing="1" w:after="100" w:afterAutospacing="1"/>
              <w:contextualSpacing/>
              <w:jc w:val="center"/>
              <w:rPr>
                <w:noProof/>
              </w:rPr>
            </w:pPr>
            <w:r>
              <w:rPr>
                <w:noProof/>
              </w:rPr>
              <w:t>2,5</w:t>
            </w:r>
          </w:p>
        </w:tc>
        <w:tc>
          <w:tcPr>
            <w:tcW w:w="877" w:type="pct"/>
            <w:tcBorders>
              <w:top w:val="outset" w:sz="6" w:space="0" w:color="auto"/>
              <w:left w:val="outset" w:sz="6" w:space="0" w:color="auto"/>
              <w:bottom w:val="outset" w:sz="6" w:space="0" w:color="auto"/>
              <w:right w:val="outset" w:sz="6" w:space="0" w:color="auto"/>
            </w:tcBorders>
            <w:vAlign w:val="center"/>
            <w:hideMark/>
          </w:tcPr>
          <w:p>
            <w:pPr>
              <w:spacing w:before="100" w:beforeAutospacing="1" w:after="100" w:afterAutospacing="1"/>
              <w:contextualSpacing/>
              <w:jc w:val="center"/>
              <w:rPr>
                <w:noProof/>
              </w:rPr>
            </w:pPr>
            <w:r>
              <w:rPr>
                <w:noProof/>
              </w:rPr>
              <w:t>0,3</w:t>
            </w:r>
          </w:p>
        </w:tc>
      </w:tr>
      <w:tr>
        <w:trPr>
          <w:tblCellSpacing w:w="0" w:type="dxa"/>
          <w:jc w:val="center"/>
        </w:trPr>
        <w:tc>
          <w:tcPr>
            <w:tcW w:w="1366" w:type="pct"/>
            <w:vMerge w:val="restart"/>
            <w:tcBorders>
              <w:left w:val="outset" w:sz="6" w:space="0" w:color="auto"/>
              <w:bottom w:val="outset" w:sz="6" w:space="0" w:color="auto"/>
              <w:right w:val="outset" w:sz="6" w:space="0" w:color="auto"/>
            </w:tcBorders>
          </w:tcPr>
          <w:p>
            <w:pPr>
              <w:spacing w:before="100" w:beforeAutospacing="1" w:after="100" w:afterAutospacing="1"/>
              <w:rPr>
                <w:noProof/>
              </w:rPr>
            </w:pPr>
            <w:r>
              <w:rPr>
                <w:noProof/>
              </w:rPr>
              <w:t xml:space="preserve">Βαρύ επαγγελματικό όχημα με μέγιστο επιτρεπόμενο μεικτό βάρος </w:t>
            </w:r>
          </w:p>
          <w:p>
            <w:pPr>
              <w:spacing w:before="100" w:beforeAutospacing="1" w:after="100" w:afterAutospacing="1"/>
              <w:rPr>
                <w:noProof/>
              </w:rPr>
            </w:pPr>
            <w:r>
              <w:rPr>
                <w:noProof/>
              </w:rPr>
              <w:t xml:space="preserve">άνω των 40 τόνων </w:t>
            </w:r>
          </w:p>
          <w:p>
            <w:pPr>
              <w:spacing w:before="100" w:beforeAutospacing="1" w:after="100" w:afterAutospacing="1"/>
              <w:rPr>
                <w:noProof/>
              </w:rPr>
            </w:pPr>
            <w:r>
              <w:rPr>
                <w:noProof/>
              </w:rPr>
              <w:t>ή με 5 ή περισσότερους άξονες</w:t>
            </w: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0</w:t>
            </w:r>
          </w:p>
        </w:tc>
        <w:tc>
          <w:tcPr>
            <w:tcW w:w="974" w:type="pct"/>
            <w:tcBorders>
              <w:top w:val="outset" w:sz="6" w:space="0" w:color="auto"/>
              <w:left w:val="outset" w:sz="6" w:space="0" w:color="auto"/>
              <w:bottom w:val="outset" w:sz="6" w:space="0" w:color="auto"/>
              <w:right w:val="outset" w:sz="6" w:space="0" w:color="auto"/>
            </w:tcBorders>
            <w:vAlign w:val="bottom"/>
          </w:tcPr>
          <w:p>
            <w:pPr>
              <w:spacing w:before="100" w:beforeAutospacing="1" w:after="100" w:afterAutospacing="1"/>
              <w:contextualSpacing/>
              <w:jc w:val="center"/>
              <w:rPr>
                <w:noProof/>
              </w:rPr>
            </w:pPr>
            <w:r>
              <w:rPr>
                <w:noProof/>
              </w:rPr>
              <w:t>43,0</w:t>
            </w:r>
          </w:p>
        </w:tc>
        <w:tc>
          <w:tcPr>
            <w:tcW w:w="877" w:type="pct"/>
            <w:tcBorders>
              <w:top w:val="outset" w:sz="6" w:space="0" w:color="auto"/>
              <w:left w:val="outset" w:sz="6" w:space="0" w:color="auto"/>
              <w:bottom w:val="outset" w:sz="6" w:space="0" w:color="auto"/>
              <w:right w:val="outset" w:sz="6" w:space="0" w:color="auto"/>
            </w:tcBorders>
            <w:vAlign w:val="bottom"/>
          </w:tcPr>
          <w:p>
            <w:pPr>
              <w:spacing w:before="100" w:beforeAutospacing="1" w:after="100" w:afterAutospacing="1"/>
              <w:contextualSpacing/>
              <w:jc w:val="center"/>
              <w:rPr>
                <w:noProof/>
              </w:rPr>
            </w:pPr>
            <w:r>
              <w:rPr>
                <w:noProof/>
              </w:rPr>
              <w:t>28,6</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w:t>
            </w:r>
          </w:p>
        </w:tc>
        <w:tc>
          <w:tcPr>
            <w:tcW w:w="974" w:type="pct"/>
            <w:tcBorders>
              <w:top w:val="outset" w:sz="6" w:space="0" w:color="auto"/>
              <w:left w:val="outset" w:sz="6" w:space="0" w:color="auto"/>
              <w:bottom w:val="outset" w:sz="6" w:space="0" w:color="auto"/>
              <w:right w:val="outset" w:sz="6" w:space="0" w:color="auto"/>
            </w:tcBorders>
            <w:vAlign w:val="bottom"/>
          </w:tcPr>
          <w:p>
            <w:pPr>
              <w:spacing w:before="100" w:beforeAutospacing="1" w:after="100" w:afterAutospacing="1"/>
              <w:contextualSpacing/>
              <w:jc w:val="center"/>
              <w:rPr>
                <w:noProof/>
              </w:rPr>
            </w:pPr>
            <w:r>
              <w:rPr>
                <w:noProof/>
              </w:rPr>
              <w:t>31,5</w:t>
            </w:r>
          </w:p>
        </w:tc>
        <w:tc>
          <w:tcPr>
            <w:tcW w:w="877" w:type="pct"/>
            <w:tcBorders>
              <w:top w:val="outset" w:sz="6" w:space="0" w:color="auto"/>
              <w:left w:val="outset" w:sz="6" w:space="0" w:color="auto"/>
              <w:bottom w:val="outset" w:sz="6" w:space="0" w:color="auto"/>
              <w:right w:val="outset" w:sz="6" w:space="0" w:color="auto"/>
            </w:tcBorders>
            <w:vAlign w:val="bottom"/>
          </w:tcPr>
          <w:p>
            <w:pPr>
              <w:spacing w:before="100" w:beforeAutospacing="1" w:after="100" w:afterAutospacing="1"/>
              <w:contextualSpacing/>
              <w:jc w:val="center"/>
              <w:rPr>
                <w:noProof/>
              </w:rPr>
            </w:pPr>
            <w:r>
              <w:rPr>
                <w:noProof/>
              </w:rPr>
              <w:t>19,8</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II</w:t>
            </w:r>
          </w:p>
        </w:tc>
        <w:tc>
          <w:tcPr>
            <w:tcW w:w="974" w:type="pct"/>
            <w:tcBorders>
              <w:top w:val="outset" w:sz="6" w:space="0" w:color="auto"/>
              <w:left w:val="outset" w:sz="6" w:space="0" w:color="auto"/>
              <w:bottom w:val="outset" w:sz="6" w:space="0" w:color="auto"/>
              <w:right w:val="outset" w:sz="6" w:space="0" w:color="auto"/>
            </w:tcBorders>
            <w:vAlign w:val="bottom"/>
          </w:tcPr>
          <w:p>
            <w:pPr>
              <w:spacing w:before="100" w:beforeAutospacing="1" w:after="100" w:afterAutospacing="1"/>
              <w:contextualSpacing/>
              <w:jc w:val="center"/>
              <w:rPr>
                <w:noProof/>
              </w:rPr>
            </w:pPr>
            <w:r>
              <w:rPr>
                <w:noProof/>
              </w:rPr>
              <w:t>29,2</w:t>
            </w:r>
          </w:p>
        </w:tc>
        <w:tc>
          <w:tcPr>
            <w:tcW w:w="877" w:type="pct"/>
            <w:tcBorders>
              <w:top w:val="outset" w:sz="6" w:space="0" w:color="auto"/>
              <w:left w:val="outset" w:sz="6" w:space="0" w:color="auto"/>
              <w:bottom w:val="outset" w:sz="6" w:space="0" w:color="auto"/>
              <w:right w:val="outset" w:sz="6" w:space="0" w:color="auto"/>
            </w:tcBorders>
            <w:vAlign w:val="bottom"/>
          </w:tcPr>
          <w:p>
            <w:pPr>
              <w:spacing w:before="100" w:beforeAutospacing="1" w:after="100" w:afterAutospacing="1"/>
              <w:contextualSpacing/>
              <w:jc w:val="center"/>
              <w:rPr>
                <w:noProof/>
              </w:rPr>
            </w:pPr>
            <w:r>
              <w:rPr>
                <w:noProof/>
              </w:rPr>
              <w:t>19,4</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III</w:t>
            </w:r>
          </w:p>
        </w:tc>
        <w:tc>
          <w:tcPr>
            <w:tcW w:w="974" w:type="pct"/>
            <w:tcBorders>
              <w:top w:val="outset" w:sz="6" w:space="0" w:color="auto"/>
              <w:left w:val="outset" w:sz="6" w:space="0" w:color="auto"/>
              <w:bottom w:val="outset" w:sz="6" w:space="0" w:color="auto"/>
              <w:right w:val="outset" w:sz="6" w:space="0" w:color="auto"/>
            </w:tcBorders>
            <w:vAlign w:val="bottom"/>
          </w:tcPr>
          <w:p>
            <w:pPr>
              <w:spacing w:before="100" w:beforeAutospacing="1" w:after="100" w:afterAutospacing="1"/>
              <w:contextualSpacing/>
              <w:jc w:val="center"/>
              <w:rPr>
                <w:noProof/>
              </w:rPr>
            </w:pPr>
            <w:r>
              <w:rPr>
                <w:noProof/>
              </w:rPr>
              <w:t>24,0</w:t>
            </w:r>
          </w:p>
        </w:tc>
        <w:tc>
          <w:tcPr>
            <w:tcW w:w="877" w:type="pct"/>
            <w:tcBorders>
              <w:top w:val="outset" w:sz="6" w:space="0" w:color="auto"/>
              <w:left w:val="outset" w:sz="6" w:space="0" w:color="auto"/>
              <w:bottom w:val="outset" w:sz="6" w:space="0" w:color="auto"/>
              <w:right w:val="outset" w:sz="6" w:space="0" w:color="auto"/>
            </w:tcBorders>
            <w:vAlign w:val="bottom"/>
          </w:tcPr>
          <w:p>
            <w:pPr>
              <w:spacing w:before="100" w:beforeAutospacing="1" w:after="100" w:afterAutospacing="1"/>
              <w:contextualSpacing/>
              <w:jc w:val="center"/>
              <w:rPr>
                <w:noProof/>
              </w:rPr>
            </w:pPr>
            <w:r>
              <w:rPr>
                <w:noProof/>
              </w:rPr>
              <w:t>15,6</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IV</w:t>
            </w:r>
          </w:p>
        </w:tc>
        <w:tc>
          <w:tcPr>
            <w:tcW w:w="974" w:type="pct"/>
            <w:tcBorders>
              <w:top w:val="outset" w:sz="6" w:space="0" w:color="auto"/>
              <w:left w:val="outset" w:sz="6" w:space="0" w:color="auto"/>
              <w:bottom w:val="outset" w:sz="6" w:space="0" w:color="auto"/>
              <w:right w:val="outset" w:sz="6" w:space="0" w:color="auto"/>
            </w:tcBorders>
            <w:vAlign w:val="bottom"/>
          </w:tcPr>
          <w:p>
            <w:pPr>
              <w:spacing w:before="100" w:beforeAutospacing="1" w:after="100" w:afterAutospacing="1"/>
              <w:contextualSpacing/>
              <w:jc w:val="center"/>
              <w:rPr>
                <w:noProof/>
              </w:rPr>
            </w:pPr>
            <w:r>
              <w:rPr>
                <w:noProof/>
              </w:rPr>
              <w:t>16,2</w:t>
            </w:r>
          </w:p>
        </w:tc>
        <w:tc>
          <w:tcPr>
            <w:tcW w:w="877" w:type="pct"/>
            <w:tcBorders>
              <w:top w:val="outset" w:sz="6" w:space="0" w:color="auto"/>
              <w:left w:val="outset" w:sz="6" w:space="0" w:color="auto"/>
              <w:bottom w:val="outset" w:sz="6" w:space="0" w:color="auto"/>
              <w:right w:val="outset" w:sz="6" w:space="0" w:color="auto"/>
            </w:tcBorders>
            <w:vAlign w:val="bottom"/>
          </w:tcPr>
          <w:p>
            <w:pPr>
              <w:spacing w:before="100" w:beforeAutospacing="1" w:after="100" w:afterAutospacing="1"/>
              <w:contextualSpacing/>
              <w:jc w:val="center"/>
              <w:rPr>
                <w:noProof/>
              </w:rPr>
            </w:pPr>
            <w:r>
              <w:rPr>
                <w:noProof/>
              </w:rPr>
              <w:t>10,6</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V</w:t>
            </w:r>
          </w:p>
        </w:tc>
        <w:tc>
          <w:tcPr>
            <w:tcW w:w="974" w:type="pct"/>
            <w:tcBorders>
              <w:top w:val="outset" w:sz="6" w:space="0" w:color="auto"/>
              <w:left w:val="outset" w:sz="6" w:space="0" w:color="auto"/>
              <w:bottom w:val="outset" w:sz="6" w:space="0" w:color="auto"/>
              <w:right w:val="outset" w:sz="6" w:space="0" w:color="auto"/>
            </w:tcBorders>
            <w:vAlign w:val="bottom"/>
          </w:tcPr>
          <w:p>
            <w:pPr>
              <w:spacing w:before="100" w:beforeAutospacing="1" w:after="100" w:afterAutospacing="1"/>
              <w:contextualSpacing/>
              <w:jc w:val="center"/>
              <w:rPr>
                <w:noProof/>
              </w:rPr>
            </w:pPr>
            <w:r>
              <w:rPr>
                <w:noProof/>
              </w:rPr>
              <w:t>9,8</w:t>
            </w:r>
          </w:p>
        </w:tc>
        <w:tc>
          <w:tcPr>
            <w:tcW w:w="877" w:type="pct"/>
            <w:tcBorders>
              <w:top w:val="outset" w:sz="6" w:space="0" w:color="auto"/>
              <w:left w:val="outset" w:sz="6" w:space="0" w:color="auto"/>
              <w:bottom w:val="outset" w:sz="6" w:space="0" w:color="auto"/>
              <w:right w:val="outset" w:sz="6" w:space="0" w:color="auto"/>
            </w:tcBorders>
            <w:vAlign w:val="bottom"/>
          </w:tcPr>
          <w:p>
            <w:pPr>
              <w:spacing w:before="100" w:beforeAutospacing="1" w:after="100" w:afterAutospacing="1"/>
              <w:contextualSpacing/>
              <w:jc w:val="center"/>
              <w:rPr>
                <w:noProof/>
              </w:rPr>
            </w:pPr>
            <w:r>
              <w:rPr>
                <w:noProof/>
              </w:rPr>
              <w:t>4,7</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VI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3,6</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1,0</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contextualSpacing/>
              <w:rPr>
                <w:noProof/>
              </w:rPr>
            </w:pPr>
            <w:r>
              <w:rPr>
                <w:noProof/>
              </w:rPr>
              <w:t>Λιγότερο ρυπογόνα από την κατηγορία EURO VI</w:t>
            </w:r>
          </w:p>
        </w:tc>
        <w:tc>
          <w:tcPr>
            <w:tcW w:w="974" w:type="pct"/>
            <w:tcBorders>
              <w:top w:val="outset" w:sz="6" w:space="0" w:color="auto"/>
              <w:left w:val="outset" w:sz="6" w:space="0" w:color="auto"/>
              <w:bottom w:val="outset" w:sz="6" w:space="0" w:color="auto"/>
              <w:right w:val="outset" w:sz="6" w:space="0" w:color="auto"/>
            </w:tcBorders>
            <w:vAlign w:val="center"/>
            <w:hideMark/>
          </w:tcPr>
          <w:p>
            <w:pPr>
              <w:spacing w:before="100" w:beforeAutospacing="1" w:after="100" w:afterAutospacing="1"/>
              <w:contextualSpacing/>
              <w:jc w:val="center"/>
              <w:rPr>
                <w:noProof/>
              </w:rPr>
            </w:pPr>
            <w:r>
              <w:rPr>
                <w:noProof/>
              </w:rPr>
              <w:t>2,5</w:t>
            </w:r>
          </w:p>
        </w:tc>
        <w:tc>
          <w:tcPr>
            <w:tcW w:w="877" w:type="pct"/>
            <w:tcBorders>
              <w:top w:val="outset" w:sz="6" w:space="0" w:color="auto"/>
              <w:left w:val="outset" w:sz="6" w:space="0" w:color="auto"/>
              <w:bottom w:val="outset" w:sz="6" w:space="0" w:color="auto"/>
              <w:right w:val="outset" w:sz="6" w:space="0" w:color="auto"/>
            </w:tcBorders>
            <w:vAlign w:val="center"/>
            <w:hideMark/>
          </w:tcPr>
          <w:p>
            <w:pPr>
              <w:spacing w:before="100" w:beforeAutospacing="1" w:after="100" w:afterAutospacing="1"/>
              <w:contextualSpacing/>
              <w:jc w:val="center"/>
              <w:rPr>
                <w:noProof/>
              </w:rPr>
            </w:pPr>
            <w:r>
              <w:rPr>
                <w:noProof/>
              </w:rPr>
              <w:t>0,3</w:t>
            </w:r>
          </w:p>
        </w:tc>
      </w:tr>
    </w:tbl>
    <w:p>
      <w:pPr>
        <w:rPr>
          <w:rFonts w:eastAsia="Arial Unicode MS"/>
          <w:noProof/>
        </w:rPr>
      </w:pPr>
      <w:r>
        <w:rPr>
          <w:noProof/>
          <w:vertAlign w:val="superscript"/>
        </w:rPr>
        <w:t xml:space="preserve">(1) </w:t>
      </w:r>
      <w:r>
        <w:rPr>
          <w:noProof/>
        </w:rPr>
        <w:t>«Προαστιακές» είναι οι περιοχές με πυκνότητα πληθυσμού μεταξύ 150 και 900 κατοίκων/km</w:t>
      </w:r>
      <w:r>
        <w:rPr>
          <w:noProof/>
          <w:vertAlign w:val="superscript"/>
        </w:rPr>
        <w:t>2</w:t>
      </w:r>
      <w:r>
        <w:rPr>
          <w:noProof/>
        </w:rPr>
        <w:t xml:space="preserve"> (μέση πυκνότητα πληθυσμού 300 κατοίκων/km</w:t>
      </w:r>
      <w:r>
        <w:rPr>
          <w:noProof/>
          <w:vertAlign w:val="superscript"/>
        </w:rPr>
        <w:t>2</w:t>
      </w:r>
      <w:r>
        <w:rPr>
          <w:noProof/>
        </w:rPr>
        <w:t>).</w:t>
      </w:r>
    </w:p>
    <w:p>
      <w:pPr>
        <w:rPr>
          <w:rFonts w:eastAsia="Arial Unicode MS"/>
          <w:noProof/>
          <w:szCs w:val="24"/>
        </w:rPr>
      </w:pPr>
      <w:r>
        <w:rPr>
          <w:noProof/>
          <w:vertAlign w:val="superscript"/>
        </w:rPr>
        <w:t>(2)</w:t>
      </w:r>
      <w:r>
        <w:rPr>
          <w:noProof/>
        </w:rPr>
        <w:tab/>
        <w:t>«Υπεραστικές» είναι οι περιοχές με πυκνότητα πληθυσμού κάτω των 150 κατοίκων/km</w:t>
      </w:r>
      <w:r>
        <w:rPr>
          <w:noProof/>
          <w:vertAlign w:val="superscript"/>
        </w:rPr>
        <w:t>2</w:t>
      </w:r>
      <w:r>
        <w:rPr>
          <w:noProof/>
        </w:rPr>
        <w:t>.</w:t>
      </w:r>
    </w:p>
    <w:p>
      <w:pPr>
        <w:spacing w:before="100" w:beforeAutospacing="1" w:after="100" w:afterAutospacing="1"/>
        <w:ind w:left="800" w:hanging="400"/>
        <w:rPr>
          <w:rFonts w:eastAsia="Arial Unicode MS"/>
          <w:i/>
          <w:iCs/>
          <w:noProof/>
        </w:rPr>
      </w:pPr>
      <w:r>
        <w:rPr>
          <w:i/>
          <w:noProof/>
        </w:rPr>
        <w:t>Πίνακας 2: τιμές αναφοράς του τέλους εξωτερικού κόστους για τα πούλμαν</w:t>
      </w:r>
    </w:p>
    <w:tbl>
      <w:tblPr>
        <w:tblW w:w="8710"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30"/>
        <w:gridCol w:w="3248"/>
        <w:gridCol w:w="1633"/>
        <w:gridCol w:w="1599"/>
      </w:tblGrid>
      <w:tr>
        <w:trPr>
          <w:tblCellSpacing w:w="0" w:type="dxa"/>
          <w:jc w:val="center"/>
        </w:trPr>
        <w:tc>
          <w:tcPr>
            <w:tcW w:w="1362" w:type="pct"/>
            <w:tcBorders>
              <w:top w:val="outset" w:sz="6" w:space="0" w:color="auto"/>
              <w:left w:val="outset" w:sz="6" w:space="0" w:color="auto"/>
              <w:bottom w:val="outset" w:sz="6" w:space="0" w:color="auto"/>
              <w:right w:val="outset" w:sz="6" w:space="0" w:color="auto"/>
            </w:tcBorders>
          </w:tcPr>
          <w:p>
            <w:pPr>
              <w:spacing w:before="100" w:beforeAutospacing="1" w:after="100" w:afterAutospacing="1"/>
              <w:rPr>
                <w:b/>
                <w:bCs/>
                <w:noProof/>
              </w:rPr>
            </w:pPr>
            <w:r>
              <w:rPr>
                <w:b/>
                <w:noProof/>
              </w:rPr>
              <w:t>Κατηγορία οχήματος</w:t>
            </w: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b/>
                <w:bCs/>
                <w:noProof/>
              </w:rPr>
            </w:pPr>
            <w:r>
              <w:rPr>
                <w:b/>
                <w:noProof/>
              </w:rPr>
              <w:t>ευρωλεπτά/οχηματοχιλιόμετρο</w:t>
            </w:r>
          </w:p>
        </w:tc>
        <w:tc>
          <w:tcPr>
            <w:tcW w:w="981"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jc w:val="center"/>
              <w:rPr>
                <w:b/>
                <w:bCs/>
                <w:noProof/>
              </w:rPr>
            </w:pPr>
            <w:r>
              <w:rPr>
                <w:b/>
                <w:noProof/>
              </w:rPr>
              <w:t>Προαστιακές</w:t>
            </w:r>
            <w:r>
              <w:rPr>
                <w:b/>
                <w:noProof/>
                <w:vertAlign w:val="superscript"/>
              </w:rPr>
              <w:t>(1)</w:t>
            </w:r>
          </w:p>
        </w:tc>
        <w:tc>
          <w:tcPr>
            <w:tcW w:w="872"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jc w:val="center"/>
              <w:rPr>
                <w:b/>
                <w:bCs/>
                <w:noProof/>
              </w:rPr>
            </w:pPr>
            <w:r>
              <w:rPr>
                <w:b/>
                <w:noProof/>
              </w:rPr>
              <w:t>Υπεραστικές</w:t>
            </w:r>
            <w:r>
              <w:rPr>
                <w:b/>
                <w:noProof/>
                <w:vertAlign w:val="superscript"/>
              </w:rPr>
              <w:t>(2)</w:t>
            </w:r>
          </w:p>
        </w:tc>
      </w:tr>
      <w:tr>
        <w:trPr>
          <w:tblCellSpacing w:w="0" w:type="dxa"/>
          <w:jc w:val="center"/>
        </w:trPr>
        <w:tc>
          <w:tcPr>
            <w:tcW w:w="1362" w:type="pct"/>
            <w:vMerge w:val="restart"/>
            <w:tcBorders>
              <w:top w:val="outset" w:sz="6" w:space="0" w:color="auto"/>
              <w:left w:val="outset" w:sz="6" w:space="0" w:color="auto"/>
              <w:right w:val="outset" w:sz="6" w:space="0" w:color="auto"/>
            </w:tcBorders>
          </w:tcPr>
          <w:p>
            <w:pPr>
              <w:spacing w:before="100" w:beforeAutospacing="1" w:after="100" w:afterAutospacing="1"/>
              <w:rPr>
                <w:noProof/>
              </w:rPr>
            </w:pPr>
            <w:r>
              <w:rPr>
                <w:noProof/>
              </w:rPr>
              <w:t>Πούλμαν με μέγιστο επιτρεπόμενο μεικτό βάρος 18 τόνων</w:t>
            </w:r>
          </w:p>
          <w:p>
            <w:pPr>
              <w:spacing w:before="100" w:beforeAutospacing="1" w:after="100" w:afterAutospacing="1"/>
              <w:rPr>
                <w:noProof/>
              </w:rPr>
            </w:pPr>
            <w:r>
              <w:rPr>
                <w:noProof/>
              </w:rPr>
              <w:t>ή διαξονικό</w:t>
            </w: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0</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20,3</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13,1</w:t>
            </w:r>
          </w:p>
        </w:tc>
      </w:tr>
      <w:tr>
        <w:trPr>
          <w:tblCellSpacing w:w="0" w:type="dxa"/>
          <w:jc w:val="center"/>
        </w:trPr>
        <w:tc>
          <w:tcPr>
            <w:tcW w:w="1362" w:type="pct"/>
            <w:vMerge/>
            <w:tcBorders>
              <w:left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16,0</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10,4</w:t>
            </w:r>
          </w:p>
        </w:tc>
      </w:tr>
      <w:tr>
        <w:trPr>
          <w:tblCellSpacing w:w="0" w:type="dxa"/>
          <w:jc w:val="center"/>
        </w:trPr>
        <w:tc>
          <w:tcPr>
            <w:tcW w:w="1362" w:type="pct"/>
            <w:vMerge/>
            <w:tcBorders>
              <w:left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II</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15,6</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9,9</w:t>
            </w:r>
          </w:p>
        </w:tc>
      </w:tr>
      <w:tr>
        <w:trPr>
          <w:tblCellSpacing w:w="0" w:type="dxa"/>
          <w:jc w:val="center"/>
        </w:trPr>
        <w:tc>
          <w:tcPr>
            <w:tcW w:w="1362" w:type="pct"/>
            <w:vMerge/>
            <w:tcBorders>
              <w:left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III</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13,9</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8,5</w:t>
            </w:r>
          </w:p>
        </w:tc>
      </w:tr>
      <w:tr>
        <w:trPr>
          <w:tblCellSpacing w:w="0" w:type="dxa"/>
          <w:jc w:val="center"/>
        </w:trPr>
        <w:tc>
          <w:tcPr>
            <w:tcW w:w="1362" w:type="pct"/>
            <w:vMerge/>
            <w:tcBorders>
              <w:left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IV</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10,0</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5,7</w:t>
            </w:r>
          </w:p>
        </w:tc>
      </w:tr>
      <w:tr>
        <w:trPr>
          <w:tblCellSpacing w:w="0" w:type="dxa"/>
          <w:jc w:val="center"/>
        </w:trPr>
        <w:tc>
          <w:tcPr>
            <w:tcW w:w="1362" w:type="pct"/>
            <w:vMerge/>
            <w:tcBorders>
              <w:left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V</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9,0</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5,0</w:t>
            </w:r>
          </w:p>
        </w:tc>
      </w:tr>
      <w:tr>
        <w:trPr>
          <w:tblCellSpacing w:w="0" w:type="dxa"/>
          <w:jc w:val="center"/>
        </w:trPr>
        <w:tc>
          <w:tcPr>
            <w:tcW w:w="1362" w:type="pct"/>
            <w:vMerge/>
            <w:tcBorders>
              <w:left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VI</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2,8</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0,8</w:t>
            </w:r>
          </w:p>
        </w:tc>
      </w:tr>
      <w:tr>
        <w:trPr>
          <w:tblCellSpacing w:w="0" w:type="dxa"/>
          <w:jc w:val="center"/>
        </w:trPr>
        <w:tc>
          <w:tcPr>
            <w:tcW w:w="1362"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Λιγότερο ρυπογόνα από την κατηγορία EURO VI</w:t>
            </w:r>
          </w:p>
        </w:tc>
        <w:tc>
          <w:tcPr>
            <w:tcW w:w="981" w:type="pct"/>
            <w:tcBorders>
              <w:top w:val="outset" w:sz="6" w:space="0" w:color="auto"/>
              <w:left w:val="outset" w:sz="6" w:space="0" w:color="auto"/>
              <w:bottom w:val="outset" w:sz="6" w:space="0" w:color="auto"/>
              <w:right w:val="outset" w:sz="6" w:space="0" w:color="auto"/>
            </w:tcBorders>
            <w:vAlign w:val="center"/>
            <w:hideMark/>
          </w:tcPr>
          <w:p>
            <w:pPr>
              <w:spacing w:before="100" w:beforeAutospacing="1" w:after="100" w:afterAutospacing="1"/>
              <w:contextualSpacing/>
              <w:jc w:val="center"/>
              <w:rPr>
                <w:noProof/>
              </w:rPr>
            </w:pPr>
            <w:r>
              <w:rPr>
                <w:noProof/>
              </w:rPr>
              <w:t>1,4</w:t>
            </w:r>
          </w:p>
        </w:tc>
        <w:tc>
          <w:tcPr>
            <w:tcW w:w="872" w:type="pct"/>
            <w:tcBorders>
              <w:top w:val="outset" w:sz="6" w:space="0" w:color="auto"/>
              <w:left w:val="outset" w:sz="6" w:space="0" w:color="auto"/>
              <w:bottom w:val="outset" w:sz="6" w:space="0" w:color="auto"/>
              <w:right w:val="outset" w:sz="6" w:space="0" w:color="auto"/>
            </w:tcBorders>
            <w:vAlign w:val="center"/>
            <w:hideMark/>
          </w:tcPr>
          <w:p>
            <w:pPr>
              <w:spacing w:before="100" w:beforeAutospacing="1" w:after="100" w:afterAutospacing="1"/>
              <w:contextualSpacing/>
              <w:jc w:val="center"/>
              <w:rPr>
                <w:noProof/>
              </w:rPr>
            </w:pPr>
            <w:r>
              <w:rPr>
                <w:noProof/>
              </w:rPr>
              <w:t>0,2</w:t>
            </w:r>
          </w:p>
        </w:tc>
      </w:tr>
      <w:tr>
        <w:trPr>
          <w:tblCellSpacing w:w="0" w:type="dxa"/>
          <w:jc w:val="center"/>
        </w:trPr>
        <w:tc>
          <w:tcPr>
            <w:tcW w:w="1362" w:type="pct"/>
            <w:vMerge w:val="restart"/>
            <w:tcBorders>
              <w:left w:val="outset" w:sz="6" w:space="0" w:color="auto"/>
              <w:bottom w:val="outset" w:sz="6" w:space="0" w:color="auto"/>
              <w:right w:val="outset" w:sz="6" w:space="0" w:color="auto"/>
            </w:tcBorders>
          </w:tcPr>
          <w:p>
            <w:pPr>
              <w:spacing w:before="100" w:beforeAutospacing="1" w:after="100" w:afterAutospacing="1"/>
              <w:rPr>
                <w:noProof/>
              </w:rPr>
            </w:pPr>
            <w:r>
              <w:rPr>
                <w:noProof/>
              </w:rPr>
              <w:t xml:space="preserve">Πούλμαν με μέγιστο επιτρεπόμενο μεικτό βάρος άνω των 18 </w:t>
            </w:r>
            <w:r>
              <w:rPr>
                <w:noProof/>
              </w:rPr>
              <w:lastRenderedPageBreak/>
              <w:t>τόνων</w:t>
            </w:r>
          </w:p>
          <w:p>
            <w:pPr>
              <w:spacing w:before="100" w:beforeAutospacing="1" w:after="100" w:afterAutospacing="1"/>
              <w:rPr>
                <w:noProof/>
              </w:rPr>
            </w:pPr>
            <w:r>
              <w:rPr>
                <w:noProof/>
              </w:rPr>
              <w:t>ή με τρεις ή περισσότερους άξονες</w:t>
            </w: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lastRenderedPageBreak/>
              <w:t>EURO 0</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24,9</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16,2</w:t>
            </w:r>
          </w:p>
        </w:tc>
      </w:tr>
      <w:tr>
        <w:trPr>
          <w:tblCellSpacing w:w="0" w:type="dxa"/>
          <w:jc w:val="center"/>
        </w:trPr>
        <w:tc>
          <w:tcPr>
            <w:tcW w:w="1362"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19,2</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12,3</w:t>
            </w:r>
          </w:p>
        </w:tc>
      </w:tr>
      <w:tr>
        <w:trPr>
          <w:tblCellSpacing w:w="0" w:type="dxa"/>
          <w:jc w:val="center"/>
        </w:trPr>
        <w:tc>
          <w:tcPr>
            <w:tcW w:w="1362"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II</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18,5</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12,0</w:t>
            </w:r>
          </w:p>
        </w:tc>
      </w:tr>
      <w:tr>
        <w:trPr>
          <w:tblCellSpacing w:w="0" w:type="dxa"/>
          <w:jc w:val="center"/>
        </w:trPr>
        <w:tc>
          <w:tcPr>
            <w:tcW w:w="1362"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III</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15,7</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9,8</w:t>
            </w:r>
          </w:p>
        </w:tc>
      </w:tr>
      <w:tr>
        <w:trPr>
          <w:tblCellSpacing w:w="0" w:type="dxa"/>
          <w:jc w:val="center"/>
        </w:trPr>
        <w:tc>
          <w:tcPr>
            <w:tcW w:w="1362"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IV</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10,6</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6,6</w:t>
            </w:r>
          </w:p>
        </w:tc>
      </w:tr>
      <w:tr>
        <w:trPr>
          <w:tblCellSpacing w:w="0" w:type="dxa"/>
          <w:jc w:val="center"/>
        </w:trPr>
        <w:tc>
          <w:tcPr>
            <w:tcW w:w="1362"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V</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10,2</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5,2</w:t>
            </w:r>
          </w:p>
        </w:tc>
      </w:tr>
      <w:tr>
        <w:trPr>
          <w:tblCellSpacing w:w="0" w:type="dxa"/>
          <w:jc w:val="center"/>
        </w:trPr>
        <w:tc>
          <w:tcPr>
            <w:tcW w:w="1362"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VI</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2,8</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0,8</w:t>
            </w:r>
          </w:p>
        </w:tc>
      </w:tr>
      <w:tr>
        <w:trPr>
          <w:tblCellSpacing w:w="0" w:type="dxa"/>
          <w:jc w:val="center"/>
        </w:trPr>
        <w:tc>
          <w:tcPr>
            <w:tcW w:w="1362"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Λιγότερο ρυπογόνα από την κατηγορία EURO VI</w:t>
            </w:r>
          </w:p>
        </w:tc>
        <w:tc>
          <w:tcPr>
            <w:tcW w:w="981" w:type="pct"/>
            <w:tcBorders>
              <w:top w:val="outset" w:sz="6" w:space="0" w:color="auto"/>
              <w:left w:val="outset" w:sz="6" w:space="0" w:color="auto"/>
              <w:bottom w:val="outset" w:sz="6" w:space="0" w:color="auto"/>
              <w:right w:val="outset" w:sz="6" w:space="0" w:color="auto"/>
            </w:tcBorders>
            <w:vAlign w:val="center"/>
            <w:hideMark/>
          </w:tcPr>
          <w:p>
            <w:pPr>
              <w:spacing w:before="100" w:beforeAutospacing="1" w:after="100" w:afterAutospacing="1"/>
              <w:contextualSpacing/>
              <w:jc w:val="center"/>
              <w:rPr>
                <w:noProof/>
              </w:rPr>
            </w:pPr>
            <w:r>
              <w:rPr>
                <w:noProof/>
              </w:rPr>
              <w:t>1,4</w:t>
            </w:r>
          </w:p>
        </w:tc>
        <w:tc>
          <w:tcPr>
            <w:tcW w:w="872" w:type="pct"/>
            <w:tcBorders>
              <w:top w:val="outset" w:sz="6" w:space="0" w:color="auto"/>
              <w:left w:val="outset" w:sz="6" w:space="0" w:color="auto"/>
              <w:bottom w:val="outset" w:sz="6" w:space="0" w:color="auto"/>
              <w:right w:val="outset" w:sz="6" w:space="0" w:color="auto"/>
            </w:tcBorders>
            <w:vAlign w:val="center"/>
            <w:hideMark/>
          </w:tcPr>
          <w:p>
            <w:pPr>
              <w:spacing w:before="100" w:beforeAutospacing="1" w:after="100" w:afterAutospacing="1"/>
              <w:contextualSpacing/>
              <w:jc w:val="center"/>
              <w:rPr>
                <w:noProof/>
              </w:rPr>
            </w:pPr>
            <w:r>
              <w:rPr>
                <w:noProof/>
              </w:rPr>
              <w:t>0,2</w:t>
            </w:r>
          </w:p>
        </w:tc>
      </w:tr>
    </w:tbl>
    <w:p>
      <w:pPr>
        <w:rPr>
          <w:rFonts w:eastAsia="Arial Unicode MS"/>
          <w:noProof/>
        </w:rPr>
      </w:pPr>
      <w:r>
        <w:rPr>
          <w:noProof/>
          <w:vertAlign w:val="superscript"/>
        </w:rPr>
        <w:t xml:space="preserve">(1) </w:t>
      </w:r>
      <w:r>
        <w:rPr>
          <w:noProof/>
        </w:rPr>
        <w:t>«Προαστιακές» είναι οι περιοχές με πυκνότητα πληθυσμού μεταξύ 150 και 900 κατοίκων/km</w:t>
      </w:r>
      <w:r>
        <w:rPr>
          <w:noProof/>
          <w:vertAlign w:val="superscript"/>
        </w:rPr>
        <w:t>2</w:t>
      </w:r>
      <w:r>
        <w:rPr>
          <w:noProof/>
        </w:rPr>
        <w:t xml:space="preserve"> (μέση πυκνότητα πληθυσμού 300 κατοίκων/km</w:t>
      </w:r>
      <w:r>
        <w:rPr>
          <w:noProof/>
          <w:vertAlign w:val="superscript"/>
        </w:rPr>
        <w:t>2</w:t>
      </w:r>
      <w:r>
        <w:rPr>
          <w:noProof/>
        </w:rPr>
        <w:t>).</w:t>
      </w:r>
    </w:p>
    <w:p>
      <w:pPr>
        <w:rPr>
          <w:noProof/>
        </w:rPr>
      </w:pPr>
      <w:r>
        <w:rPr>
          <w:noProof/>
          <w:vertAlign w:val="superscript"/>
        </w:rPr>
        <w:t xml:space="preserve">(2) </w:t>
      </w:r>
      <w:r>
        <w:rPr>
          <w:noProof/>
        </w:rPr>
        <w:t>«Υπεραστικές» είναι οι περιοχές με πυκνότητα πληθυσμού κάτω των 150 κατοίκων/km</w:t>
      </w:r>
      <w:r>
        <w:rPr>
          <w:noProof/>
          <w:vertAlign w:val="superscript"/>
        </w:rPr>
        <w:t>2</w:t>
      </w:r>
      <w:r>
        <w:rPr>
          <w:noProof/>
        </w:rPr>
        <w:t>.</w:t>
      </w:r>
    </w:p>
    <w:p>
      <w:pPr>
        <w:rPr>
          <w:noProof/>
        </w:rPr>
      </w:pPr>
    </w:p>
    <w:p>
      <w:pPr>
        <w:rPr>
          <w:noProof/>
        </w:rPr>
      </w:pPr>
      <w:r>
        <w:rPr>
          <w:noProof/>
        </w:rPr>
        <w:t>Οι τιμές του πίνακα 1 και του πίνακα 2 είναι δυνατόν να πολλαπλασιαστούν επί συντελεστή έως 2 σε ορεινές περιοχές και γύρω από οικισμούς, εφόσον αυτό δικαιολογείται από τη χαμηλότερη διασπορά, την κλίση του οδοστρώματος, το υψόμετρο ή τις αναστροφές θερμοκρασίας.»·</w:t>
      </w:r>
    </w:p>
    <w:p>
      <w:pPr>
        <w:rPr>
          <w:noProof/>
        </w:rPr>
      </w:pPr>
    </w:p>
    <w:p>
      <w:pPr>
        <w:rPr>
          <w:noProof/>
        </w:rPr>
      </w:pPr>
      <w:r>
        <w:rPr>
          <w:noProof/>
        </w:rPr>
        <w:t>ε)</w:t>
      </w:r>
      <w:r>
        <w:rPr>
          <w:noProof/>
        </w:rPr>
        <w:tab/>
        <w:t>Στο παράρτημα IV, ο πίνακας με τίτλο «Συνδυασμοί οχημάτων (αρθρωτά οχήματα και οδικοί συρμοί)» αντικαθίσταται από το ακόλουθο κείμενο:</w:t>
      </w:r>
    </w:p>
    <w:p>
      <w:pPr>
        <w:pStyle w:val="ManualHeading1"/>
        <w:ind w:left="851" w:hanging="851"/>
        <w:rPr>
          <w:noProof/>
        </w:rPr>
      </w:pPr>
      <w:r>
        <w:rPr>
          <w:b w:val="0"/>
          <w:noProof/>
        </w:rPr>
        <w:t>«</w:t>
      </w:r>
      <w:r>
        <w:rPr>
          <w:noProof/>
        </w:rPr>
        <w:t>Συνδυασμοί οχημάτων (αρθρωτά οχήματα και οδικοί συρμοί)</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2"/>
        <w:gridCol w:w="48"/>
        <w:gridCol w:w="1929"/>
        <w:gridCol w:w="13"/>
        <w:gridCol w:w="21"/>
        <w:gridCol w:w="1802"/>
        <w:gridCol w:w="27"/>
        <w:gridCol w:w="1943"/>
        <w:gridCol w:w="6"/>
        <w:gridCol w:w="1659"/>
        <w:gridCol w:w="36"/>
      </w:tblGrid>
      <w:tr>
        <w:trPr>
          <w:gridAfter w:val="1"/>
          <w:wAfter w:w="36" w:type="dxa"/>
        </w:trPr>
        <w:tc>
          <w:tcPr>
            <w:tcW w:w="3807" w:type="dxa"/>
            <w:gridSpan w:val="4"/>
          </w:tcPr>
          <w:p>
            <w:pPr>
              <w:jc w:val="center"/>
              <w:rPr>
                <w:noProof/>
              </w:rPr>
            </w:pPr>
            <w:r>
              <w:rPr>
                <w:noProof/>
              </w:rPr>
              <w:t>Ανάρτηση πεπιεσμένου αέρα στους κινητήριους άξονες ή σύστημα αναγνωρισμένο ως ισοδύναμο</w:t>
            </w:r>
          </w:p>
        </w:tc>
        <w:tc>
          <w:tcPr>
            <w:tcW w:w="3808" w:type="dxa"/>
            <w:gridSpan w:val="4"/>
          </w:tcPr>
          <w:p>
            <w:pPr>
              <w:jc w:val="center"/>
              <w:rPr>
                <w:noProof/>
              </w:rPr>
            </w:pPr>
            <w:r>
              <w:rPr>
                <w:noProof/>
              </w:rPr>
              <w:t>Άλλα συστήματα ανάρτησης στους κινητήριους άξονες</w:t>
            </w:r>
          </w:p>
        </w:tc>
        <w:tc>
          <w:tcPr>
            <w:tcW w:w="1671" w:type="dxa"/>
            <w:gridSpan w:val="2"/>
          </w:tcPr>
          <w:p>
            <w:pPr>
              <w:jc w:val="center"/>
              <w:rPr>
                <w:noProof/>
              </w:rPr>
            </w:pPr>
            <w:r>
              <w:rPr>
                <w:noProof/>
              </w:rPr>
              <w:t>Κατηγορία ζημιών</w:t>
            </w:r>
          </w:p>
        </w:tc>
      </w:tr>
      <w:tr>
        <w:trPr>
          <w:gridAfter w:val="1"/>
          <w:wAfter w:w="36" w:type="dxa"/>
        </w:trPr>
        <w:tc>
          <w:tcPr>
            <w:tcW w:w="3807" w:type="dxa"/>
            <w:gridSpan w:val="4"/>
          </w:tcPr>
          <w:p>
            <w:pPr>
              <w:jc w:val="center"/>
              <w:rPr>
                <w:noProof/>
              </w:rPr>
            </w:pPr>
            <w:r>
              <w:rPr>
                <w:noProof/>
              </w:rPr>
              <w:t>Αριθμός αξόνων και μέγιστο επιτρεπόμενο μεικτό βάρος (σε τόνους)</w:t>
            </w:r>
          </w:p>
        </w:tc>
        <w:tc>
          <w:tcPr>
            <w:tcW w:w="3808" w:type="dxa"/>
            <w:gridSpan w:val="4"/>
          </w:tcPr>
          <w:p>
            <w:pPr>
              <w:jc w:val="center"/>
              <w:rPr>
                <w:noProof/>
              </w:rPr>
            </w:pPr>
            <w:r>
              <w:rPr>
                <w:noProof/>
              </w:rPr>
              <w:t>Αριθμός αξόνων και μέγιστο επιτρεπόμενο μεικτό βάρος (σε τόνους)</w:t>
            </w:r>
          </w:p>
        </w:tc>
        <w:tc>
          <w:tcPr>
            <w:tcW w:w="1671" w:type="dxa"/>
            <w:gridSpan w:val="2"/>
          </w:tcPr>
          <w:p>
            <w:pPr>
              <w:jc w:val="center"/>
              <w:rPr>
                <w:noProof/>
              </w:rPr>
            </w:pPr>
          </w:p>
        </w:tc>
      </w:tr>
      <w:tr>
        <w:trPr>
          <w:gridAfter w:val="1"/>
          <w:wAfter w:w="36" w:type="dxa"/>
        </w:trPr>
        <w:tc>
          <w:tcPr>
            <w:tcW w:w="1857" w:type="dxa"/>
            <w:gridSpan w:val="2"/>
          </w:tcPr>
          <w:p>
            <w:pPr>
              <w:jc w:val="center"/>
              <w:rPr>
                <w:noProof/>
              </w:rPr>
            </w:pPr>
            <w:r>
              <w:rPr>
                <w:noProof/>
              </w:rPr>
              <w:t>Τουλάχιστον</w:t>
            </w:r>
          </w:p>
        </w:tc>
        <w:tc>
          <w:tcPr>
            <w:tcW w:w="1950" w:type="dxa"/>
            <w:gridSpan w:val="2"/>
          </w:tcPr>
          <w:p>
            <w:pPr>
              <w:jc w:val="center"/>
              <w:rPr>
                <w:noProof/>
              </w:rPr>
            </w:pPr>
            <w:r>
              <w:rPr>
                <w:noProof/>
              </w:rPr>
              <w:t>Μικρότερο των</w:t>
            </w:r>
          </w:p>
        </w:tc>
        <w:tc>
          <w:tcPr>
            <w:tcW w:w="1857" w:type="dxa"/>
            <w:gridSpan w:val="3"/>
          </w:tcPr>
          <w:p>
            <w:pPr>
              <w:jc w:val="center"/>
              <w:rPr>
                <w:noProof/>
              </w:rPr>
            </w:pPr>
            <w:r>
              <w:rPr>
                <w:noProof/>
              </w:rPr>
              <w:t>Τουλάχιστον</w:t>
            </w:r>
          </w:p>
        </w:tc>
        <w:tc>
          <w:tcPr>
            <w:tcW w:w="1951" w:type="dxa"/>
          </w:tcPr>
          <w:p>
            <w:pPr>
              <w:jc w:val="center"/>
              <w:rPr>
                <w:noProof/>
              </w:rPr>
            </w:pPr>
            <w:r>
              <w:rPr>
                <w:noProof/>
              </w:rPr>
              <w:t>Μικρότερο των</w:t>
            </w:r>
          </w:p>
        </w:tc>
        <w:tc>
          <w:tcPr>
            <w:tcW w:w="1671" w:type="dxa"/>
            <w:gridSpan w:val="2"/>
          </w:tcPr>
          <w:p>
            <w:pPr>
              <w:jc w:val="center"/>
              <w:rPr>
                <w:noProof/>
              </w:rPr>
            </w:pPr>
          </w:p>
        </w:tc>
      </w:tr>
      <w:tr>
        <w:trPr>
          <w:gridAfter w:val="1"/>
          <w:wAfter w:w="36" w:type="dxa"/>
        </w:trPr>
        <w:tc>
          <w:tcPr>
            <w:tcW w:w="7615" w:type="dxa"/>
            <w:gridSpan w:val="8"/>
          </w:tcPr>
          <w:p>
            <w:pPr>
              <w:jc w:val="left"/>
              <w:rPr>
                <w:noProof/>
              </w:rPr>
            </w:pPr>
            <w:r>
              <w:rPr>
                <w:i/>
                <w:noProof/>
              </w:rPr>
              <w:t>2 + 1 άξονες</w:t>
            </w:r>
          </w:p>
        </w:tc>
        <w:tc>
          <w:tcPr>
            <w:tcW w:w="1671" w:type="dxa"/>
            <w:gridSpan w:val="2"/>
          </w:tcPr>
          <w:p>
            <w:pPr>
              <w:jc w:val="left"/>
              <w:rPr>
                <w:noProof/>
              </w:rPr>
            </w:pPr>
          </w:p>
        </w:tc>
      </w:tr>
      <w:tr>
        <w:trPr>
          <w:gridAfter w:val="1"/>
          <w:wAfter w:w="36" w:type="dxa"/>
        </w:trPr>
        <w:tc>
          <w:tcPr>
            <w:tcW w:w="1857" w:type="dxa"/>
            <w:gridSpan w:val="2"/>
          </w:tcPr>
          <w:p>
            <w:pPr>
              <w:jc w:val="left"/>
              <w:rPr>
                <w:noProof/>
              </w:rPr>
            </w:pPr>
            <w:r>
              <w:rPr>
                <w:noProof/>
              </w:rPr>
              <w:t>7,5</w:t>
            </w:r>
          </w:p>
          <w:p>
            <w:pPr>
              <w:jc w:val="left"/>
              <w:rPr>
                <w:noProof/>
              </w:rPr>
            </w:pPr>
            <w:r>
              <w:rPr>
                <w:noProof/>
              </w:rPr>
              <w:t>12</w:t>
            </w:r>
          </w:p>
          <w:p>
            <w:pPr>
              <w:jc w:val="left"/>
              <w:rPr>
                <w:noProof/>
              </w:rPr>
            </w:pPr>
            <w:r>
              <w:rPr>
                <w:noProof/>
              </w:rPr>
              <w:t>14</w:t>
            </w:r>
          </w:p>
          <w:p>
            <w:pPr>
              <w:jc w:val="left"/>
              <w:rPr>
                <w:noProof/>
              </w:rPr>
            </w:pPr>
            <w:r>
              <w:rPr>
                <w:noProof/>
              </w:rPr>
              <w:t>16</w:t>
            </w:r>
          </w:p>
          <w:p>
            <w:pPr>
              <w:jc w:val="left"/>
              <w:rPr>
                <w:noProof/>
              </w:rPr>
            </w:pPr>
            <w:r>
              <w:rPr>
                <w:noProof/>
              </w:rPr>
              <w:t>18</w:t>
            </w:r>
          </w:p>
          <w:p>
            <w:pPr>
              <w:jc w:val="left"/>
              <w:rPr>
                <w:noProof/>
              </w:rPr>
            </w:pPr>
            <w:r>
              <w:rPr>
                <w:noProof/>
              </w:rPr>
              <w:t>20</w:t>
            </w:r>
          </w:p>
          <w:p>
            <w:pPr>
              <w:jc w:val="left"/>
              <w:rPr>
                <w:noProof/>
              </w:rPr>
            </w:pPr>
            <w:r>
              <w:rPr>
                <w:noProof/>
              </w:rPr>
              <w:t>22</w:t>
            </w:r>
          </w:p>
          <w:p>
            <w:pPr>
              <w:jc w:val="left"/>
              <w:rPr>
                <w:noProof/>
              </w:rPr>
            </w:pPr>
            <w:r>
              <w:rPr>
                <w:noProof/>
              </w:rPr>
              <w:t>23</w:t>
            </w:r>
          </w:p>
          <w:p>
            <w:pPr>
              <w:jc w:val="left"/>
              <w:rPr>
                <w:noProof/>
              </w:rPr>
            </w:pPr>
            <w:r>
              <w:rPr>
                <w:noProof/>
              </w:rPr>
              <w:t>25</w:t>
            </w:r>
          </w:p>
        </w:tc>
        <w:tc>
          <w:tcPr>
            <w:tcW w:w="1950" w:type="dxa"/>
            <w:gridSpan w:val="2"/>
          </w:tcPr>
          <w:p>
            <w:pPr>
              <w:jc w:val="left"/>
              <w:rPr>
                <w:noProof/>
              </w:rPr>
            </w:pPr>
            <w:r>
              <w:rPr>
                <w:noProof/>
              </w:rPr>
              <w:t>12</w:t>
            </w:r>
          </w:p>
          <w:p>
            <w:pPr>
              <w:jc w:val="left"/>
              <w:rPr>
                <w:noProof/>
              </w:rPr>
            </w:pPr>
            <w:r>
              <w:rPr>
                <w:noProof/>
              </w:rPr>
              <w:t>14</w:t>
            </w:r>
          </w:p>
          <w:p>
            <w:pPr>
              <w:jc w:val="left"/>
              <w:rPr>
                <w:noProof/>
              </w:rPr>
            </w:pPr>
            <w:r>
              <w:rPr>
                <w:noProof/>
              </w:rPr>
              <w:t>16</w:t>
            </w:r>
          </w:p>
          <w:p>
            <w:pPr>
              <w:jc w:val="left"/>
              <w:rPr>
                <w:noProof/>
              </w:rPr>
            </w:pPr>
            <w:r>
              <w:rPr>
                <w:noProof/>
              </w:rPr>
              <w:t>18</w:t>
            </w:r>
          </w:p>
          <w:p>
            <w:pPr>
              <w:jc w:val="left"/>
              <w:rPr>
                <w:noProof/>
              </w:rPr>
            </w:pPr>
            <w:r>
              <w:rPr>
                <w:noProof/>
              </w:rPr>
              <w:t>20</w:t>
            </w:r>
          </w:p>
          <w:p>
            <w:pPr>
              <w:jc w:val="left"/>
              <w:rPr>
                <w:noProof/>
              </w:rPr>
            </w:pPr>
            <w:r>
              <w:rPr>
                <w:noProof/>
              </w:rPr>
              <w:t>22</w:t>
            </w:r>
          </w:p>
          <w:p>
            <w:pPr>
              <w:jc w:val="left"/>
              <w:rPr>
                <w:noProof/>
              </w:rPr>
            </w:pPr>
            <w:r>
              <w:rPr>
                <w:noProof/>
              </w:rPr>
              <w:t>23</w:t>
            </w:r>
          </w:p>
          <w:p>
            <w:pPr>
              <w:jc w:val="left"/>
              <w:rPr>
                <w:noProof/>
              </w:rPr>
            </w:pPr>
            <w:r>
              <w:rPr>
                <w:noProof/>
              </w:rPr>
              <w:t>25</w:t>
            </w:r>
          </w:p>
          <w:p>
            <w:pPr>
              <w:jc w:val="left"/>
              <w:rPr>
                <w:noProof/>
              </w:rPr>
            </w:pPr>
            <w:r>
              <w:rPr>
                <w:noProof/>
              </w:rPr>
              <w:t>28</w:t>
            </w:r>
          </w:p>
        </w:tc>
        <w:tc>
          <w:tcPr>
            <w:tcW w:w="1857" w:type="dxa"/>
            <w:gridSpan w:val="3"/>
          </w:tcPr>
          <w:p>
            <w:pPr>
              <w:jc w:val="left"/>
              <w:rPr>
                <w:noProof/>
              </w:rPr>
            </w:pPr>
            <w:r>
              <w:rPr>
                <w:noProof/>
              </w:rPr>
              <w:t>7,5</w:t>
            </w:r>
          </w:p>
          <w:p>
            <w:pPr>
              <w:jc w:val="left"/>
              <w:rPr>
                <w:noProof/>
              </w:rPr>
            </w:pPr>
            <w:r>
              <w:rPr>
                <w:noProof/>
              </w:rPr>
              <w:t>12</w:t>
            </w:r>
          </w:p>
          <w:p>
            <w:pPr>
              <w:jc w:val="left"/>
              <w:rPr>
                <w:noProof/>
              </w:rPr>
            </w:pPr>
            <w:r>
              <w:rPr>
                <w:noProof/>
              </w:rPr>
              <w:t>14</w:t>
            </w:r>
          </w:p>
          <w:p>
            <w:pPr>
              <w:jc w:val="left"/>
              <w:rPr>
                <w:noProof/>
              </w:rPr>
            </w:pPr>
            <w:r>
              <w:rPr>
                <w:noProof/>
              </w:rPr>
              <w:t>16</w:t>
            </w:r>
          </w:p>
          <w:p>
            <w:pPr>
              <w:jc w:val="left"/>
              <w:rPr>
                <w:noProof/>
              </w:rPr>
            </w:pPr>
            <w:r>
              <w:rPr>
                <w:noProof/>
              </w:rPr>
              <w:t>18</w:t>
            </w:r>
          </w:p>
          <w:p>
            <w:pPr>
              <w:jc w:val="left"/>
              <w:rPr>
                <w:noProof/>
              </w:rPr>
            </w:pPr>
            <w:r>
              <w:rPr>
                <w:noProof/>
              </w:rPr>
              <w:t>20</w:t>
            </w:r>
          </w:p>
          <w:p>
            <w:pPr>
              <w:jc w:val="left"/>
              <w:rPr>
                <w:noProof/>
              </w:rPr>
            </w:pPr>
            <w:r>
              <w:rPr>
                <w:noProof/>
              </w:rPr>
              <w:t>22</w:t>
            </w:r>
          </w:p>
          <w:p>
            <w:pPr>
              <w:jc w:val="left"/>
              <w:rPr>
                <w:noProof/>
              </w:rPr>
            </w:pPr>
            <w:r>
              <w:rPr>
                <w:noProof/>
              </w:rPr>
              <w:t>23</w:t>
            </w:r>
          </w:p>
          <w:p>
            <w:pPr>
              <w:jc w:val="left"/>
              <w:rPr>
                <w:noProof/>
              </w:rPr>
            </w:pPr>
            <w:r>
              <w:rPr>
                <w:noProof/>
              </w:rPr>
              <w:t>25</w:t>
            </w:r>
          </w:p>
        </w:tc>
        <w:tc>
          <w:tcPr>
            <w:tcW w:w="1951" w:type="dxa"/>
          </w:tcPr>
          <w:p>
            <w:pPr>
              <w:jc w:val="left"/>
              <w:rPr>
                <w:noProof/>
              </w:rPr>
            </w:pPr>
            <w:r>
              <w:rPr>
                <w:noProof/>
              </w:rPr>
              <w:t>12</w:t>
            </w:r>
          </w:p>
          <w:p>
            <w:pPr>
              <w:jc w:val="left"/>
              <w:rPr>
                <w:noProof/>
              </w:rPr>
            </w:pPr>
            <w:r>
              <w:rPr>
                <w:noProof/>
              </w:rPr>
              <w:t>14</w:t>
            </w:r>
          </w:p>
          <w:p>
            <w:pPr>
              <w:jc w:val="left"/>
              <w:rPr>
                <w:noProof/>
              </w:rPr>
            </w:pPr>
            <w:r>
              <w:rPr>
                <w:noProof/>
              </w:rPr>
              <w:t>16</w:t>
            </w:r>
          </w:p>
          <w:p>
            <w:pPr>
              <w:jc w:val="left"/>
              <w:rPr>
                <w:noProof/>
              </w:rPr>
            </w:pPr>
            <w:r>
              <w:rPr>
                <w:noProof/>
              </w:rPr>
              <w:t>18</w:t>
            </w:r>
          </w:p>
          <w:p>
            <w:pPr>
              <w:jc w:val="left"/>
              <w:rPr>
                <w:noProof/>
              </w:rPr>
            </w:pPr>
            <w:r>
              <w:rPr>
                <w:noProof/>
              </w:rPr>
              <w:t>20</w:t>
            </w:r>
          </w:p>
          <w:p>
            <w:pPr>
              <w:jc w:val="left"/>
              <w:rPr>
                <w:noProof/>
              </w:rPr>
            </w:pPr>
            <w:r>
              <w:rPr>
                <w:noProof/>
              </w:rPr>
              <w:t>22</w:t>
            </w:r>
          </w:p>
          <w:p>
            <w:pPr>
              <w:jc w:val="left"/>
              <w:rPr>
                <w:noProof/>
              </w:rPr>
            </w:pPr>
            <w:r>
              <w:rPr>
                <w:noProof/>
              </w:rPr>
              <w:t>23</w:t>
            </w:r>
          </w:p>
          <w:p>
            <w:pPr>
              <w:jc w:val="left"/>
              <w:rPr>
                <w:noProof/>
              </w:rPr>
            </w:pPr>
            <w:r>
              <w:rPr>
                <w:noProof/>
              </w:rPr>
              <w:t>25</w:t>
            </w:r>
          </w:p>
          <w:p>
            <w:pPr>
              <w:jc w:val="left"/>
              <w:rPr>
                <w:noProof/>
              </w:rPr>
            </w:pPr>
            <w:r>
              <w:rPr>
                <w:noProof/>
              </w:rPr>
              <w:t>28</w:t>
            </w:r>
          </w:p>
        </w:tc>
        <w:tc>
          <w:tcPr>
            <w:tcW w:w="1671" w:type="dxa"/>
            <w:gridSpan w:val="2"/>
          </w:tcPr>
          <w:p>
            <w:pPr>
              <w:jc w:val="left"/>
              <w:rPr>
                <w:noProof/>
              </w:rPr>
            </w:pPr>
            <w:r>
              <w:rPr>
                <w:noProof/>
              </w:rPr>
              <w:t>I</w:t>
            </w:r>
          </w:p>
        </w:tc>
      </w:tr>
      <w:tr>
        <w:trPr>
          <w:gridAfter w:val="1"/>
          <w:wAfter w:w="36" w:type="dxa"/>
        </w:trPr>
        <w:tc>
          <w:tcPr>
            <w:tcW w:w="7615" w:type="dxa"/>
            <w:gridSpan w:val="8"/>
          </w:tcPr>
          <w:p>
            <w:pPr>
              <w:jc w:val="left"/>
              <w:rPr>
                <w:noProof/>
              </w:rPr>
            </w:pPr>
            <w:r>
              <w:rPr>
                <w:i/>
                <w:noProof/>
              </w:rPr>
              <w:lastRenderedPageBreak/>
              <w:t>2 + 2 άξονες</w:t>
            </w:r>
          </w:p>
        </w:tc>
        <w:tc>
          <w:tcPr>
            <w:tcW w:w="1671" w:type="dxa"/>
            <w:gridSpan w:val="2"/>
          </w:tcPr>
          <w:p>
            <w:pPr>
              <w:jc w:val="left"/>
              <w:rPr>
                <w:noProof/>
              </w:rPr>
            </w:pPr>
          </w:p>
        </w:tc>
      </w:tr>
      <w:tr>
        <w:trPr>
          <w:gridAfter w:val="1"/>
          <w:wAfter w:w="36" w:type="dxa"/>
        </w:trPr>
        <w:tc>
          <w:tcPr>
            <w:tcW w:w="1857" w:type="dxa"/>
            <w:gridSpan w:val="2"/>
          </w:tcPr>
          <w:p>
            <w:pPr>
              <w:jc w:val="left"/>
              <w:rPr>
                <w:noProof/>
              </w:rPr>
            </w:pPr>
            <w:r>
              <w:rPr>
                <w:noProof/>
              </w:rPr>
              <w:t>23</w:t>
            </w:r>
          </w:p>
          <w:p>
            <w:pPr>
              <w:jc w:val="left"/>
              <w:rPr>
                <w:noProof/>
              </w:rPr>
            </w:pPr>
            <w:r>
              <w:rPr>
                <w:noProof/>
              </w:rPr>
              <w:t>25</w:t>
            </w:r>
          </w:p>
          <w:p>
            <w:pPr>
              <w:jc w:val="left"/>
              <w:rPr>
                <w:noProof/>
              </w:rPr>
            </w:pPr>
            <w:r>
              <w:rPr>
                <w:noProof/>
              </w:rPr>
              <w:t>26</w:t>
            </w:r>
          </w:p>
          <w:p>
            <w:pPr>
              <w:jc w:val="left"/>
              <w:rPr>
                <w:noProof/>
              </w:rPr>
            </w:pPr>
            <w:r>
              <w:rPr>
                <w:noProof/>
              </w:rPr>
              <w:t>28</w:t>
            </w:r>
          </w:p>
        </w:tc>
        <w:tc>
          <w:tcPr>
            <w:tcW w:w="1950" w:type="dxa"/>
            <w:gridSpan w:val="2"/>
          </w:tcPr>
          <w:p>
            <w:pPr>
              <w:jc w:val="left"/>
              <w:rPr>
                <w:noProof/>
              </w:rPr>
            </w:pPr>
            <w:r>
              <w:rPr>
                <w:noProof/>
              </w:rPr>
              <w:t>25</w:t>
            </w:r>
          </w:p>
          <w:p>
            <w:pPr>
              <w:jc w:val="left"/>
              <w:rPr>
                <w:noProof/>
              </w:rPr>
            </w:pPr>
            <w:r>
              <w:rPr>
                <w:noProof/>
              </w:rPr>
              <w:t>26</w:t>
            </w:r>
          </w:p>
          <w:p>
            <w:pPr>
              <w:jc w:val="left"/>
              <w:rPr>
                <w:noProof/>
              </w:rPr>
            </w:pPr>
            <w:r>
              <w:rPr>
                <w:noProof/>
              </w:rPr>
              <w:t>28</w:t>
            </w:r>
          </w:p>
          <w:p>
            <w:pPr>
              <w:jc w:val="left"/>
              <w:rPr>
                <w:noProof/>
              </w:rPr>
            </w:pPr>
            <w:r>
              <w:rPr>
                <w:noProof/>
              </w:rPr>
              <w:t>29</w:t>
            </w:r>
          </w:p>
        </w:tc>
        <w:tc>
          <w:tcPr>
            <w:tcW w:w="1857" w:type="dxa"/>
            <w:gridSpan w:val="3"/>
          </w:tcPr>
          <w:p>
            <w:pPr>
              <w:jc w:val="left"/>
              <w:rPr>
                <w:noProof/>
              </w:rPr>
            </w:pPr>
            <w:r>
              <w:rPr>
                <w:noProof/>
              </w:rPr>
              <w:t>23</w:t>
            </w:r>
          </w:p>
          <w:p>
            <w:pPr>
              <w:jc w:val="left"/>
              <w:rPr>
                <w:noProof/>
              </w:rPr>
            </w:pPr>
            <w:r>
              <w:rPr>
                <w:noProof/>
              </w:rPr>
              <w:t>25</w:t>
            </w:r>
          </w:p>
          <w:p>
            <w:pPr>
              <w:jc w:val="left"/>
              <w:rPr>
                <w:noProof/>
              </w:rPr>
            </w:pPr>
            <w:r>
              <w:rPr>
                <w:noProof/>
              </w:rPr>
              <w:t>26</w:t>
            </w:r>
          </w:p>
          <w:p>
            <w:pPr>
              <w:jc w:val="left"/>
              <w:rPr>
                <w:noProof/>
              </w:rPr>
            </w:pPr>
            <w:r>
              <w:rPr>
                <w:noProof/>
              </w:rPr>
              <w:t>28</w:t>
            </w:r>
          </w:p>
        </w:tc>
        <w:tc>
          <w:tcPr>
            <w:tcW w:w="1951" w:type="dxa"/>
          </w:tcPr>
          <w:p>
            <w:pPr>
              <w:jc w:val="left"/>
              <w:rPr>
                <w:noProof/>
              </w:rPr>
            </w:pPr>
            <w:r>
              <w:rPr>
                <w:noProof/>
              </w:rPr>
              <w:t>25</w:t>
            </w:r>
          </w:p>
          <w:p>
            <w:pPr>
              <w:jc w:val="left"/>
              <w:rPr>
                <w:noProof/>
              </w:rPr>
            </w:pPr>
            <w:r>
              <w:rPr>
                <w:noProof/>
              </w:rPr>
              <w:t>26</w:t>
            </w:r>
          </w:p>
          <w:p>
            <w:pPr>
              <w:jc w:val="left"/>
              <w:rPr>
                <w:noProof/>
              </w:rPr>
            </w:pPr>
            <w:r>
              <w:rPr>
                <w:noProof/>
              </w:rPr>
              <w:t>28</w:t>
            </w:r>
          </w:p>
          <w:p>
            <w:pPr>
              <w:jc w:val="left"/>
              <w:rPr>
                <w:noProof/>
              </w:rPr>
            </w:pPr>
            <w:r>
              <w:rPr>
                <w:noProof/>
              </w:rPr>
              <w:t>29</w:t>
            </w:r>
          </w:p>
        </w:tc>
        <w:tc>
          <w:tcPr>
            <w:tcW w:w="1671" w:type="dxa"/>
            <w:gridSpan w:val="2"/>
          </w:tcPr>
          <w:p>
            <w:pPr>
              <w:jc w:val="left"/>
              <w:rPr>
                <w:noProof/>
              </w:rPr>
            </w:pPr>
          </w:p>
        </w:tc>
      </w:tr>
      <w:tr>
        <w:trPr>
          <w:gridAfter w:val="1"/>
          <w:wAfter w:w="36" w:type="dxa"/>
        </w:trPr>
        <w:tc>
          <w:tcPr>
            <w:tcW w:w="1857" w:type="dxa"/>
            <w:gridSpan w:val="2"/>
          </w:tcPr>
          <w:p>
            <w:pPr>
              <w:jc w:val="left"/>
              <w:rPr>
                <w:noProof/>
              </w:rPr>
            </w:pPr>
            <w:r>
              <w:rPr>
                <w:noProof/>
              </w:rPr>
              <w:t>29</w:t>
            </w:r>
          </w:p>
        </w:tc>
        <w:tc>
          <w:tcPr>
            <w:tcW w:w="1950" w:type="dxa"/>
            <w:gridSpan w:val="2"/>
          </w:tcPr>
          <w:p>
            <w:pPr>
              <w:jc w:val="left"/>
              <w:rPr>
                <w:noProof/>
              </w:rPr>
            </w:pPr>
            <w:r>
              <w:rPr>
                <w:noProof/>
              </w:rPr>
              <w:t>31</w:t>
            </w:r>
          </w:p>
        </w:tc>
        <w:tc>
          <w:tcPr>
            <w:tcW w:w="1857" w:type="dxa"/>
            <w:gridSpan w:val="3"/>
          </w:tcPr>
          <w:p>
            <w:pPr>
              <w:jc w:val="left"/>
              <w:rPr>
                <w:noProof/>
              </w:rPr>
            </w:pPr>
            <w:r>
              <w:rPr>
                <w:noProof/>
              </w:rPr>
              <w:t>29</w:t>
            </w:r>
          </w:p>
        </w:tc>
        <w:tc>
          <w:tcPr>
            <w:tcW w:w="1951" w:type="dxa"/>
          </w:tcPr>
          <w:p>
            <w:pPr>
              <w:jc w:val="left"/>
              <w:rPr>
                <w:noProof/>
              </w:rPr>
            </w:pPr>
            <w:r>
              <w:rPr>
                <w:noProof/>
              </w:rPr>
              <w:t>31</w:t>
            </w:r>
          </w:p>
        </w:tc>
        <w:tc>
          <w:tcPr>
            <w:tcW w:w="1671" w:type="dxa"/>
            <w:gridSpan w:val="2"/>
          </w:tcPr>
          <w:p>
            <w:pPr>
              <w:jc w:val="left"/>
              <w:rPr>
                <w:noProof/>
              </w:rPr>
            </w:pPr>
            <w:r>
              <w:rPr>
                <w:noProof/>
              </w:rPr>
              <w:t>II</w:t>
            </w:r>
          </w:p>
        </w:tc>
      </w:tr>
      <w:tr>
        <w:trPr>
          <w:gridAfter w:val="1"/>
          <w:wAfter w:w="36" w:type="dxa"/>
        </w:trPr>
        <w:tc>
          <w:tcPr>
            <w:tcW w:w="1857" w:type="dxa"/>
            <w:gridSpan w:val="2"/>
          </w:tcPr>
          <w:p>
            <w:pPr>
              <w:jc w:val="left"/>
              <w:rPr>
                <w:noProof/>
              </w:rPr>
            </w:pPr>
            <w:r>
              <w:rPr>
                <w:noProof/>
              </w:rPr>
              <w:t>31</w:t>
            </w:r>
          </w:p>
        </w:tc>
        <w:tc>
          <w:tcPr>
            <w:tcW w:w="1950" w:type="dxa"/>
            <w:gridSpan w:val="2"/>
          </w:tcPr>
          <w:p>
            <w:pPr>
              <w:jc w:val="left"/>
              <w:rPr>
                <w:noProof/>
              </w:rPr>
            </w:pPr>
            <w:r>
              <w:rPr>
                <w:noProof/>
              </w:rPr>
              <w:t>33</w:t>
            </w:r>
          </w:p>
        </w:tc>
        <w:tc>
          <w:tcPr>
            <w:tcW w:w="1857" w:type="dxa"/>
            <w:gridSpan w:val="3"/>
          </w:tcPr>
          <w:p>
            <w:pPr>
              <w:jc w:val="left"/>
              <w:rPr>
                <w:noProof/>
              </w:rPr>
            </w:pPr>
            <w:r>
              <w:rPr>
                <w:noProof/>
              </w:rPr>
              <w:t>31</w:t>
            </w:r>
          </w:p>
        </w:tc>
        <w:tc>
          <w:tcPr>
            <w:tcW w:w="1951" w:type="dxa"/>
          </w:tcPr>
          <w:p>
            <w:pPr>
              <w:jc w:val="left"/>
              <w:rPr>
                <w:noProof/>
              </w:rPr>
            </w:pPr>
            <w:r>
              <w:rPr>
                <w:noProof/>
              </w:rPr>
              <w:t>33</w:t>
            </w:r>
          </w:p>
        </w:tc>
        <w:tc>
          <w:tcPr>
            <w:tcW w:w="1671" w:type="dxa"/>
            <w:gridSpan w:val="2"/>
          </w:tcPr>
          <w:p>
            <w:pPr>
              <w:jc w:val="left"/>
              <w:rPr>
                <w:noProof/>
              </w:rPr>
            </w:pPr>
          </w:p>
        </w:tc>
      </w:tr>
      <w:tr>
        <w:trPr>
          <w:gridAfter w:val="1"/>
          <w:wAfter w:w="36" w:type="dxa"/>
        </w:trPr>
        <w:tc>
          <w:tcPr>
            <w:tcW w:w="1857" w:type="dxa"/>
            <w:gridSpan w:val="2"/>
          </w:tcPr>
          <w:p>
            <w:pPr>
              <w:jc w:val="left"/>
              <w:rPr>
                <w:noProof/>
              </w:rPr>
            </w:pPr>
            <w:r>
              <w:rPr>
                <w:noProof/>
              </w:rPr>
              <w:t>33</w:t>
            </w:r>
          </w:p>
          <w:p>
            <w:pPr>
              <w:jc w:val="left"/>
              <w:rPr>
                <w:noProof/>
              </w:rPr>
            </w:pPr>
            <w:r>
              <w:rPr>
                <w:noProof/>
              </w:rPr>
              <w:t>36</w:t>
            </w:r>
          </w:p>
        </w:tc>
        <w:tc>
          <w:tcPr>
            <w:tcW w:w="1950" w:type="dxa"/>
            <w:gridSpan w:val="2"/>
          </w:tcPr>
          <w:p>
            <w:pPr>
              <w:jc w:val="left"/>
              <w:rPr>
                <w:noProof/>
              </w:rPr>
            </w:pPr>
            <w:r>
              <w:rPr>
                <w:noProof/>
              </w:rPr>
              <w:t>36</w:t>
            </w:r>
          </w:p>
          <w:p>
            <w:pPr>
              <w:jc w:val="left"/>
              <w:rPr>
                <w:noProof/>
              </w:rPr>
            </w:pPr>
            <w:r>
              <w:rPr>
                <w:noProof/>
              </w:rPr>
              <w:t>38</w:t>
            </w:r>
          </w:p>
        </w:tc>
        <w:tc>
          <w:tcPr>
            <w:tcW w:w="1857" w:type="dxa"/>
            <w:gridSpan w:val="3"/>
          </w:tcPr>
          <w:p>
            <w:pPr>
              <w:jc w:val="left"/>
              <w:rPr>
                <w:noProof/>
              </w:rPr>
            </w:pPr>
            <w:r>
              <w:rPr>
                <w:noProof/>
              </w:rPr>
              <w:t>33</w:t>
            </w:r>
          </w:p>
        </w:tc>
        <w:tc>
          <w:tcPr>
            <w:tcW w:w="1951" w:type="dxa"/>
          </w:tcPr>
          <w:p>
            <w:pPr>
              <w:jc w:val="left"/>
              <w:rPr>
                <w:noProof/>
              </w:rPr>
            </w:pPr>
            <w:r>
              <w:rPr>
                <w:noProof/>
              </w:rPr>
              <w:t>36</w:t>
            </w:r>
          </w:p>
        </w:tc>
        <w:tc>
          <w:tcPr>
            <w:tcW w:w="1671" w:type="dxa"/>
            <w:gridSpan w:val="2"/>
          </w:tcPr>
          <w:p>
            <w:pPr>
              <w:jc w:val="left"/>
              <w:rPr>
                <w:noProof/>
              </w:rPr>
            </w:pPr>
            <w:r>
              <w:rPr>
                <w:noProof/>
              </w:rPr>
              <w:t>III</w:t>
            </w:r>
          </w:p>
        </w:tc>
      </w:tr>
      <w:tr>
        <w:trPr>
          <w:gridAfter w:val="1"/>
          <w:wAfter w:w="36" w:type="dxa"/>
        </w:trPr>
        <w:tc>
          <w:tcPr>
            <w:tcW w:w="7615" w:type="dxa"/>
            <w:gridSpan w:val="8"/>
          </w:tcPr>
          <w:p>
            <w:pPr>
              <w:jc w:val="left"/>
              <w:rPr>
                <w:noProof/>
              </w:rPr>
            </w:pPr>
            <w:r>
              <w:rPr>
                <w:i/>
                <w:noProof/>
              </w:rPr>
              <w:t>2 + 3 άξονες</w:t>
            </w:r>
          </w:p>
        </w:tc>
        <w:tc>
          <w:tcPr>
            <w:tcW w:w="1671" w:type="dxa"/>
            <w:gridSpan w:val="2"/>
          </w:tcPr>
          <w:p>
            <w:pPr>
              <w:jc w:val="left"/>
              <w:rPr>
                <w:noProof/>
              </w:rPr>
            </w:pPr>
            <w:r>
              <w:rPr>
                <w:noProof/>
              </w:rPr>
              <w:t>II</w:t>
            </w:r>
          </w:p>
        </w:tc>
      </w:tr>
      <w:tr>
        <w:trPr>
          <w:gridAfter w:val="1"/>
          <w:wAfter w:w="36" w:type="dxa"/>
        </w:trPr>
        <w:tc>
          <w:tcPr>
            <w:tcW w:w="1857" w:type="dxa"/>
            <w:gridSpan w:val="2"/>
          </w:tcPr>
          <w:p>
            <w:pPr>
              <w:jc w:val="left"/>
              <w:rPr>
                <w:noProof/>
              </w:rPr>
            </w:pPr>
            <w:r>
              <w:rPr>
                <w:noProof/>
              </w:rPr>
              <w:t>36</w:t>
            </w:r>
          </w:p>
          <w:p>
            <w:pPr>
              <w:jc w:val="left"/>
              <w:rPr>
                <w:noProof/>
              </w:rPr>
            </w:pPr>
            <w:r>
              <w:rPr>
                <w:noProof/>
              </w:rPr>
              <w:t>38</w:t>
            </w:r>
          </w:p>
        </w:tc>
        <w:tc>
          <w:tcPr>
            <w:tcW w:w="1950" w:type="dxa"/>
            <w:gridSpan w:val="2"/>
          </w:tcPr>
          <w:p>
            <w:pPr>
              <w:jc w:val="left"/>
              <w:rPr>
                <w:noProof/>
              </w:rPr>
            </w:pPr>
            <w:r>
              <w:rPr>
                <w:noProof/>
              </w:rPr>
              <w:t>38</w:t>
            </w:r>
          </w:p>
          <w:p>
            <w:pPr>
              <w:jc w:val="left"/>
              <w:rPr>
                <w:noProof/>
              </w:rPr>
            </w:pPr>
            <w:r>
              <w:rPr>
                <w:noProof/>
              </w:rPr>
              <w:t>40</w:t>
            </w:r>
          </w:p>
        </w:tc>
        <w:tc>
          <w:tcPr>
            <w:tcW w:w="1857" w:type="dxa"/>
            <w:gridSpan w:val="3"/>
          </w:tcPr>
          <w:p>
            <w:pPr>
              <w:jc w:val="left"/>
              <w:rPr>
                <w:noProof/>
              </w:rPr>
            </w:pPr>
            <w:r>
              <w:rPr>
                <w:noProof/>
              </w:rPr>
              <w:t>36</w:t>
            </w:r>
          </w:p>
        </w:tc>
        <w:tc>
          <w:tcPr>
            <w:tcW w:w="1951" w:type="dxa"/>
          </w:tcPr>
          <w:p>
            <w:pPr>
              <w:jc w:val="left"/>
              <w:rPr>
                <w:noProof/>
              </w:rPr>
            </w:pPr>
            <w:r>
              <w:rPr>
                <w:noProof/>
              </w:rPr>
              <w:t>38</w:t>
            </w:r>
          </w:p>
        </w:tc>
        <w:tc>
          <w:tcPr>
            <w:tcW w:w="1671" w:type="dxa"/>
            <w:gridSpan w:val="2"/>
          </w:tcPr>
          <w:p>
            <w:pPr>
              <w:jc w:val="left"/>
              <w:rPr>
                <w:noProof/>
              </w:rPr>
            </w:pPr>
          </w:p>
        </w:tc>
      </w:tr>
      <w:tr>
        <w:trPr>
          <w:gridAfter w:val="1"/>
          <w:wAfter w:w="36" w:type="dxa"/>
        </w:trPr>
        <w:tc>
          <w:tcPr>
            <w:tcW w:w="1857" w:type="dxa"/>
            <w:gridSpan w:val="2"/>
          </w:tcPr>
          <w:p>
            <w:pPr>
              <w:adjustRightInd w:val="0"/>
              <w:spacing w:before="0" w:after="0"/>
              <w:jc w:val="left"/>
              <w:rPr>
                <w:noProof/>
              </w:rPr>
            </w:pPr>
          </w:p>
        </w:tc>
        <w:tc>
          <w:tcPr>
            <w:tcW w:w="1950" w:type="dxa"/>
            <w:gridSpan w:val="2"/>
          </w:tcPr>
          <w:p>
            <w:pPr>
              <w:adjustRightInd w:val="0"/>
              <w:spacing w:before="0" w:after="0"/>
              <w:jc w:val="left"/>
              <w:rPr>
                <w:noProof/>
              </w:rPr>
            </w:pPr>
          </w:p>
        </w:tc>
        <w:tc>
          <w:tcPr>
            <w:tcW w:w="1857" w:type="dxa"/>
            <w:gridSpan w:val="3"/>
          </w:tcPr>
          <w:p>
            <w:pPr>
              <w:jc w:val="left"/>
              <w:rPr>
                <w:noProof/>
              </w:rPr>
            </w:pPr>
            <w:r>
              <w:rPr>
                <w:noProof/>
              </w:rPr>
              <w:t>38</w:t>
            </w:r>
          </w:p>
        </w:tc>
        <w:tc>
          <w:tcPr>
            <w:tcW w:w="1951" w:type="dxa"/>
          </w:tcPr>
          <w:p>
            <w:pPr>
              <w:jc w:val="left"/>
              <w:rPr>
                <w:noProof/>
              </w:rPr>
            </w:pPr>
            <w:r>
              <w:rPr>
                <w:noProof/>
              </w:rPr>
              <w:t>40</w:t>
            </w:r>
          </w:p>
        </w:tc>
        <w:tc>
          <w:tcPr>
            <w:tcW w:w="1671" w:type="dxa"/>
            <w:gridSpan w:val="2"/>
          </w:tcPr>
          <w:p>
            <w:pPr>
              <w:jc w:val="left"/>
              <w:rPr>
                <w:noProof/>
              </w:rPr>
            </w:pPr>
            <w:r>
              <w:rPr>
                <w:noProof/>
              </w:rPr>
              <w:t>III</w:t>
            </w:r>
          </w:p>
        </w:tc>
      </w:tr>
      <w:tr>
        <w:trPr>
          <w:gridAfter w:val="1"/>
          <w:wAfter w:w="36" w:type="dxa"/>
        </w:trPr>
        <w:tc>
          <w:tcPr>
            <w:tcW w:w="7615" w:type="dxa"/>
            <w:gridSpan w:val="8"/>
          </w:tcPr>
          <w:p>
            <w:pPr>
              <w:jc w:val="left"/>
              <w:rPr>
                <w:noProof/>
              </w:rPr>
            </w:pPr>
            <w:r>
              <w:rPr>
                <w:i/>
                <w:noProof/>
              </w:rPr>
              <w:t>3 + 2 άξονες</w:t>
            </w:r>
          </w:p>
        </w:tc>
        <w:tc>
          <w:tcPr>
            <w:tcW w:w="1671" w:type="dxa"/>
            <w:gridSpan w:val="2"/>
          </w:tcPr>
          <w:p>
            <w:pPr>
              <w:jc w:val="left"/>
              <w:rPr>
                <w:noProof/>
              </w:rPr>
            </w:pPr>
            <w:r>
              <w:rPr>
                <w:noProof/>
              </w:rPr>
              <w:t>II</w:t>
            </w:r>
          </w:p>
        </w:tc>
      </w:tr>
      <w:tr>
        <w:trPr>
          <w:gridAfter w:val="1"/>
          <w:wAfter w:w="36" w:type="dxa"/>
        </w:trPr>
        <w:tc>
          <w:tcPr>
            <w:tcW w:w="1857" w:type="dxa"/>
            <w:gridSpan w:val="2"/>
          </w:tcPr>
          <w:p>
            <w:pPr>
              <w:jc w:val="left"/>
              <w:rPr>
                <w:noProof/>
              </w:rPr>
            </w:pPr>
            <w:r>
              <w:rPr>
                <w:noProof/>
              </w:rPr>
              <w:t>36</w:t>
            </w:r>
          </w:p>
          <w:p>
            <w:pPr>
              <w:jc w:val="left"/>
              <w:rPr>
                <w:noProof/>
              </w:rPr>
            </w:pPr>
            <w:r>
              <w:rPr>
                <w:noProof/>
              </w:rPr>
              <w:t>38</w:t>
            </w:r>
          </w:p>
        </w:tc>
        <w:tc>
          <w:tcPr>
            <w:tcW w:w="1950" w:type="dxa"/>
            <w:gridSpan w:val="2"/>
          </w:tcPr>
          <w:p>
            <w:pPr>
              <w:jc w:val="left"/>
              <w:rPr>
                <w:noProof/>
              </w:rPr>
            </w:pPr>
            <w:r>
              <w:rPr>
                <w:noProof/>
              </w:rPr>
              <w:t>38</w:t>
            </w:r>
          </w:p>
          <w:p>
            <w:pPr>
              <w:jc w:val="left"/>
              <w:rPr>
                <w:noProof/>
              </w:rPr>
            </w:pPr>
            <w:r>
              <w:rPr>
                <w:noProof/>
              </w:rPr>
              <w:t>40</w:t>
            </w:r>
          </w:p>
        </w:tc>
        <w:tc>
          <w:tcPr>
            <w:tcW w:w="1857" w:type="dxa"/>
            <w:gridSpan w:val="3"/>
          </w:tcPr>
          <w:p>
            <w:pPr>
              <w:jc w:val="left"/>
              <w:rPr>
                <w:noProof/>
              </w:rPr>
            </w:pPr>
            <w:r>
              <w:rPr>
                <w:noProof/>
              </w:rPr>
              <w:t>36</w:t>
            </w:r>
          </w:p>
        </w:tc>
        <w:tc>
          <w:tcPr>
            <w:tcW w:w="1951" w:type="dxa"/>
          </w:tcPr>
          <w:p>
            <w:pPr>
              <w:jc w:val="left"/>
              <w:rPr>
                <w:noProof/>
              </w:rPr>
            </w:pPr>
            <w:r>
              <w:rPr>
                <w:noProof/>
              </w:rPr>
              <w:t>38</w:t>
            </w:r>
          </w:p>
        </w:tc>
        <w:tc>
          <w:tcPr>
            <w:tcW w:w="1671" w:type="dxa"/>
            <w:gridSpan w:val="2"/>
          </w:tcPr>
          <w:p>
            <w:pPr>
              <w:jc w:val="left"/>
              <w:rPr>
                <w:noProof/>
              </w:rPr>
            </w:pPr>
          </w:p>
        </w:tc>
      </w:tr>
      <w:tr>
        <w:trPr>
          <w:gridAfter w:val="1"/>
          <w:wAfter w:w="36" w:type="dxa"/>
        </w:trPr>
        <w:tc>
          <w:tcPr>
            <w:tcW w:w="1857" w:type="dxa"/>
            <w:gridSpan w:val="2"/>
          </w:tcPr>
          <w:p>
            <w:pPr>
              <w:adjustRightInd w:val="0"/>
              <w:spacing w:before="0" w:after="0"/>
              <w:jc w:val="left"/>
              <w:rPr>
                <w:noProof/>
              </w:rPr>
            </w:pPr>
          </w:p>
        </w:tc>
        <w:tc>
          <w:tcPr>
            <w:tcW w:w="1950" w:type="dxa"/>
            <w:gridSpan w:val="2"/>
          </w:tcPr>
          <w:p>
            <w:pPr>
              <w:adjustRightInd w:val="0"/>
              <w:spacing w:before="0" w:after="0"/>
              <w:jc w:val="left"/>
              <w:rPr>
                <w:noProof/>
              </w:rPr>
            </w:pPr>
          </w:p>
        </w:tc>
        <w:tc>
          <w:tcPr>
            <w:tcW w:w="1857" w:type="dxa"/>
            <w:gridSpan w:val="3"/>
          </w:tcPr>
          <w:p>
            <w:pPr>
              <w:jc w:val="left"/>
              <w:rPr>
                <w:noProof/>
              </w:rPr>
            </w:pPr>
            <w:r>
              <w:rPr>
                <w:noProof/>
              </w:rPr>
              <w:t>38</w:t>
            </w:r>
          </w:p>
          <w:p>
            <w:pPr>
              <w:jc w:val="left"/>
              <w:rPr>
                <w:noProof/>
              </w:rPr>
            </w:pPr>
            <w:r>
              <w:rPr>
                <w:noProof/>
              </w:rPr>
              <w:t>40</w:t>
            </w:r>
          </w:p>
        </w:tc>
        <w:tc>
          <w:tcPr>
            <w:tcW w:w="1951" w:type="dxa"/>
          </w:tcPr>
          <w:p>
            <w:pPr>
              <w:jc w:val="left"/>
              <w:rPr>
                <w:noProof/>
              </w:rPr>
            </w:pPr>
            <w:r>
              <w:rPr>
                <w:noProof/>
              </w:rPr>
              <w:t>40</w:t>
            </w:r>
          </w:p>
          <w:p>
            <w:pPr>
              <w:jc w:val="left"/>
              <w:rPr>
                <w:noProof/>
              </w:rPr>
            </w:pPr>
            <w:r>
              <w:rPr>
                <w:noProof/>
              </w:rPr>
              <w:t>44</w:t>
            </w:r>
          </w:p>
        </w:tc>
        <w:tc>
          <w:tcPr>
            <w:tcW w:w="1671" w:type="dxa"/>
            <w:gridSpan w:val="2"/>
          </w:tcPr>
          <w:p>
            <w:pPr>
              <w:jc w:val="left"/>
              <w:rPr>
                <w:noProof/>
              </w:rPr>
            </w:pPr>
            <w:r>
              <w:rPr>
                <w:noProof/>
              </w:rPr>
              <w:t>III</w:t>
            </w:r>
          </w:p>
        </w:tc>
      </w:tr>
      <w:tr>
        <w:trPr>
          <w:gridAfter w:val="1"/>
          <w:wAfter w:w="36" w:type="dxa"/>
        </w:trPr>
        <w:tc>
          <w:tcPr>
            <w:tcW w:w="1857" w:type="dxa"/>
            <w:gridSpan w:val="2"/>
          </w:tcPr>
          <w:p>
            <w:pPr>
              <w:jc w:val="left"/>
              <w:rPr>
                <w:noProof/>
              </w:rPr>
            </w:pPr>
            <w:r>
              <w:rPr>
                <w:noProof/>
              </w:rPr>
              <w:t>40</w:t>
            </w:r>
          </w:p>
        </w:tc>
        <w:tc>
          <w:tcPr>
            <w:tcW w:w="1950" w:type="dxa"/>
            <w:gridSpan w:val="2"/>
          </w:tcPr>
          <w:p>
            <w:pPr>
              <w:jc w:val="left"/>
              <w:rPr>
                <w:noProof/>
              </w:rPr>
            </w:pPr>
            <w:r>
              <w:rPr>
                <w:noProof/>
              </w:rPr>
              <w:t>44</w:t>
            </w:r>
          </w:p>
        </w:tc>
        <w:tc>
          <w:tcPr>
            <w:tcW w:w="1857" w:type="dxa"/>
            <w:gridSpan w:val="3"/>
          </w:tcPr>
          <w:p>
            <w:pPr>
              <w:jc w:val="left"/>
              <w:rPr>
                <w:noProof/>
              </w:rPr>
            </w:pPr>
          </w:p>
        </w:tc>
        <w:tc>
          <w:tcPr>
            <w:tcW w:w="1951" w:type="dxa"/>
          </w:tcPr>
          <w:p>
            <w:pPr>
              <w:jc w:val="left"/>
              <w:rPr>
                <w:noProof/>
              </w:rPr>
            </w:pPr>
          </w:p>
        </w:tc>
        <w:tc>
          <w:tcPr>
            <w:tcW w:w="1671" w:type="dxa"/>
            <w:gridSpan w:val="2"/>
          </w:tcPr>
          <w:p>
            <w:pPr>
              <w:jc w:val="left"/>
              <w:rPr>
                <w:noProof/>
              </w:rPr>
            </w:pPr>
          </w:p>
        </w:tc>
      </w:tr>
      <w:tr>
        <w:trPr>
          <w:gridAfter w:val="1"/>
          <w:wAfter w:w="36" w:type="dxa"/>
        </w:trPr>
        <w:tc>
          <w:tcPr>
            <w:tcW w:w="7615" w:type="dxa"/>
            <w:gridSpan w:val="8"/>
          </w:tcPr>
          <w:p>
            <w:pPr>
              <w:jc w:val="left"/>
              <w:rPr>
                <w:noProof/>
              </w:rPr>
            </w:pPr>
            <w:r>
              <w:rPr>
                <w:i/>
                <w:noProof/>
              </w:rPr>
              <w:t>3 + 3 άξονες</w:t>
            </w:r>
          </w:p>
        </w:tc>
        <w:tc>
          <w:tcPr>
            <w:tcW w:w="1671" w:type="dxa"/>
            <w:gridSpan w:val="2"/>
          </w:tcPr>
          <w:p>
            <w:pPr>
              <w:jc w:val="left"/>
              <w:rPr>
                <w:noProof/>
              </w:rPr>
            </w:pPr>
          </w:p>
        </w:tc>
      </w:tr>
      <w:tr>
        <w:trPr>
          <w:gridAfter w:val="1"/>
          <w:wAfter w:w="36" w:type="dxa"/>
        </w:trPr>
        <w:tc>
          <w:tcPr>
            <w:tcW w:w="1857" w:type="dxa"/>
            <w:gridSpan w:val="2"/>
          </w:tcPr>
          <w:p>
            <w:pPr>
              <w:jc w:val="left"/>
              <w:rPr>
                <w:noProof/>
              </w:rPr>
            </w:pPr>
            <w:r>
              <w:rPr>
                <w:noProof/>
              </w:rPr>
              <w:t>36</w:t>
            </w:r>
          </w:p>
          <w:p>
            <w:pPr>
              <w:jc w:val="left"/>
              <w:rPr>
                <w:noProof/>
              </w:rPr>
            </w:pPr>
            <w:r>
              <w:rPr>
                <w:noProof/>
              </w:rPr>
              <w:t>38</w:t>
            </w:r>
          </w:p>
        </w:tc>
        <w:tc>
          <w:tcPr>
            <w:tcW w:w="1950" w:type="dxa"/>
            <w:gridSpan w:val="2"/>
          </w:tcPr>
          <w:p>
            <w:pPr>
              <w:jc w:val="left"/>
              <w:rPr>
                <w:noProof/>
              </w:rPr>
            </w:pPr>
            <w:r>
              <w:rPr>
                <w:noProof/>
              </w:rPr>
              <w:t>38</w:t>
            </w:r>
          </w:p>
          <w:p>
            <w:pPr>
              <w:jc w:val="left"/>
              <w:rPr>
                <w:noProof/>
              </w:rPr>
            </w:pPr>
            <w:r>
              <w:rPr>
                <w:noProof/>
              </w:rPr>
              <w:t>40</w:t>
            </w:r>
          </w:p>
        </w:tc>
        <w:tc>
          <w:tcPr>
            <w:tcW w:w="1857" w:type="dxa"/>
            <w:gridSpan w:val="3"/>
          </w:tcPr>
          <w:p>
            <w:pPr>
              <w:jc w:val="left"/>
              <w:rPr>
                <w:noProof/>
              </w:rPr>
            </w:pPr>
            <w:r>
              <w:rPr>
                <w:noProof/>
              </w:rPr>
              <w:t>36</w:t>
            </w:r>
          </w:p>
        </w:tc>
        <w:tc>
          <w:tcPr>
            <w:tcW w:w="1951" w:type="dxa"/>
          </w:tcPr>
          <w:p>
            <w:pPr>
              <w:jc w:val="left"/>
              <w:rPr>
                <w:noProof/>
              </w:rPr>
            </w:pPr>
            <w:r>
              <w:rPr>
                <w:noProof/>
              </w:rPr>
              <w:t>38</w:t>
            </w:r>
          </w:p>
        </w:tc>
        <w:tc>
          <w:tcPr>
            <w:tcW w:w="1671" w:type="dxa"/>
            <w:gridSpan w:val="2"/>
          </w:tcPr>
          <w:p>
            <w:pPr>
              <w:jc w:val="left"/>
              <w:rPr>
                <w:noProof/>
              </w:rPr>
            </w:pPr>
            <w:r>
              <w:rPr>
                <w:noProof/>
              </w:rPr>
              <w:t>I</w:t>
            </w:r>
          </w:p>
        </w:tc>
      </w:tr>
      <w:tr>
        <w:trPr>
          <w:gridAfter w:val="1"/>
          <w:wAfter w:w="36" w:type="dxa"/>
        </w:trPr>
        <w:tc>
          <w:tcPr>
            <w:tcW w:w="1857" w:type="dxa"/>
            <w:gridSpan w:val="2"/>
          </w:tcPr>
          <w:p>
            <w:pPr>
              <w:adjustRightInd w:val="0"/>
              <w:spacing w:before="0" w:after="0"/>
              <w:jc w:val="left"/>
              <w:rPr>
                <w:noProof/>
              </w:rPr>
            </w:pPr>
          </w:p>
        </w:tc>
        <w:tc>
          <w:tcPr>
            <w:tcW w:w="1950" w:type="dxa"/>
            <w:gridSpan w:val="2"/>
          </w:tcPr>
          <w:p>
            <w:pPr>
              <w:adjustRightInd w:val="0"/>
              <w:spacing w:before="0" w:after="0"/>
              <w:jc w:val="left"/>
              <w:rPr>
                <w:noProof/>
              </w:rPr>
            </w:pPr>
          </w:p>
        </w:tc>
        <w:tc>
          <w:tcPr>
            <w:tcW w:w="1857" w:type="dxa"/>
            <w:gridSpan w:val="3"/>
          </w:tcPr>
          <w:p>
            <w:pPr>
              <w:jc w:val="left"/>
              <w:rPr>
                <w:noProof/>
              </w:rPr>
            </w:pPr>
            <w:r>
              <w:rPr>
                <w:noProof/>
              </w:rPr>
              <w:t>38</w:t>
            </w:r>
          </w:p>
        </w:tc>
        <w:tc>
          <w:tcPr>
            <w:tcW w:w="1951" w:type="dxa"/>
          </w:tcPr>
          <w:p>
            <w:pPr>
              <w:jc w:val="left"/>
              <w:rPr>
                <w:noProof/>
              </w:rPr>
            </w:pPr>
            <w:r>
              <w:rPr>
                <w:noProof/>
              </w:rPr>
              <w:t>40</w:t>
            </w:r>
          </w:p>
        </w:tc>
        <w:tc>
          <w:tcPr>
            <w:tcW w:w="1671" w:type="dxa"/>
            <w:gridSpan w:val="2"/>
          </w:tcPr>
          <w:p>
            <w:pPr>
              <w:jc w:val="left"/>
              <w:rPr>
                <w:noProof/>
              </w:rPr>
            </w:pPr>
            <w:r>
              <w:rPr>
                <w:noProof/>
              </w:rPr>
              <w:t>II</w:t>
            </w:r>
          </w:p>
        </w:tc>
      </w:tr>
      <w:tr>
        <w:trPr>
          <w:gridAfter w:val="1"/>
          <w:wAfter w:w="36" w:type="dxa"/>
        </w:trPr>
        <w:tc>
          <w:tcPr>
            <w:tcW w:w="1857" w:type="dxa"/>
            <w:gridSpan w:val="2"/>
          </w:tcPr>
          <w:p>
            <w:pPr>
              <w:jc w:val="left"/>
              <w:rPr>
                <w:noProof/>
              </w:rPr>
            </w:pPr>
            <w:r>
              <w:rPr>
                <w:noProof/>
              </w:rPr>
              <w:t>40</w:t>
            </w:r>
          </w:p>
        </w:tc>
        <w:tc>
          <w:tcPr>
            <w:tcW w:w="1950" w:type="dxa"/>
            <w:gridSpan w:val="2"/>
          </w:tcPr>
          <w:p>
            <w:pPr>
              <w:jc w:val="left"/>
              <w:rPr>
                <w:noProof/>
              </w:rPr>
            </w:pPr>
            <w:r>
              <w:rPr>
                <w:noProof/>
              </w:rPr>
              <w:t>44</w:t>
            </w:r>
          </w:p>
        </w:tc>
        <w:tc>
          <w:tcPr>
            <w:tcW w:w="1857" w:type="dxa"/>
            <w:gridSpan w:val="3"/>
          </w:tcPr>
          <w:p>
            <w:pPr>
              <w:jc w:val="left"/>
              <w:rPr>
                <w:noProof/>
              </w:rPr>
            </w:pPr>
            <w:r>
              <w:rPr>
                <w:noProof/>
              </w:rPr>
              <w:t>40</w:t>
            </w:r>
          </w:p>
        </w:tc>
        <w:tc>
          <w:tcPr>
            <w:tcW w:w="1951" w:type="dxa"/>
          </w:tcPr>
          <w:p>
            <w:pPr>
              <w:jc w:val="left"/>
              <w:rPr>
                <w:noProof/>
              </w:rPr>
            </w:pPr>
            <w:r>
              <w:rPr>
                <w:noProof/>
              </w:rPr>
              <w:t>44</w:t>
            </w:r>
          </w:p>
        </w:tc>
        <w:tc>
          <w:tcPr>
            <w:tcW w:w="1671" w:type="dxa"/>
            <w:gridSpan w:val="2"/>
          </w:tcPr>
          <w:p>
            <w:pPr>
              <w:jc w:val="left"/>
              <w:rPr>
                <w:noProof/>
              </w:rPr>
            </w:pPr>
          </w:p>
        </w:tc>
      </w:tr>
      <w:tr>
        <w:tblPrEx>
          <w:tblLook w:val="04A0" w:firstRow="1" w:lastRow="0" w:firstColumn="1" w:lastColumn="0" w:noHBand="0" w:noVBand="1"/>
        </w:tblPrEx>
        <w:tc>
          <w:tcPr>
            <w:tcW w:w="9322" w:type="dxa"/>
            <w:gridSpan w:val="11"/>
          </w:tcPr>
          <w:p>
            <w:pPr>
              <w:spacing w:before="100" w:beforeAutospacing="1" w:after="100" w:afterAutospacing="1"/>
              <w:rPr>
                <w:i/>
                <w:noProof/>
              </w:rPr>
            </w:pPr>
            <w:r>
              <w:rPr>
                <w:i/>
                <w:noProof/>
              </w:rPr>
              <w:t>7 άξονες</w:t>
            </w:r>
          </w:p>
        </w:tc>
      </w:tr>
      <w:tr>
        <w:tblPrEx>
          <w:tblLook w:val="04A0" w:firstRow="1" w:lastRow="0" w:firstColumn="1" w:lastColumn="0" w:noHBand="0" w:noVBand="1"/>
        </w:tblPrEx>
        <w:tc>
          <w:tcPr>
            <w:tcW w:w="1809" w:type="dxa"/>
            <w:tcBorders>
              <w:bottom w:val="single" w:sz="4" w:space="0" w:color="auto"/>
            </w:tcBorders>
          </w:tcPr>
          <w:p>
            <w:pPr>
              <w:spacing w:before="100" w:beforeAutospacing="1" w:after="100" w:afterAutospacing="1"/>
              <w:rPr>
                <w:noProof/>
              </w:rPr>
            </w:pPr>
            <w:r>
              <w:rPr>
                <w:noProof/>
              </w:rPr>
              <w:t>40</w:t>
            </w:r>
          </w:p>
        </w:tc>
        <w:tc>
          <w:tcPr>
            <w:tcW w:w="1985" w:type="dxa"/>
            <w:gridSpan w:val="2"/>
            <w:tcBorders>
              <w:bottom w:val="single" w:sz="4" w:space="0" w:color="auto"/>
            </w:tcBorders>
          </w:tcPr>
          <w:p>
            <w:pPr>
              <w:spacing w:before="100" w:beforeAutospacing="1" w:after="100" w:afterAutospacing="1"/>
              <w:rPr>
                <w:noProof/>
              </w:rPr>
            </w:pPr>
            <w:r>
              <w:rPr>
                <w:noProof/>
              </w:rPr>
              <w:t>50</w:t>
            </w:r>
          </w:p>
        </w:tc>
        <w:tc>
          <w:tcPr>
            <w:tcW w:w="1843" w:type="dxa"/>
            <w:gridSpan w:val="3"/>
            <w:tcBorders>
              <w:bottom w:val="single" w:sz="4" w:space="0" w:color="auto"/>
            </w:tcBorders>
          </w:tcPr>
          <w:p>
            <w:pPr>
              <w:spacing w:before="100" w:beforeAutospacing="1" w:after="100" w:afterAutospacing="1"/>
              <w:rPr>
                <w:noProof/>
              </w:rPr>
            </w:pPr>
            <w:r>
              <w:rPr>
                <w:noProof/>
              </w:rPr>
              <w:t>40</w:t>
            </w:r>
          </w:p>
        </w:tc>
        <w:tc>
          <w:tcPr>
            <w:tcW w:w="1984" w:type="dxa"/>
            <w:gridSpan w:val="3"/>
            <w:tcBorders>
              <w:bottom w:val="single" w:sz="4" w:space="0" w:color="auto"/>
            </w:tcBorders>
          </w:tcPr>
          <w:p>
            <w:pPr>
              <w:spacing w:before="100" w:beforeAutospacing="1" w:after="100" w:afterAutospacing="1"/>
              <w:rPr>
                <w:noProof/>
              </w:rPr>
            </w:pPr>
            <w:r>
              <w:rPr>
                <w:noProof/>
              </w:rPr>
              <w:t>50</w:t>
            </w:r>
          </w:p>
        </w:tc>
        <w:tc>
          <w:tcPr>
            <w:tcW w:w="1701" w:type="dxa"/>
            <w:gridSpan w:val="2"/>
            <w:tcBorders>
              <w:bottom w:val="single" w:sz="4" w:space="0" w:color="auto"/>
            </w:tcBorders>
          </w:tcPr>
          <w:p>
            <w:pPr>
              <w:spacing w:before="100" w:beforeAutospacing="1" w:after="100" w:afterAutospacing="1"/>
              <w:rPr>
                <w:noProof/>
              </w:rPr>
            </w:pPr>
            <w:r>
              <w:rPr>
                <w:noProof/>
              </w:rPr>
              <w:t>II</w:t>
            </w:r>
          </w:p>
        </w:tc>
      </w:tr>
      <w:tr>
        <w:tblPrEx>
          <w:tblLook w:val="04A0" w:firstRow="1" w:lastRow="0" w:firstColumn="1" w:lastColumn="0" w:noHBand="0" w:noVBand="1"/>
        </w:tblPrEx>
        <w:tc>
          <w:tcPr>
            <w:tcW w:w="1809" w:type="dxa"/>
            <w:tcBorders>
              <w:top w:val="single" w:sz="4" w:space="0" w:color="auto"/>
              <w:left w:val="single" w:sz="4" w:space="0" w:color="auto"/>
              <w:bottom w:val="nil"/>
              <w:right w:val="single" w:sz="4" w:space="0" w:color="auto"/>
            </w:tcBorders>
          </w:tcPr>
          <w:p>
            <w:pPr>
              <w:spacing w:before="100" w:beforeAutospacing="1" w:after="100" w:afterAutospacing="1"/>
              <w:rPr>
                <w:noProof/>
              </w:rPr>
            </w:pPr>
            <w:r>
              <w:rPr>
                <w:noProof/>
              </w:rPr>
              <w:t>50</w:t>
            </w:r>
          </w:p>
        </w:tc>
        <w:tc>
          <w:tcPr>
            <w:tcW w:w="1985" w:type="dxa"/>
            <w:gridSpan w:val="2"/>
            <w:tcBorders>
              <w:top w:val="single" w:sz="4" w:space="0" w:color="auto"/>
              <w:left w:val="single" w:sz="4" w:space="0" w:color="auto"/>
              <w:bottom w:val="nil"/>
              <w:right w:val="single" w:sz="4" w:space="0" w:color="auto"/>
            </w:tcBorders>
          </w:tcPr>
          <w:p>
            <w:pPr>
              <w:spacing w:before="100" w:beforeAutospacing="1" w:after="100" w:afterAutospacing="1"/>
              <w:rPr>
                <w:noProof/>
              </w:rPr>
            </w:pPr>
            <w:r>
              <w:rPr>
                <w:noProof/>
              </w:rPr>
              <w:t>60</w:t>
            </w:r>
          </w:p>
        </w:tc>
        <w:tc>
          <w:tcPr>
            <w:tcW w:w="1843" w:type="dxa"/>
            <w:gridSpan w:val="3"/>
            <w:tcBorders>
              <w:top w:val="single" w:sz="4" w:space="0" w:color="auto"/>
              <w:left w:val="single" w:sz="4" w:space="0" w:color="auto"/>
              <w:bottom w:val="nil"/>
              <w:right w:val="single" w:sz="4" w:space="0" w:color="auto"/>
            </w:tcBorders>
          </w:tcPr>
          <w:p>
            <w:pPr>
              <w:spacing w:before="100" w:beforeAutospacing="1" w:after="100" w:afterAutospacing="1"/>
              <w:rPr>
                <w:noProof/>
              </w:rPr>
            </w:pPr>
            <w:r>
              <w:rPr>
                <w:noProof/>
              </w:rPr>
              <w:t>50</w:t>
            </w:r>
          </w:p>
        </w:tc>
        <w:tc>
          <w:tcPr>
            <w:tcW w:w="1984" w:type="dxa"/>
            <w:gridSpan w:val="3"/>
            <w:tcBorders>
              <w:top w:val="single" w:sz="4" w:space="0" w:color="auto"/>
              <w:left w:val="single" w:sz="4" w:space="0" w:color="auto"/>
              <w:bottom w:val="nil"/>
              <w:right w:val="single" w:sz="4" w:space="0" w:color="auto"/>
            </w:tcBorders>
          </w:tcPr>
          <w:p>
            <w:pPr>
              <w:spacing w:before="100" w:beforeAutospacing="1" w:after="100" w:afterAutospacing="1"/>
              <w:rPr>
                <w:noProof/>
              </w:rPr>
            </w:pPr>
            <w:r>
              <w:rPr>
                <w:noProof/>
              </w:rPr>
              <w:t>60</w:t>
            </w:r>
          </w:p>
        </w:tc>
        <w:tc>
          <w:tcPr>
            <w:tcW w:w="1701" w:type="dxa"/>
            <w:gridSpan w:val="2"/>
            <w:vMerge w:val="restart"/>
            <w:tcBorders>
              <w:top w:val="single" w:sz="4" w:space="0" w:color="auto"/>
              <w:left w:val="single" w:sz="4" w:space="0" w:color="auto"/>
              <w:right w:val="single" w:sz="4" w:space="0" w:color="auto"/>
            </w:tcBorders>
          </w:tcPr>
          <w:p>
            <w:pPr>
              <w:jc w:val="left"/>
              <w:rPr>
                <w:noProof/>
              </w:rPr>
            </w:pPr>
            <w:r>
              <w:rPr>
                <w:noProof/>
              </w:rPr>
              <w:t>III</w:t>
            </w:r>
          </w:p>
        </w:tc>
      </w:tr>
      <w:tr>
        <w:tblPrEx>
          <w:tblLook w:val="04A0" w:firstRow="1" w:lastRow="0" w:firstColumn="1" w:lastColumn="0" w:noHBand="0" w:noVBand="1"/>
        </w:tblPrEx>
        <w:tc>
          <w:tcPr>
            <w:tcW w:w="1809" w:type="dxa"/>
            <w:tcBorders>
              <w:top w:val="nil"/>
              <w:left w:val="single" w:sz="4" w:space="0" w:color="auto"/>
              <w:bottom w:val="single" w:sz="4" w:space="0" w:color="auto"/>
              <w:right w:val="single" w:sz="4" w:space="0" w:color="auto"/>
            </w:tcBorders>
          </w:tcPr>
          <w:p>
            <w:pPr>
              <w:spacing w:before="100" w:beforeAutospacing="1" w:after="100" w:afterAutospacing="1"/>
              <w:rPr>
                <w:noProof/>
              </w:rPr>
            </w:pPr>
            <w:r>
              <w:rPr>
                <w:noProof/>
              </w:rPr>
              <w:t>60</w:t>
            </w:r>
          </w:p>
        </w:tc>
        <w:tc>
          <w:tcPr>
            <w:tcW w:w="1985" w:type="dxa"/>
            <w:gridSpan w:val="2"/>
            <w:tcBorders>
              <w:top w:val="nil"/>
              <w:left w:val="single" w:sz="4" w:space="0" w:color="auto"/>
              <w:bottom w:val="single" w:sz="4" w:space="0" w:color="auto"/>
              <w:right w:val="single" w:sz="4" w:space="0" w:color="auto"/>
            </w:tcBorders>
          </w:tcPr>
          <w:p>
            <w:pPr>
              <w:spacing w:before="100" w:beforeAutospacing="1" w:after="100" w:afterAutospacing="1"/>
              <w:rPr>
                <w:noProof/>
              </w:rPr>
            </w:pPr>
          </w:p>
        </w:tc>
        <w:tc>
          <w:tcPr>
            <w:tcW w:w="1843" w:type="dxa"/>
            <w:gridSpan w:val="3"/>
            <w:tcBorders>
              <w:top w:val="nil"/>
              <w:left w:val="single" w:sz="4" w:space="0" w:color="auto"/>
              <w:bottom w:val="single" w:sz="4" w:space="0" w:color="auto"/>
              <w:right w:val="single" w:sz="4" w:space="0" w:color="auto"/>
            </w:tcBorders>
          </w:tcPr>
          <w:p>
            <w:pPr>
              <w:spacing w:before="100" w:beforeAutospacing="1" w:after="100" w:afterAutospacing="1"/>
              <w:rPr>
                <w:noProof/>
              </w:rPr>
            </w:pPr>
            <w:r>
              <w:rPr>
                <w:noProof/>
              </w:rPr>
              <w:t>60</w:t>
            </w:r>
          </w:p>
        </w:tc>
        <w:tc>
          <w:tcPr>
            <w:tcW w:w="1984" w:type="dxa"/>
            <w:gridSpan w:val="3"/>
            <w:tcBorders>
              <w:top w:val="nil"/>
              <w:left w:val="single" w:sz="4" w:space="0" w:color="auto"/>
              <w:bottom w:val="single" w:sz="4" w:space="0" w:color="auto"/>
              <w:right w:val="single" w:sz="4" w:space="0" w:color="auto"/>
            </w:tcBorders>
          </w:tcPr>
          <w:p>
            <w:pPr>
              <w:spacing w:before="100" w:beforeAutospacing="1" w:after="100" w:afterAutospacing="1"/>
              <w:rPr>
                <w:noProof/>
              </w:rPr>
            </w:pPr>
          </w:p>
        </w:tc>
        <w:tc>
          <w:tcPr>
            <w:tcW w:w="1701" w:type="dxa"/>
            <w:gridSpan w:val="2"/>
            <w:vMerge/>
            <w:tcBorders>
              <w:left w:val="single" w:sz="4" w:space="0" w:color="auto"/>
              <w:bottom w:val="single" w:sz="4" w:space="0" w:color="auto"/>
              <w:right w:val="single" w:sz="4" w:space="0" w:color="auto"/>
            </w:tcBorders>
          </w:tcPr>
          <w:p>
            <w:pPr>
              <w:spacing w:before="100" w:beforeAutospacing="1" w:after="100" w:afterAutospacing="1"/>
              <w:rPr>
                <w:noProof/>
              </w:rPr>
            </w:pPr>
          </w:p>
        </w:tc>
      </w:tr>
      <w:tr>
        <w:tblPrEx>
          <w:tblLook w:val="04A0" w:firstRow="1" w:lastRow="0" w:firstColumn="1" w:lastColumn="0" w:noHBand="0" w:noVBand="1"/>
        </w:tblPrEx>
        <w:tc>
          <w:tcPr>
            <w:tcW w:w="9322" w:type="dxa"/>
            <w:gridSpan w:val="11"/>
            <w:tcBorders>
              <w:top w:val="single" w:sz="4" w:space="0" w:color="auto"/>
            </w:tcBorders>
          </w:tcPr>
          <w:p>
            <w:pPr>
              <w:spacing w:before="100" w:beforeAutospacing="1" w:after="100" w:afterAutospacing="1"/>
              <w:rPr>
                <w:i/>
                <w:noProof/>
              </w:rPr>
            </w:pPr>
            <w:r>
              <w:rPr>
                <w:i/>
                <w:noProof/>
              </w:rPr>
              <w:t>8 ή 9 άξονες</w:t>
            </w:r>
          </w:p>
        </w:tc>
      </w:tr>
      <w:tr>
        <w:tblPrEx>
          <w:tblLook w:val="04A0" w:firstRow="1" w:lastRow="0" w:firstColumn="1" w:lastColumn="0" w:noHBand="0" w:noVBand="1"/>
        </w:tblPrEx>
        <w:tc>
          <w:tcPr>
            <w:tcW w:w="1809" w:type="dxa"/>
          </w:tcPr>
          <w:p>
            <w:pPr>
              <w:spacing w:before="100" w:beforeAutospacing="1" w:after="100" w:afterAutospacing="1"/>
              <w:rPr>
                <w:noProof/>
              </w:rPr>
            </w:pPr>
            <w:r>
              <w:rPr>
                <w:noProof/>
              </w:rPr>
              <w:t>40</w:t>
            </w:r>
          </w:p>
        </w:tc>
        <w:tc>
          <w:tcPr>
            <w:tcW w:w="2019" w:type="dxa"/>
            <w:gridSpan w:val="4"/>
          </w:tcPr>
          <w:p>
            <w:pPr>
              <w:spacing w:before="100" w:beforeAutospacing="1" w:after="100" w:afterAutospacing="1"/>
              <w:rPr>
                <w:noProof/>
              </w:rPr>
            </w:pPr>
            <w:r>
              <w:rPr>
                <w:noProof/>
              </w:rPr>
              <w:t>50</w:t>
            </w:r>
          </w:p>
        </w:tc>
        <w:tc>
          <w:tcPr>
            <w:tcW w:w="1809" w:type="dxa"/>
          </w:tcPr>
          <w:p>
            <w:pPr>
              <w:spacing w:before="100" w:beforeAutospacing="1" w:after="100" w:afterAutospacing="1"/>
              <w:rPr>
                <w:noProof/>
              </w:rPr>
            </w:pPr>
            <w:r>
              <w:rPr>
                <w:noProof/>
              </w:rPr>
              <w:t>40</w:t>
            </w:r>
          </w:p>
        </w:tc>
        <w:tc>
          <w:tcPr>
            <w:tcW w:w="1984" w:type="dxa"/>
            <w:gridSpan w:val="3"/>
          </w:tcPr>
          <w:p>
            <w:pPr>
              <w:spacing w:before="100" w:beforeAutospacing="1" w:after="100" w:afterAutospacing="1"/>
              <w:rPr>
                <w:noProof/>
              </w:rPr>
            </w:pPr>
            <w:r>
              <w:rPr>
                <w:noProof/>
              </w:rPr>
              <w:t>50</w:t>
            </w:r>
          </w:p>
        </w:tc>
        <w:tc>
          <w:tcPr>
            <w:tcW w:w="1701" w:type="dxa"/>
            <w:gridSpan w:val="2"/>
          </w:tcPr>
          <w:p>
            <w:pPr>
              <w:spacing w:before="100" w:beforeAutospacing="1" w:after="100" w:afterAutospacing="1"/>
              <w:rPr>
                <w:noProof/>
              </w:rPr>
            </w:pPr>
            <w:r>
              <w:rPr>
                <w:noProof/>
              </w:rPr>
              <w:t>I</w:t>
            </w:r>
          </w:p>
        </w:tc>
      </w:tr>
      <w:tr>
        <w:tblPrEx>
          <w:tblLook w:val="04A0" w:firstRow="1" w:lastRow="0" w:firstColumn="1" w:lastColumn="0" w:noHBand="0" w:noVBand="1"/>
        </w:tblPrEx>
        <w:tc>
          <w:tcPr>
            <w:tcW w:w="1809" w:type="dxa"/>
          </w:tcPr>
          <w:p>
            <w:pPr>
              <w:spacing w:before="100" w:beforeAutospacing="1" w:after="100" w:afterAutospacing="1"/>
              <w:rPr>
                <w:noProof/>
              </w:rPr>
            </w:pPr>
            <w:r>
              <w:rPr>
                <w:noProof/>
              </w:rPr>
              <w:lastRenderedPageBreak/>
              <w:t>50</w:t>
            </w:r>
          </w:p>
        </w:tc>
        <w:tc>
          <w:tcPr>
            <w:tcW w:w="2019" w:type="dxa"/>
            <w:gridSpan w:val="4"/>
          </w:tcPr>
          <w:p>
            <w:pPr>
              <w:spacing w:before="100" w:beforeAutospacing="1" w:after="100" w:afterAutospacing="1"/>
              <w:rPr>
                <w:noProof/>
              </w:rPr>
            </w:pPr>
            <w:r>
              <w:rPr>
                <w:noProof/>
              </w:rPr>
              <w:t>60</w:t>
            </w:r>
          </w:p>
        </w:tc>
        <w:tc>
          <w:tcPr>
            <w:tcW w:w="1809" w:type="dxa"/>
          </w:tcPr>
          <w:p>
            <w:pPr>
              <w:spacing w:before="100" w:beforeAutospacing="1" w:after="100" w:afterAutospacing="1"/>
              <w:rPr>
                <w:noProof/>
              </w:rPr>
            </w:pPr>
            <w:r>
              <w:rPr>
                <w:noProof/>
              </w:rPr>
              <w:t>50</w:t>
            </w:r>
          </w:p>
        </w:tc>
        <w:tc>
          <w:tcPr>
            <w:tcW w:w="1984" w:type="dxa"/>
            <w:gridSpan w:val="3"/>
          </w:tcPr>
          <w:p>
            <w:pPr>
              <w:spacing w:before="100" w:beforeAutospacing="1" w:after="100" w:afterAutospacing="1"/>
              <w:rPr>
                <w:noProof/>
              </w:rPr>
            </w:pPr>
            <w:r>
              <w:rPr>
                <w:noProof/>
              </w:rPr>
              <w:t>60</w:t>
            </w:r>
          </w:p>
        </w:tc>
        <w:tc>
          <w:tcPr>
            <w:tcW w:w="1701" w:type="dxa"/>
            <w:gridSpan w:val="2"/>
          </w:tcPr>
          <w:p>
            <w:pPr>
              <w:spacing w:before="100" w:beforeAutospacing="1" w:after="100" w:afterAutospacing="1"/>
              <w:rPr>
                <w:noProof/>
              </w:rPr>
            </w:pPr>
            <w:r>
              <w:rPr>
                <w:noProof/>
              </w:rPr>
              <w:t>II</w:t>
            </w:r>
          </w:p>
        </w:tc>
      </w:tr>
      <w:tr>
        <w:tblPrEx>
          <w:tblLook w:val="04A0" w:firstRow="1" w:lastRow="0" w:firstColumn="1" w:lastColumn="0" w:noHBand="0" w:noVBand="1"/>
        </w:tblPrEx>
        <w:tc>
          <w:tcPr>
            <w:tcW w:w="3828" w:type="dxa"/>
            <w:gridSpan w:val="5"/>
          </w:tcPr>
          <w:p>
            <w:pPr>
              <w:spacing w:before="100" w:beforeAutospacing="1" w:after="100" w:afterAutospacing="1"/>
              <w:rPr>
                <w:noProof/>
              </w:rPr>
            </w:pPr>
            <w:r>
              <w:rPr>
                <w:noProof/>
              </w:rPr>
              <w:t>60</w:t>
            </w:r>
          </w:p>
        </w:tc>
        <w:tc>
          <w:tcPr>
            <w:tcW w:w="3793" w:type="dxa"/>
            <w:gridSpan w:val="4"/>
          </w:tcPr>
          <w:p>
            <w:pPr>
              <w:spacing w:before="100" w:beforeAutospacing="1" w:after="100" w:afterAutospacing="1"/>
              <w:rPr>
                <w:noProof/>
              </w:rPr>
            </w:pPr>
            <w:r>
              <w:rPr>
                <w:noProof/>
              </w:rPr>
              <w:t>60</w:t>
            </w:r>
          </w:p>
        </w:tc>
        <w:tc>
          <w:tcPr>
            <w:tcW w:w="1701" w:type="dxa"/>
            <w:gridSpan w:val="2"/>
          </w:tcPr>
          <w:p>
            <w:pPr>
              <w:spacing w:before="100" w:beforeAutospacing="1" w:after="100" w:afterAutospacing="1"/>
              <w:rPr>
                <w:noProof/>
              </w:rPr>
            </w:pPr>
            <w:r>
              <w:rPr>
                <w:noProof/>
              </w:rPr>
              <w:t>III»·</w:t>
            </w:r>
          </w:p>
        </w:tc>
      </w:tr>
    </w:tbl>
    <w:p>
      <w:pPr>
        <w:rPr>
          <w:noProof/>
        </w:rPr>
      </w:pPr>
    </w:p>
    <w:p>
      <w:pPr>
        <w:rPr>
          <w:noProof/>
        </w:rPr>
      </w:pPr>
      <w:r>
        <w:rPr>
          <w:noProof/>
        </w:rPr>
        <w:t>(2)</w:t>
      </w:r>
      <w:r>
        <w:rPr>
          <w:noProof/>
        </w:rPr>
        <w:tab/>
        <w:t>προστίθενται τα ακόλουθα παραρτήματα V, VI και VII:</w:t>
      </w:r>
    </w:p>
    <w:p>
      <w:pPr>
        <w:jc w:val="center"/>
        <w:rPr>
          <w:rFonts w:eastAsia="Arial Unicode MS"/>
          <w:i/>
          <w:iCs/>
          <w:noProof/>
        </w:rPr>
      </w:pPr>
      <w:r>
        <w:rPr>
          <w:i/>
          <w:noProof/>
        </w:rPr>
        <w:t>«ΠΑΡΑΡΤΗΜΑ V</w:t>
      </w:r>
    </w:p>
    <w:p>
      <w:pPr>
        <w:jc w:val="center"/>
        <w:rPr>
          <w:rFonts w:eastAsia="Arial Unicode MS"/>
          <w:b/>
          <w:bCs/>
          <w:noProof/>
        </w:rPr>
      </w:pPr>
      <w:r>
        <w:rPr>
          <w:b/>
          <w:noProof/>
        </w:rPr>
        <w:t>ΕΛΑΧΙΣΤΕΣ ΑΠΑΙΤΗΣΕΙΣ ΓΙΑ ΤΗΝ ΕΠΙΒΟΛΗ ΤΕΛΟΥΣ ΚΥΚΛΟΦΟΡΙΑΚΗΣ ΣΥΜΦΟΡΗΣΗΣ</w:t>
      </w:r>
    </w:p>
    <w:p>
      <w:pPr>
        <w:spacing w:after="0"/>
        <w:rPr>
          <w:rFonts w:eastAsia="Arial Unicode MS"/>
          <w:noProof/>
        </w:rPr>
      </w:pPr>
      <w:r>
        <w:rPr>
          <w:noProof/>
        </w:rPr>
        <w:t>Το παρόν παράρτημα καθορίζει τις ελάχιστες απαιτήσεις για την επιβολή τέλους κυκλοφοριακής συμφόρησης.</w:t>
      </w:r>
    </w:p>
    <w:p>
      <w:pPr>
        <w:spacing w:after="0"/>
        <w:rPr>
          <w:rFonts w:eastAsia="Arial Unicode MS"/>
          <w:noProof/>
        </w:rPr>
      </w:pPr>
      <w:r>
        <w:rPr>
          <w:noProof/>
        </w:rPr>
        <w:t>1.   </w:t>
      </w:r>
      <w:r>
        <w:rPr>
          <w:b/>
          <w:noProof/>
        </w:rPr>
        <w:t xml:space="preserve"> Καλυπτόμενα τμήματα του δικτύου που υπόκεινται σε τέλη κυκλοφοριακής συμφόρησης, οχήματα και χρονικά διαστήματα</w:t>
      </w:r>
    </w:p>
    <w:p>
      <w:pPr>
        <w:spacing w:after="0"/>
        <w:rPr>
          <w:rFonts w:eastAsia="Arial Unicode MS"/>
          <w:noProof/>
        </w:rPr>
      </w:pPr>
      <w:r>
        <w:rPr>
          <w:noProof/>
        </w:rPr>
        <w:t>Τα κράτη μέλη προσδιορίζουν με ακρίβεια:</w:t>
      </w:r>
    </w:p>
    <w:p>
      <w:pPr>
        <w:spacing w:after="0"/>
        <w:rPr>
          <w:rFonts w:eastAsia="Arial Unicode MS"/>
          <w:noProof/>
        </w:rPr>
      </w:pPr>
      <w:r>
        <w:rPr>
          <w:noProof/>
        </w:rPr>
        <w:t xml:space="preserve">α) το τμήμα ή τα τμήματα του δικτύου τους που αποτελούνται από το μερίδιό τους στο διευρωπαϊκό δίκτυο και τους αυτοκινητόδρομούς τους που αναφέρονται στο άρθρο 7 παράγραφος 1, τα οποία υπόκεινται σε τέλος κυκλοφοριακής συμφόρησης σύμφωνα με το άρθρο 7δα παράγραφοι 1 και 3.  </w:t>
      </w:r>
    </w:p>
    <w:p>
      <w:pPr>
        <w:spacing w:after="0"/>
        <w:rPr>
          <w:rFonts w:eastAsia="Arial Unicode MS"/>
          <w:noProof/>
        </w:rPr>
      </w:pPr>
      <w:r>
        <w:rPr>
          <w:noProof/>
        </w:rPr>
        <w:t>β) την ταξινόμηση τμημάτων του δικτύου που υπόκεινται στο τέλος κυκλοφοριακής συμφόρησης ως «μητροπολιτικών» και «μη μητροπολιτικών». Τα κράτη μέλη χρησιμοποιούν τα κριτήρια που καθορίζονται στον πίνακα 1 με σκοπό την ταξινόμηση κάθε τμήματος οδού.</w:t>
      </w:r>
    </w:p>
    <w:p>
      <w:pPr>
        <w:spacing w:after="0"/>
        <w:rPr>
          <w:rFonts w:eastAsia="Arial Unicode MS"/>
          <w:i/>
          <w:noProof/>
        </w:rPr>
      </w:pPr>
      <w:r>
        <w:rPr>
          <w:i/>
          <w:noProof/>
        </w:rPr>
        <w:t>Πίνακας 1: Κριτήρια για την ταξινόμηση των οδών του δικτύου του στοιχείου α) ως «μητροπολιτικών» και «μη μητροπολιτικών».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tc>
          <w:tcPr>
            <w:tcW w:w="4644" w:type="dxa"/>
            <w:shd w:val="clear" w:color="auto" w:fill="auto"/>
          </w:tcPr>
          <w:p>
            <w:pPr>
              <w:spacing w:after="0"/>
              <w:rPr>
                <w:rFonts w:eastAsia="Arial Unicode MS"/>
                <w:b/>
                <w:noProof/>
              </w:rPr>
            </w:pPr>
            <w:r>
              <w:rPr>
                <w:b/>
                <w:noProof/>
              </w:rPr>
              <w:t>Κατηγορία οδού</w:t>
            </w:r>
          </w:p>
        </w:tc>
        <w:tc>
          <w:tcPr>
            <w:tcW w:w="4644" w:type="dxa"/>
            <w:shd w:val="clear" w:color="auto" w:fill="auto"/>
          </w:tcPr>
          <w:p>
            <w:pPr>
              <w:spacing w:after="0"/>
              <w:rPr>
                <w:rFonts w:eastAsia="Arial Unicode MS"/>
                <w:b/>
                <w:noProof/>
              </w:rPr>
            </w:pPr>
            <w:r>
              <w:rPr>
                <w:b/>
                <w:noProof/>
              </w:rPr>
              <w:t>Κριτήριο ταξινόμησης</w:t>
            </w:r>
          </w:p>
        </w:tc>
      </w:tr>
      <w:tr>
        <w:tc>
          <w:tcPr>
            <w:tcW w:w="4644" w:type="dxa"/>
            <w:shd w:val="clear" w:color="auto" w:fill="auto"/>
          </w:tcPr>
          <w:p>
            <w:pPr>
              <w:spacing w:after="0"/>
              <w:rPr>
                <w:rFonts w:eastAsia="Arial Unicode MS"/>
                <w:noProof/>
              </w:rPr>
            </w:pPr>
            <w:r>
              <w:rPr>
                <w:noProof/>
              </w:rPr>
              <w:t>«μητροπολιτικές»</w:t>
            </w:r>
          </w:p>
        </w:tc>
        <w:tc>
          <w:tcPr>
            <w:tcW w:w="4644" w:type="dxa"/>
            <w:shd w:val="clear" w:color="auto" w:fill="auto"/>
          </w:tcPr>
          <w:p>
            <w:pPr>
              <w:spacing w:after="0"/>
              <w:rPr>
                <w:rFonts w:eastAsia="Arial Unicode MS"/>
                <w:noProof/>
              </w:rPr>
            </w:pPr>
            <w:r>
              <w:rPr>
                <w:noProof/>
              </w:rPr>
              <w:t>Τμήματα του δικτύου που διέρχονται από οικισμούς με πληθυσμό 250.000 κατοίκων ή περισσότερων</w:t>
            </w:r>
          </w:p>
        </w:tc>
      </w:tr>
      <w:tr>
        <w:tc>
          <w:tcPr>
            <w:tcW w:w="4644" w:type="dxa"/>
            <w:shd w:val="clear" w:color="auto" w:fill="auto"/>
          </w:tcPr>
          <w:p>
            <w:pPr>
              <w:spacing w:after="0"/>
              <w:rPr>
                <w:rFonts w:eastAsia="Arial Unicode MS"/>
                <w:noProof/>
              </w:rPr>
            </w:pPr>
            <w:r>
              <w:rPr>
                <w:noProof/>
              </w:rPr>
              <w:t>«μη μητροπολιτικές»</w:t>
            </w:r>
          </w:p>
        </w:tc>
        <w:tc>
          <w:tcPr>
            <w:tcW w:w="4644" w:type="dxa"/>
            <w:shd w:val="clear" w:color="auto" w:fill="auto"/>
          </w:tcPr>
          <w:p>
            <w:pPr>
              <w:spacing w:after="0"/>
              <w:rPr>
                <w:rFonts w:eastAsia="Arial Unicode MS"/>
                <w:noProof/>
              </w:rPr>
            </w:pPr>
            <w:r>
              <w:rPr>
                <w:noProof/>
              </w:rPr>
              <w:t>Τμήματα του δικτύου που δεν εμπίπτουν στην κατηγορία των «μητροπολιτικών»</w:t>
            </w:r>
          </w:p>
        </w:tc>
      </w:tr>
    </w:tbl>
    <w:p>
      <w:pPr>
        <w:spacing w:after="0"/>
        <w:rPr>
          <w:rFonts w:eastAsia="Arial Unicode MS"/>
          <w:noProof/>
        </w:rPr>
      </w:pPr>
      <w:r>
        <w:rPr>
          <w:noProof/>
        </w:rPr>
        <w:t>γ) τα χρονικά διαστήματα στα οποία ισχύει το τέλος, για κάθε επιμέρους τμήμα. Στις περιπτώσεις που ισχύουν διαφορετικά επίπεδα τελών κατά τη διάρκεια της περιόδου επιβολής τελών, τα κράτη μέλη καθορίζουν σαφώς την αρχή και το τέλος κάθε περιόδου κατά την οποία εφαρμόζεται ορισμένο τέλος.</w:t>
      </w:r>
    </w:p>
    <w:p>
      <w:pPr>
        <w:spacing w:after="0"/>
        <w:rPr>
          <w:noProof/>
        </w:rPr>
      </w:pPr>
      <w:r>
        <w:rPr>
          <w:noProof/>
        </w:rPr>
        <w:t>Τα κράτη μέλη χρησιμοποιούν τους συντελεστές ισοδυναμίας που καθορίζονται στον πίνακα 2 με σκοπό τον προσδιορισμό της αναλογίας μεταξύ των επιπέδων των τελών για διαφορετικές κατηγορίες οχημάτων:</w:t>
      </w:r>
    </w:p>
    <w:p>
      <w:pPr>
        <w:spacing w:after="0"/>
        <w:rPr>
          <w:rFonts w:eastAsia="Arial Unicode MS"/>
          <w:i/>
          <w:noProof/>
        </w:rPr>
      </w:pPr>
      <w:r>
        <w:rPr>
          <w:i/>
          <w:noProof/>
        </w:rPr>
        <w:t>Πίνακας 2: Συντελεστές ισοδυναμίας για τον προσδιορισμό της αναλογίας μεταξύ των επιπέδων των τελών κυκλοφοριακής συμφόρησης για διαφορετικές κατηγορίες οχημάτων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tc>
          <w:tcPr>
            <w:tcW w:w="4644" w:type="dxa"/>
          </w:tcPr>
          <w:p>
            <w:pPr>
              <w:spacing w:after="0"/>
              <w:rPr>
                <w:rFonts w:eastAsia="Arial Unicode MS"/>
                <w:b/>
                <w:noProof/>
              </w:rPr>
            </w:pPr>
            <w:r>
              <w:rPr>
                <w:b/>
                <w:noProof/>
              </w:rPr>
              <w:t>Κατηγορία οχήματος</w:t>
            </w:r>
          </w:p>
        </w:tc>
        <w:tc>
          <w:tcPr>
            <w:tcW w:w="4644" w:type="dxa"/>
          </w:tcPr>
          <w:p>
            <w:pPr>
              <w:spacing w:after="0"/>
              <w:rPr>
                <w:rFonts w:eastAsia="Arial Unicode MS"/>
                <w:b/>
                <w:noProof/>
              </w:rPr>
            </w:pPr>
            <w:r>
              <w:rPr>
                <w:b/>
                <w:noProof/>
              </w:rPr>
              <w:t>Συντελεστής ισοδυναμίας</w:t>
            </w:r>
          </w:p>
        </w:tc>
      </w:tr>
      <w:tr>
        <w:tc>
          <w:tcPr>
            <w:tcW w:w="4644" w:type="dxa"/>
          </w:tcPr>
          <w:p>
            <w:pPr>
              <w:spacing w:after="0"/>
              <w:rPr>
                <w:rFonts w:eastAsia="Arial Unicode MS"/>
                <w:noProof/>
              </w:rPr>
            </w:pPr>
            <w:r>
              <w:rPr>
                <w:noProof/>
              </w:rPr>
              <w:t xml:space="preserve">Ελαφρά οχήματα </w:t>
            </w:r>
          </w:p>
        </w:tc>
        <w:tc>
          <w:tcPr>
            <w:tcW w:w="4644" w:type="dxa"/>
          </w:tcPr>
          <w:p>
            <w:pPr>
              <w:spacing w:after="0"/>
              <w:rPr>
                <w:rFonts w:eastAsia="Arial Unicode MS"/>
                <w:noProof/>
              </w:rPr>
            </w:pPr>
            <w:r>
              <w:rPr>
                <w:noProof/>
              </w:rPr>
              <w:t>1</w:t>
            </w:r>
          </w:p>
        </w:tc>
      </w:tr>
      <w:tr>
        <w:tc>
          <w:tcPr>
            <w:tcW w:w="4644" w:type="dxa"/>
          </w:tcPr>
          <w:p>
            <w:pPr>
              <w:spacing w:after="0"/>
              <w:rPr>
                <w:rFonts w:eastAsia="Arial Unicode MS"/>
                <w:noProof/>
              </w:rPr>
            </w:pPr>
            <w:r>
              <w:rPr>
                <w:noProof/>
              </w:rPr>
              <w:t>Δύσκαμπτα βαρέα φορτηγά οχήματα</w:t>
            </w:r>
          </w:p>
        </w:tc>
        <w:tc>
          <w:tcPr>
            <w:tcW w:w="4644" w:type="dxa"/>
          </w:tcPr>
          <w:p>
            <w:pPr>
              <w:spacing w:after="0"/>
              <w:rPr>
                <w:rFonts w:eastAsia="Arial Unicode MS"/>
                <w:noProof/>
              </w:rPr>
            </w:pPr>
            <w:r>
              <w:rPr>
                <w:noProof/>
              </w:rPr>
              <w:t>1,9</w:t>
            </w:r>
          </w:p>
        </w:tc>
      </w:tr>
      <w:tr>
        <w:tc>
          <w:tcPr>
            <w:tcW w:w="4644" w:type="dxa"/>
          </w:tcPr>
          <w:p>
            <w:pPr>
              <w:spacing w:after="0"/>
              <w:rPr>
                <w:rFonts w:eastAsia="Arial Unicode MS"/>
                <w:noProof/>
              </w:rPr>
            </w:pPr>
            <w:r>
              <w:rPr>
                <w:noProof/>
              </w:rPr>
              <w:lastRenderedPageBreak/>
              <w:t>Λεωφορεία και πούλμαν</w:t>
            </w:r>
          </w:p>
        </w:tc>
        <w:tc>
          <w:tcPr>
            <w:tcW w:w="4644" w:type="dxa"/>
          </w:tcPr>
          <w:p>
            <w:pPr>
              <w:spacing w:after="0"/>
              <w:rPr>
                <w:rFonts w:eastAsia="Arial Unicode MS"/>
                <w:noProof/>
              </w:rPr>
            </w:pPr>
            <w:r>
              <w:rPr>
                <w:noProof/>
              </w:rPr>
              <w:t>2,5</w:t>
            </w:r>
          </w:p>
        </w:tc>
      </w:tr>
      <w:tr>
        <w:tc>
          <w:tcPr>
            <w:tcW w:w="4644" w:type="dxa"/>
          </w:tcPr>
          <w:p>
            <w:pPr>
              <w:spacing w:after="0"/>
              <w:rPr>
                <w:rFonts w:eastAsia="Arial Unicode MS"/>
                <w:noProof/>
              </w:rPr>
            </w:pPr>
            <w:r>
              <w:rPr>
                <w:noProof/>
              </w:rPr>
              <w:t>Αρθρωτά βαρέα φορτηγά οχήματα</w:t>
            </w:r>
          </w:p>
        </w:tc>
        <w:tc>
          <w:tcPr>
            <w:tcW w:w="4644" w:type="dxa"/>
          </w:tcPr>
          <w:p>
            <w:pPr>
              <w:spacing w:after="0"/>
              <w:rPr>
                <w:rFonts w:eastAsia="Arial Unicode MS"/>
                <w:noProof/>
              </w:rPr>
            </w:pPr>
            <w:r>
              <w:rPr>
                <w:noProof/>
              </w:rPr>
              <w:t>2,9</w:t>
            </w:r>
          </w:p>
        </w:tc>
      </w:tr>
    </w:tbl>
    <w:p>
      <w:pPr>
        <w:spacing w:after="0"/>
        <w:rPr>
          <w:noProof/>
        </w:rPr>
      </w:pPr>
    </w:p>
    <w:p>
      <w:pPr>
        <w:spacing w:after="0"/>
        <w:rPr>
          <w:rFonts w:eastAsia="Arial Unicode MS"/>
          <w:noProof/>
        </w:rPr>
      </w:pPr>
      <w:r>
        <w:rPr>
          <w:noProof/>
        </w:rPr>
        <w:t>2.   </w:t>
      </w:r>
      <w:r>
        <w:rPr>
          <w:b/>
          <w:noProof/>
        </w:rPr>
        <w:t xml:space="preserve"> Ύψος του τέλους</w:t>
      </w:r>
    </w:p>
    <w:p>
      <w:pPr>
        <w:spacing w:after="0"/>
        <w:rPr>
          <w:rFonts w:eastAsia="Arial Unicode MS"/>
          <w:noProof/>
        </w:rPr>
      </w:pPr>
      <w:r>
        <w:rPr>
          <w:noProof/>
        </w:rPr>
        <w:t>Για κάθε κατηγορία οχήματος, τμήμα οδού και χρονικό διάστημα, το κράτος μέλος ή, κατά περίπτωση, η ανεξάρτητη αρχή καθορίζει ενιαίο συγκεκριμένο ποσό, σύμφωνα με τις διατάξεις του τμήματος 1 του παρόντος παραρτήματος, λαμβανομένης υπόψη της αντίστοιχης μέγιστης αξίας που καθορίζεται στον πίνακα του παραρτήματος VI. Η επακόλουθη διάρθρωση της χρέωσης είναι διαφανής, δημοσιοποιείται και διατίθεται επί ίσοις όροις σε όλους τους χρήστες.</w:t>
      </w:r>
    </w:p>
    <w:p>
      <w:pPr>
        <w:spacing w:after="0"/>
        <w:rPr>
          <w:rFonts w:eastAsia="Arial Unicode MS"/>
          <w:noProof/>
        </w:rPr>
      </w:pPr>
      <w:r>
        <w:rPr>
          <w:noProof/>
        </w:rPr>
        <w:t>Πριν την επιβολή τέλους κυκλοφοριακής συμφόρησης, τα κράτη μέλη δημοσιεύουν εγκαίρως όλα τα παρακάτω:</w:t>
      </w:r>
    </w:p>
    <w:p>
      <w:pPr>
        <w:spacing w:after="0"/>
        <w:rPr>
          <w:rFonts w:eastAsia="Arial Unicode MS"/>
          <w:noProof/>
        </w:rPr>
      </w:pPr>
      <w:r>
        <w:rPr>
          <w:noProof/>
        </w:rPr>
        <w:t>α)</w:t>
      </w:r>
      <w:r>
        <w:rPr>
          <w:noProof/>
        </w:rPr>
        <w:tab/>
        <w:t>όλες τις παραμέτρους, τα δεδομένα και λοιπές πληροφορίες που απαιτούνται για την κατανόηση του τρόπου θέσπισης της ταξινόμησης οδών και οχημάτων και καθορισμού περιόδων επιβολής του τέλους·</w:t>
      </w:r>
    </w:p>
    <w:p>
      <w:pPr>
        <w:spacing w:after="0"/>
        <w:rPr>
          <w:rFonts w:eastAsia="Arial Unicode MS"/>
          <w:noProof/>
        </w:rPr>
      </w:pPr>
      <w:r>
        <w:rPr>
          <w:noProof/>
        </w:rPr>
        <w:t>β)</w:t>
      </w:r>
      <w:r>
        <w:rPr>
          <w:noProof/>
        </w:rPr>
        <w:tab/>
        <w:t xml:space="preserve">την ολοκληρωμένη περιγραφή των τελών κυκλοφοριακής συμφόρησης που επιβάλλονται σε κάθε κατηγορία οχήματος σε κάθε τμήμα οδού και για κάθε χρονικό διάστημα. </w:t>
      </w:r>
    </w:p>
    <w:p>
      <w:pPr>
        <w:spacing w:after="0"/>
        <w:rPr>
          <w:rFonts w:eastAsia="Arial Unicode MS"/>
          <w:noProof/>
        </w:rPr>
      </w:pPr>
      <w:r>
        <w:rPr>
          <w:noProof/>
        </w:rPr>
        <w:t>Τα κράτη μέλη θέτουν στη διάθεση της Επιτροπής όλες τις πληροφορίες που δημοσιεύονται δυνάμει των στοιχείων α) και β).</w:t>
      </w:r>
    </w:p>
    <w:p>
      <w:pPr>
        <w:spacing w:after="0"/>
        <w:rPr>
          <w:rFonts w:eastAsia="Arial Unicode MS"/>
          <w:noProof/>
        </w:rPr>
      </w:pPr>
      <w:r>
        <w:rPr>
          <w:noProof/>
        </w:rPr>
        <w:t>Το τέλος καθορίζεται μόνο αφού ληφθεί υπόψη ο κίνδυνος παράκαμψης της κυκλοφορίας σε συνδυασμό με την έλλειψη δυσμενών επιπτώσεων στην οδική ασφάλεια, το περιβάλλον και τη συμφόρηση, και εξετασθούν λύσεις για τον μετριασμό των επιπτώσεων των εν λόγω κινδύνων.</w:t>
      </w:r>
    </w:p>
    <w:p>
      <w:pPr>
        <w:spacing w:after="0"/>
        <w:rPr>
          <w:rFonts w:eastAsia="Arial Unicode MS"/>
          <w:noProof/>
        </w:rPr>
      </w:pPr>
      <w:r>
        <w:rPr>
          <w:noProof/>
        </w:rPr>
        <w:t>Το κράτος μέλος ή, κατά περίπτωση, η ανεξάρτητη αρχή παρακολουθεί την αποτελεσματικότητα του καθεστώτος επιβολής τελών όσον αφορά τη μείωση της κυκλοφοριακής συμφόρησης. Προσαρμόζει ετησίως, κατά περίπτωση, τη διάρθρωση χρέωσης, την περίοδο(-ους) επιβολής του τέλους και το συγκεκριμένο ύψος του τέλους που έχει καθοριστεί για δεδομένη κατηγορία οχημάτων, τύπο οδικού δικτύου και χρονική περίοδο, βάσει των αλλαγών της προσφοράς και της ζήτησης για μεταφορές.</w:t>
      </w:r>
    </w:p>
    <w:p>
      <w:pPr>
        <w:spacing w:before="0" w:after="200" w:line="276" w:lineRule="auto"/>
        <w:jc w:val="left"/>
        <w:rPr>
          <w:rFonts w:eastAsia="Arial Unicode MS"/>
          <w:noProof/>
        </w:rPr>
      </w:pPr>
    </w:p>
    <w:p>
      <w:pPr>
        <w:jc w:val="center"/>
        <w:rPr>
          <w:rFonts w:eastAsia="Arial Unicode MS"/>
          <w:i/>
          <w:iCs/>
          <w:noProof/>
        </w:rPr>
      </w:pPr>
      <w:r>
        <w:rPr>
          <w:i/>
          <w:noProof/>
        </w:rPr>
        <w:t>ΠΑΡΑΡΤΗΜΑ VΙ</w:t>
      </w:r>
    </w:p>
    <w:p>
      <w:pPr>
        <w:spacing w:after="0"/>
        <w:jc w:val="center"/>
        <w:rPr>
          <w:rFonts w:eastAsia="Arial Unicode MS"/>
          <w:b/>
          <w:bCs/>
          <w:noProof/>
        </w:rPr>
      </w:pPr>
      <w:r>
        <w:rPr>
          <w:b/>
          <w:noProof/>
        </w:rPr>
        <w:t>ΜΕΓΙΣΤΟ ΕΠΙΠΕΔΟ ΤΕΛΟΥΣ ΚΥΚΛΟΦΟΡΙΑΚΗΣ ΣΥΜΦΟΡΗΣΗΣ</w:t>
      </w:r>
    </w:p>
    <w:p>
      <w:pPr>
        <w:spacing w:after="0"/>
        <w:rPr>
          <w:rFonts w:eastAsia="Arial Unicode MS"/>
          <w:noProof/>
        </w:rPr>
      </w:pPr>
      <w:r>
        <w:rPr>
          <w:noProof/>
        </w:rPr>
        <w:t>Το παρόν παράρτημα καθορίζει το μέγιστο επίπεδο του τέλους κυκλοφοριακής συμφόρησης.</w:t>
      </w:r>
    </w:p>
    <w:p>
      <w:pPr>
        <w:spacing w:after="0"/>
        <w:rPr>
          <w:rFonts w:eastAsia="Arial Unicode MS"/>
          <w:noProof/>
        </w:rPr>
      </w:pPr>
      <w:r>
        <w:rPr>
          <w:noProof/>
        </w:rPr>
        <w:t>Τα μέγιστα επίπεδα που προβλέπονται στον παρακάτω πίνακα εφαρμόζονται στα ελαφρά οχήματα. Τα τέλη για άλλες κατηγορίες οχημάτων καθορίζονται με πολλαπλασιασμό του τέλους που επιβάλλεται στα ελαφρά οχήματα με τους συντελεστές ισοδυναμίας που καθορίζονται στον πίνακα του παραρτήματος V.</w:t>
      </w:r>
    </w:p>
    <w:tbl>
      <w:tblPr>
        <w:tblpPr w:leftFromText="180" w:rightFromText="180" w:vertAnchor="text" w:horzAnchor="page" w:tblpX="1903" w:tblpY="709"/>
        <w:tblW w:w="6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gridCol w:w="1904"/>
        <w:gridCol w:w="1814"/>
      </w:tblGrid>
      <w:tr>
        <w:tc>
          <w:tcPr>
            <w:tcW w:w="1523" w:type="pct"/>
          </w:tcPr>
          <w:p>
            <w:pPr>
              <w:spacing w:before="100" w:beforeAutospacing="1" w:after="100" w:afterAutospacing="1"/>
              <w:jc w:val="center"/>
              <w:rPr>
                <w:b/>
                <w:bCs/>
                <w:noProof/>
              </w:rPr>
            </w:pPr>
            <w:r>
              <w:rPr>
                <w:b/>
                <w:noProof/>
              </w:rPr>
              <w:t>ευρωλεπτά/οχηματοχιλιόμετρο</w:t>
            </w:r>
          </w:p>
        </w:tc>
        <w:tc>
          <w:tcPr>
            <w:tcW w:w="1523" w:type="pct"/>
            <w:hideMark/>
          </w:tcPr>
          <w:p>
            <w:pPr>
              <w:spacing w:before="100" w:beforeAutospacing="1" w:after="100" w:afterAutospacing="1"/>
              <w:jc w:val="center"/>
              <w:rPr>
                <w:b/>
                <w:noProof/>
              </w:rPr>
            </w:pPr>
            <w:r>
              <w:rPr>
                <w:b/>
                <w:noProof/>
              </w:rPr>
              <w:t>Μητροπολιτικές</w:t>
            </w:r>
          </w:p>
        </w:tc>
        <w:tc>
          <w:tcPr>
            <w:tcW w:w="1954" w:type="pct"/>
            <w:hideMark/>
          </w:tcPr>
          <w:p>
            <w:pPr>
              <w:spacing w:before="100" w:beforeAutospacing="1" w:after="100" w:afterAutospacing="1"/>
              <w:jc w:val="center"/>
              <w:rPr>
                <w:b/>
                <w:noProof/>
              </w:rPr>
            </w:pPr>
            <w:r>
              <w:rPr>
                <w:b/>
                <w:noProof/>
              </w:rPr>
              <w:t xml:space="preserve">Μη </w:t>
            </w:r>
            <w:r>
              <w:rPr>
                <w:b/>
                <w:noProof/>
              </w:rPr>
              <w:lastRenderedPageBreak/>
              <w:t>μητροπολιτικές</w:t>
            </w:r>
          </w:p>
        </w:tc>
      </w:tr>
      <w:tr>
        <w:tc>
          <w:tcPr>
            <w:tcW w:w="1523" w:type="pct"/>
          </w:tcPr>
          <w:p>
            <w:pPr>
              <w:spacing w:before="100" w:beforeAutospacing="1" w:after="100" w:afterAutospacing="1"/>
              <w:jc w:val="center"/>
              <w:rPr>
                <w:noProof/>
              </w:rPr>
            </w:pPr>
            <w:r>
              <w:rPr>
                <w:noProof/>
              </w:rPr>
              <w:lastRenderedPageBreak/>
              <w:t>Αυτοκινητόδρομοι</w:t>
            </w:r>
          </w:p>
        </w:tc>
        <w:tc>
          <w:tcPr>
            <w:tcW w:w="1523" w:type="pct"/>
            <w:hideMark/>
          </w:tcPr>
          <w:p>
            <w:pPr>
              <w:spacing w:before="100" w:beforeAutospacing="1" w:after="100" w:afterAutospacing="1"/>
              <w:jc w:val="center"/>
              <w:rPr>
                <w:noProof/>
              </w:rPr>
            </w:pPr>
            <w:r>
              <w:rPr>
                <w:noProof/>
              </w:rPr>
              <w:t>67</w:t>
            </w:r>
          </w:p>
        </w:tc>
        <w:tc>
          <w:tcPr>
            <w:tcW w:w="1954" w:type="pct"/>
            <w:hideMark/>
          </w:tcPr>
          <w:p>
            <w:pPr>
              <w:spacing w:before="100" w:beforeAutospacing="1" w:after="100" w:afterAutospacing="1"/>
              <w:jc w:val="center"/>
              <w:rPr>
                <w:noProof/>
              </w:rPr>
            </w:pPr>
            <w:r>
              <w:rPr>
                <w:noProof/>
              </w:rPr>
              <w:t>34</w:t>
            </w:r>
          </w:p>
        </w:tc>
      </w:tr>
      <w:tr>
        <w:tc>
          <w:tcPr>
            <w:tcW w:w="1523" w:type="pct"/>
          </w:tcPr>
          <w:p>
            <w:pPr>
              <w:spacing w:before="100" w:beforeAutospacing="1" w:after="100" w:afterAutospacing="1"/>
              <w:jc w:val="center"/>
              <w:rPr>
                <w:noProof/>
              </w:rPr>
            </w:pPr>
            <w:r>
              <w:rPr>
                <w:noProof/>
              </w:rPr>
              <w:t>Κεντρικές οδοί</w:t>
            </w:r>
          </w:p>
        </w:tc>
        <w:tc>
          <w:tcPr>
            <w:tcW w:w="1523" w:type="pct"/>
          </w:tcPr>
          <w:p>
            <w:pPr>
              <w:spacing w:before="100" w:beforeAutospacing="1" w:after="100" w:afterAutospacing="1"/>
              <w:jc w:val="center"/>
              <w:rPr>
                <w:noProof/>
              </w:rPr>
            </w:pPr>
            <w:r>
              <w:rPr>
                <w:noProof/>
              </w:rPr>
              <w:t>198</w:t>
            </w:r>
          </w:p>
        </w:tc>
        <w:tc>
          <w:tcPr>
            <w:tcW w:w="1954" w:type="pct"/>
          </w:tcPr>
          <w:p>
            <w:pPr>
              <w:spacing w:before="100" w:beforeAutospacing="1" w:after="100" w:afterAutospacing="1"/>
              <w:jc w:val="center"/>
              <w:rPr>
                <w:noProof/>
              </w:rPr>
            </w:pPr>
            <w:r>
              <w:rPr>
                <w:noProof/>
              </w:rPr>
              <w:t>66</w:t>
            </w:r>
          </w:p>
        </w:tc>
      </w:tr>
    </w:tbl>
    <w:p>
      <w:pPr>
        <w:spacing w:before="240" w:after="0"/>
        <w:ind w:left="806" w:hanging="403"/>
        <w:rPr>
          <w:rFonts w:eastAsia="Arial Unicode MS"/>
          <w:i/>
          <w:noProof/>
        </w:rPr>
      </w:pPr>
      <w:r>
        <w:rPr>
          <w:i/>
          <w:noProof/>
        </w:rPr>
        <w:t>Πίνακας: Μέγιστο επίπεδο τέλους κυκλοφοριακής συμφόρησης για τα ελαφρά οχήματα</w:t>
      </w:r>
    </w:p>
    <w:p>
      <w:pPr>
        <w:spacing w:before="100" w:beforeAutospacing="1" w:after="0"/>
        <w:ind w:left="806" w:hanging="403"/>
        <w:rPr>
          <w:rFonts w:eastAsia="Arial Unicode MS"/>
          <w:i/>
          <w:noProof/>
        </w:rPr>
      </w:pPr>
    </w:p>
    <w:p>
      <w:pPr>
        <w:spacing w:before="100" w:beforeAutospacing="1" w:after="0"/>
        <w:ind w:left="806" w:hanging="403"/>
        <w:rPr>
          <w:rFonts w:eastAsia="Arial Unicode MS"/>
          <w:i/>
          <w:iCs/>
          <w:noProof/>
        </w:rPr>
      </w:pPr>
    </w:p>
    <w:p>
      <w:pPr>
        <w:jc w:val="center"/>
        <w:rPr>
          <w:rFonts w:eastAsia="Arial Unicode MS"/>
          <w:i/>
          <w:iCs/>
          <w:noProof/>
        </w:rPr>
      </w:pPr>
    </w:p>
    <w:p>
      <w:pPr>
        <w:spacing w:before="0" w:after="200" w:line="276" w:lineRule="auto"/>
        <w:jc w:val="left"/>
        <w:rPr>
          <w:rFonts w:eastAsia="Arial Unicode MS"/>
          <w:i/>
          <w:iCs/>
          <w:noProof/>
        </w:rPr>
      </w:pPr>
      <w:r>
        <w:rPr>
          <w:noProof/>
        </w:rPr>
        <w:br w:type="page"/>
      </w:r>
    </w:p>
    <w:p>
      <w:pPr>
        <w:jc w:val="center"/>
        <w:rPr>
          <w:rFonts w:eastAsia="Arial Unicode MS"/>
          <w:i/>
          <w:iCs/>
          <w:noProof/>
        </w:rPr>
      </w:pPr>
      <w:r>
        <w:rPr>
          <w:i/>
          <w:noProof/>
        </w:rPr>
        <w:lastRenderedPageBreak/>
        <w:t>ΠΑΡΑΡΤΗΜΑ VΙΙ</w:t>
      </w:r>
    </w:p>
    <w:p>
      <w:pPr>
        <w:spacing w:after="0"/>
        <w:jc w:val="center"/>
        <w:rPr>
          <w:rFonts w:eastAsia="Arial Unicode MS"/>
          <w:b/>
          <w:bCs/>
          <w:noProof/>
        </w:rPr>
      </w:pPr>
      <w:r>
        <w:rPr>
          <w:b/>
          <w:noProof/>
        </w:rPr>
        <w:t>ΔΙΑΦΟΡΟΠΟΙΗΣΗ ΤΩΝ ΔΙΟΔΙΩΝ ΚΑΙ ΤΩΝ ΤΕΛΩΝ ΧΡΗΣΗΣ ΓΙΑ ΤΑ ΕΛΑΦΡΑ ΟΧΗΜΑΤΑ</w:t>
      </w:r>
    </w:p>
    <w:p>
      <w:pPr>
        <w:spacing w:after="0"/>
        <w:rPr>
          <w:rFonts w:eastAsia="Arial Unicode MS"/>
          <w:noProof/>
        </w:rPr>
      </w:pPr>
    </w:p>
    <w:p>
      <w:pPr>
        <w:spacing w:after="0"/>
        <w:rPr>
          <w:rFonts w:eastAsia="Arial Unicode MS"/>
          <w:noProof/>
        </w:rPr>
      </w:pPr>
      <w:r>
        <w:rPr>
          <w:noProof/>
        </w:rPr>
        <w:t>Το παρόν παράρτημα καθορίζει τις κατηγορίες εκπομπών σύμφωνα με τις οποίες διαφοροποιούνται τα διόδια και τα τέλη χρήσης.</w:t>
      </w:r>
    </w:p>
    <w:p>
      <w:pPr>
        <w:spacing w:after="0"/>
        <w:rPr>
          <w:rFonts w:eastAsia="Arial Unicode MS"/>
          <w:noProof/>
        </w:rPr>
      </w:pPr>
      <w:r>
        <w:rPr>
          <w:noProof/>
        </w:rPr>
        <w:t>Οι εκπομπές ρύπων υπολογίζονται σύμφωνα με τον κανονισμό (ΕΕ) …/…*.</w:t>
      </w:r>
    </w:p>
    <w:p>
      <w:pPr>
        <w:spacing w:after="0"/>
        <w:rPr>
          <w:rFonts w:eastAsia="Arial Unicode MS"/>
          <w:noProof/>
        </w:rPr>
      </w:pPr>
      <w:r>
        <w:rPr>
          <w:noProof/>
        </w:rPr>
        <w:t>Τα χαμηλότερα τέλη ισχύουν για κάθε επιβατηγό όχημα και ελαφρύ όχημα με συγκεκριμένες εκπομπές CO</w:t>
      </w:r>
      <w:r>
        <w:rPr>
          <w:noProof/>
          <w:vertAlign w:val="subscript"/>
        </w:rPr>
        <w:t>2</w:t>
      </w:r>
      <w:r>
        <w:rPr>
          <w:noProof/>
        </w:rPr>
        <w:t>, όπως υπολογίζονται σύμφωνα με τον κανονισμό (ΕΚ) αριθ. 715/2007 του Ευρωπαϊκού Κοινοβουλίου και του Συμβουλίου**, που βρίσκονται κάτω από τα επίπεδα που αντιστοιχούν στους καθορισμένους στόχους της ΕΕ για ολόκληρο τον στόλο όπως ορίζονται στον κανονισμό (ΕΚ) αριθ. 443/2009 του Ευρωπαϊκού Κοινοβουλίου και του Συμβουλίου*** και τον κανονισμό (ΕΕ) αριθ. 510/2011 του Ευρωπαϊκού Κοινοβουλίου και του Συμβουλίου****.</w:t>
      </w:r>
    </w:p>
    <w:p>
      <w:pPr>
        <w:spacing w:after="0"/>
        <w:rPr>
          <w:rFonts w:eastAsia="Arial Unicode MS"/>
          <w:i/>
          <w:noProof/>
        </w:rPr>
      </w:pPr>
      <w:r>
        <w:rPr>
          <w:i/>
          <w:noProof/>
        </w:rPr>
        <w:t>Πίνακας: Κατηγορίες εκπομπών για ελαφρά οχήματα</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1888"/>
        <w:gridCol w:w="1889"/>
        <w:gridCol w:w="1801"/>
        <w:gridCol w:w="1801"/>
      </w:tblGrid>
      <w:tr>
        <w:trPr>
          <w:trHeight w:val="832"/>
        </w:trPr>
        <w:tc>
          <w:tcPr>
            <w:tcW w:w="981" w:type="pct"/>
            <w:shd w:val="clear" w:color="auto" w:fill="FFFFFF" w:themeFill="background1"/>
            <w:vAlign w:val="center"/>
          </w:tcPr>
          <w:p>
            <w:pPr>
              <w:spacing w:before="100" w:beforeAutospacing="1" w:after="100" w:afterAutospacing="1"/>
              <w:jc w:val="center"/>
              <w:rPr>
                <w:b/>
                <w:noProof/>
              </w:rPr>
            </w:pPr>
            <w:r>
              <w:rPr>
                <w:b/>
                <w:noProof/>
              </w:rPr>
              <w:t>Συντελεστής συμμόρφωσης</w:t>
            </w:r>
          </w:p>
        </w:tc>
        <w:tc>
          <w:tcPr>
            <w:tcW w:w="1028" w:type="pct"/>
            <w:shd w:val="clear" w:color="auto" w:fill="FFFFFF" w:themeFill="background1"/>
            <w:vAlign w:val="center"/>
          </w:tcPr>
          <w:p>
            <w:pPr>
              <w:spacing w:before="100" w:beforeAutospacing="1" w:after="100" w:afterAutospacing="1"/>
              <w:jc w:val="center"/>
              <w:rPr>
                <w:b/>
                <w:noProof/>
              </w:rPr>
            </w:pPr>
            <w:r>
              <w:rPr>
                <w:b/>
                <w:noProof/>
              </w:rPr>
              <w:t>1,5-2,1</w:t>
            </w:r>
          </w:p>
        </w:tc>
        <w:tc>
          <w:tcPr>
            <w:tcW w:w="1029" w:type="pct"/>
            <w:shd w:val="clear" w:color="auto" w:fill="FFFFFF" w:themeFill="background1"/>
            <w:vAlign w:val="center"/>
          </w:tcPr>
          <w:p>
            <w:pPr>
              <w:spacing w:before="100" w:beforeAutospacing="1" w:after="100" w:afterAutospacing="1"/>
              <w:jc w:val="center"/>
              <w:rPr>
                <w:b/>
                <w:noProof/>
              </w:rPr>
            </w:pPr>
            <w:r>
              <w:rPr>
                <w:b/>
                <w:noProof/>
              </w:rPr>
              <w:t>1-1,5</w:t>
            </w:r>
          </w:p>
        </w:tc>
        <w:tc>
          <w:tcPr>
            <w:tcW w:w="981" w:type="pct"/>
            <w:shd w:val="clear" w:color="auto" w:fill="FFFFFF" w:themeFill="background1"/>
            <w:vAlign w:val="center"/>
          </w:tcPr>
          <w:p>
            <w:pPr>
              <w:spacing w:before="100" w:beforeAutospacing="1" w:after="100" w:afterAutospacing="1"/>
              <w:jc w:val="center"/>
              <w:rPr>
                <w:b/>
                <w:noProof/>
              </w:rPr>
            </w:pPr>
            <w:r>
              <w:rPr>
                <w:b/>
                <w:noProof/>
              </w:rPr>
              <w:t>κάτω από 1</w:t>
            </w:r>
          </w:p>
        </w:tc>
        <w:tc>
          <w:tcPr>
            <w:tcW w:w="981" w:type="pct"/>
            <w:shd w:val="clear" w:color="auto" w:fill="FFFFFF" w:themeFill="background1"/>
            <w:vAlign w:val="center"/>
          </w:tcPr>
          <w:p>
            <w:pPr>
              <w:spacing w:before="100" w:beforeAutospacing="1" w:after="100" w:afterAutospacing="1"/>
              <w:jc w:val="center"/>
              <w:rPr>
                <w:b/>
                <w:noProof/>
              </w:rPr>
            </w:pPr>
            <w:r>
              <w:rPr>
                <w:b/>
                <w:noProof/>
              </w:rPr>
              <w:t>Οχήματα μηδενικών εκπομπών</w:t>
            </w:r>
          </w:p>
        </w:tc>
      </w:tr>
      <w:tr>
        <w:trPr>
          <w:trHeight w:val="832"/>
        </w:trPr>
        <w:tc>
          <w:tcPr>
            <w:tcW w:w="981" w:type="pct"/>
            <w:vAlign w:val="center"/>
          </w:tcPr>
          <w:p>
            <w:pPr>
              <w:spacing w:before="100" w:beforeAutospacing="1" w:after="100" w:afterAutospacing="1"/>
              <w:jc w:val="center"/>
              <w:rPr>
                <w:b/>
                <w:noProof/>
              </w:rPr>
            </w:pPr>
            <w:r>
              <w:rPr>
                <w:b/>
                <w:noProof/>
              </w:rPr>
              <w:t>Τέλος ανά km</w:t>
            </w:r>
          </w:p>
        </w:tc>
        <w:tc>
          <w:tcPr>
            <w:tcW w:w="1028" w:type="pct"/>
            <w:shd w:val="clear" w:color="auto" w:fill="FFFFFF"/>
            <w:vAlign w:val="center"/>
          </w:tcPr>
          <w:p>
            <w:pPr>
              <w:spacing w:before="100" w:beforeAutospacing="1" w:after="100" w:afterAutospacing="1"/>
              <w:jc w:val="center"/>
              <w:rPr>
                <w:noProof/>
              </w:rPr>
            </w:pPr>
            <w:r>
              <w:rPr>
                <w:noProof/>
              </w:rPr>
              <w:t>10 % κάτω από το υψηλότερο τέλος</w:t>
            </w:r>
          </w:p>
        </w:tc>
        <w:tc>
          <w:tcPr>
            <w:tcW w:w="1029" w:type="pct"/>
            <w:vAlign w:val="center"/>
          </w:tcPr>
          <w:p>
            <w:pPr>
              <w:spacing w:before="100" w:beforeAutospacing="1" w:after="100" w:afterAutospacing="1"/>
              <w:jc w:val="center"/>
              <w:rPr>
                <w:noProof/>
              </w:rPr>
            </w:pPr>
            <w:r>
              <w:rPr>
                <w:noProof/>
              </w:rPr>
              <w:t>20% κάτω από το υψηλότερο τέλος</w:t>
            </w:r>
          </w:p>
        </w:tc>
        <w:tc>
          <w:tcPr>
            <w:tcW w:w="981" w:type="pct"/>
            <w:vAlign w:val="center"/>
          </w:tcPr>
          <w:p>
            <w:pPr>
              <w:spacing w:before="100" w:beforeAutospacing="1" w:after="100" w:afterAutospacing="1"/>
              <w:jc w:val="center"/>
              <w:rPr>
                <w:noProof/>
              </w:rPr>
            </w:pPr>
            <w:r>
              <w:rPr>
                <w:noProof/>
              </w:rPr>
              <w:t>30% κάτω από το υψηλότερο τέλος</w:t>
            </w:r>
          </w:p>
        </w:tc>
        <w:tc>
          <w:tcPr>
            <w:tcW w:w="981" w:type="pct"/>
            <w:vAlign w:val="center"/>
          </w:tcPr>
          <w:p>
            <w:pPr>
              <w:spacing w:before="100" w:beforeAutospacing="1" w:after="100" w:afterAutospacing="1"/>
              <w:jc w:val="center"/>
              <w:rPr>
                <w:noProof/>
              </w:rPr>
            </w:pPr>
            <w:r>
              <w:rPr>
                <w:noProof/>
              </w:rPr>
              <w:t>75% κάτω από το υψηλότερο τέλος</w:t>
            </w:r>
          </w:p>
        </w:tc>
      </w:tr>
    </w:tbl>
    <w:p>
      <w:pPr>
        <w:adjustRightInd w:val="0"/>
        <w:spacing w:before="0" w:after="0"/>
        <w:jc w:val="left"/>
        <w:rPr>
          <w:noProof/>
        </w:rPr>
      </w:pPr>
    </w:p>
    <w:p>
      <w:pPr>
        <w:adjustRightInd w:val="0"/>
        <w:spacing w:before="0" w:after="0"/>
        <w:jc w:val="left"/>
        <w:rPr>
          <w:noProof/>
        </w:rPr>
      </w:pPr>
      <w:r>
        <w:rPr>
          <w:noProof/>
        </w:rPr>
        <w:t>__________________</w:t>
      </w:r>
    </w:p>
    <w:p>
      <w:pPr>
        <w:adjustRightInd w:val="0"/>
        <w:spacing w:before="0" w:after="0"/>
        <w:jc w:val="left"/>
        <w:rPr>
          <w:noProof/>
        </w:rPr>
      </w:pPr>
    </w:p>
    <w:p>
      <w:pPr>
        <w:adjustRightInd w:val="0"/>
        <w:spacing w:before="0" w:after="0"/>
        <w:ind w:left="720" w:hanging="720"/>
        <w:jc w:val="left"/>
        <w:rPr>
          <w:noProof/>
        </w:rPr>
      </w:pPr>
      <w:r>
        <w:rPr>
          <w:noProof/>
        </w:rPr>
        <w:t>*</w:t>
      </w:r>
      <w:r>
        <w:rPr>
          <w:noProof/>
        </w:rPr>
        <w:tab/>
        <w:t>ΚΑΝΟΝΙΣΜΟΣ (ΕΕ) …/… της Επιτροπής, της XXX, για την τροποποίηση του κανονισμού (ΕΚ) 2017/xxx και της οδηγίας 2007/46/ΕΚ του Ευρωπαϊκού Κοινοβουλίου και του Συμβουλίου όσον αφορά τις εκπομπές σε πραγματικές συνθήκες οδήγησης από ελαφρά επιβατηγά και εμπορικά οχήματα (Euro 6) [RDE 3] (ΕΕ L … της ……..2017, σ. …).</w:t>
      </w:r>
    </w:p>
    <w:p>
      <w:pPr>
        <w:adjustRightInd w:val="0"/>
        <w:spacing w:before="0" w:after="0"/>
        <w:ind w:left="720" w:hanging="720"/>
        <w:jc w:val="left"/>
        <w:rPr>
          <w:noProof/>
        </w:rPr>
      </w:pPr>
      <w:r>
        <w:rPr>
          <w:noProof/>
        </w:rPr>
        <w:t>**</w:t>
      </w:r>
      <w:r>
        <w:rPr>
          <w:noProof/>
        </w:rPr>
        <w:tab/>
        <w:t>Κανονισμός (ΕΚ) αριθ. 715/2007 του Ευρωπαϊκού Κοινοβουλίου και του Συμβουλίου, της 20ής Ιουνίου 2007, που αφορά την έγκριση τύπου μηχανοκινήτων οχημάτων όσον αφορά εκπομπές από ελαφρά επιβατηγά και εμπορικά οχήματα (Euro 5 και Euro 6) και σχετικά με την πρόσβαση σε πληροφορίες επισκευής και συντήρησης οχημάτων (ΕΕ L 171 της 29.6.2007, σ. 1).</w:t>
      </w:r>
    </w:p>
    <w:p>
      <w:pPr>
        <w:adjustRightInd w:val="0"/>
        <w:spacing w:before="0" w:after="0"/>
        <w:ind w:left="720" w:hanging="720"/>
        <w:jc w:val="left"/>
        <w:rPr>
          <w:noProof/>
        </w:rPr>
      </w:pPr>
      <w:r>
        <w:rPr>
          <w:noProof/>
        </w:rPr>
        <w:t>***</w:t>
      </w:r>
      <w:r>
        <w:rPr>
          <w:noProof/>
        </w:rPr>
        <w:tab/>
        <w:t>Κανονισμός (ΕΚ) αριθ. 443/2009 του Ευρωπαϊκού Κοινοβουλίου και του Συμβουλίου, της 23ης Απριλίου 2009, σχετικά με τα πρότυπα επιδόσεων για τις εκπομπές από τα καινούργια επιβατικά αυτοκίνητα, στο πλαίσιο της ολοκληρωμένης προσέγγισης της Κοινότητας για τη μείωση των εκπομπών CO2 από ελαφρά οχήματα (ΕΕ L 140 της 5.6.2009, σ. 1).</w:t>
      </w:r>
    </w:p>
    <w:p>
      <w:pPr>
        <w:adjustRightInd w:val="0"/>
        <w:spacing w:before="0" w:after="0"/>
        <w:ind w:left="720" w:hanging="720"/>
        <w:jc w:val="left"/>
        <w:rPr>
          <w:noProof/>
        </w:rPr>
      </w:pPr>
      <w:r>
        <w:rPr>
          <w:noProof/>
        </w:rPr>
        <w:t>****</w:t>
      </w:r>
      <w:r>
        <w:rPr>
          <w:noProof/>
        </w:rPr>
        <w:tab/>
        <w:t>Κανονισμός (ΕΕ) αριθ. 510/2011 του Ευρωπαϊκού Κοινοβουλίου και του Συμβουλίου, της 11ης Μαΐου 2011, σχετικά με τα πρότυπα επιδόσεων για τις εκπομπές από τα καινούργια ελαφρά επαγγελματικά οχήματα όσον αφορά τις εκπομπές, στο πλαίσιο της ολοκληρωμένης προσέγγισης της Ένωσης για τη μείωση των εκπομπών CO 2 από ελαφρά οχήματα (ΕΕ L 145 της 31.5.2011, σ. 1-18).».</w:t>
      </w:r>
    </w:p>
    <w:p>
      <w:pPr>
        <w:adjustRightInd w:val="0"/>
        <w:spacing w:before="0" w:after="0"/>
        <w:ind w:left="720" w:hanging="720"/>
        <w:jc w:val="left"/>
        <w:rPr>
          <w:noProof/>
        </w:rPr>
      </w:pPr>
    </w:p>
    <w:sectPr>
      <w:footerReference w:type="default" r:id="rId17"/>
      <w:footerReference w:type="first" r:id="rId18"/>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93656B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CD015EA"/>
    <w:lvl w:ilvl="0">
      <w:start w:val="1"/>
      <w:numFmt w:val="decimal"/>
      <w:pStyle w:val="ListNumber3"/>
      <w:lvlText w:val="%1."/>
      <w:lvlJc w:val="left"/>
      <w:pPr>
        <w:tabs>
          <w:tab w:val="num" w:pos="926"/>
        </w:tabs>
        <w:ind w:left="926" w:hanging="360"/>
      </w:pPr>
    </w:lvl>
  </w:abstractNum>
  <w:abstractNum w:abstractNumId="2">
    <w:nsid w:val="FFFFFF7F"/>
    <w:multiLevelType w:val="singleLevel"/>
    <w:tmpl w:val="C280316C"/>
    <w:lvl w:ilvl="0">
      <w:start w:val="1"/>
      <w:numFmt w:val="decimal"/>
      <w:pStyle w:val="ListNumber2"/>
      <w:lvlText w:val="%1."/>
      <w:lvlJc w:val="left"/>
      <w:pPr>
        <w:tabs>
          <w:tab w:val="num" w:pos="643"/>
        </w:tabs>
        <w:ind w:left="643" w:hanging="360"/>
      </w:pPr>
    </w:lvl>
  </w:abstractNum>
  <w:abstractNum w:abstractNumId="3">
    <w:nsid w:val="FFFFFF81"/>
    <w:multiLevelType w:val="singleLevel"/>
    <w:tmpl w:val="4E660EE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92EEE6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BBC7B2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1383202"/>
    <w:lvl w:ilvl="0">
      <w:start w:val="1"/>
      <w:numFmt w:val="decimal"/>
      <w:pStyle w:val="ListNumber"/>
      <w:lvlText w:val="%1."/>
      <w:lvlJc w:val="left"/>
      <w:pPr>
        <w:tabs>
          <w:tab w:val="num" w:pos="360"/>
        </w:tabs>
        <w:ind w:left="360" w:hanging="360"/>
      </w:pPr>
    </w:lvl>
  </w:abstractNum>
  <w:abstractNum w:abstractNumId="7">
    <w:nsid w:val="FFFFFF89"/>
    <w:multiLevelType w:val="singleLevel"/>
    <w:tmpl w:val="EC783F7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8"/>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6-06 14:42:4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2"/>
    <w:docVar w:name="DQCResult_ModifiedMarkers" w:val="0;0"/>
    <w:docVar w:name="DQCResult_ModifiedNumbering" w:val="0;0"/>
    <w:docVar w:name="DQCResult_Objects" w:val="0;0"/>
    <w:docVar w:name="DQCResult_Sections" w:val="0;0"/>
    <w:docVar w:name="DQCResult_StructureCheck" w:val="0;0"/>
    <w:docVar w:name="DQCResult_SuperfluousWhitespace" w:val="0;17"/>
    <w:docVar w:name="DQCResult_UnknownFonts" w:val="0;0"/>
    <w:docVar w:name="DQCResult_UnknownStyles" w:val="0;0"/>
    <w:docVar w:name="DQCStatus" w:val="Green"/>
    <w:docVar w:name="DQCVersion" w:val="3"/>
    <w:docVar w:name="DQCWithWarnings" w:val="0"/>
    <w:docVar w:name="LW_ACCOMPAGNANT.CP" w:val="\u963?\u964?\u951?\u957?"/>
    <w:docVar w:name="LW_ANNEX_NBR_FIRST" w:val="1"/>
    <w:docVar w:name="LW_ANNEX_NBR_LAST" w:val="1"/>
    <w:docVar w:name="LW_CONFIDENCE" w:val=" "/>
    <w:docVar w:name="LW_CONST_RESTREINT_UE" w:val="RESTREINT UE"/>
    <w:docVar w:name="LW_CORRIGENDUM" w:val="&lt;UNUSED&gt;"/>
    <w:docVar w:name="LW_COVERPAGE_GUID" w:val="B5A58486670946C28C37CA0BB796B420"/>
    <w:docVar w:name="LW_CROSSREFERENCE" w:val="{SWD(2017) 180 final}_x000b_{SWD(2017) 181 final}"/>
    <w:docVar w:name="LW_DocType" w:val="ANNEX"/>
    <w:docVar w:name="LW_EMISSION" w:val="31.5.2017"/>
    <w:docVar w:name="LW_EMISSION_ISODATE" w:val="2017-05-31"/>
    <w:docVar w:name="LW_EMISSION_LOCATION" w:val="BRX"/>
    <w:docVar w:name="LW_EMISSION_PREFIX" w:val="\u914?\u961?\u965?\u958?\u941?\u955?\u955?\u949?\u962?, "/>
    <w:docVar w:name="LW_EMISSION_SUFFIX" w:val=" "/>
    <w:docVar w:name="LW_ID_DOCSTRUCTURE" w:val="COM/ANNEX"/>
    <w:docVar w:name="LW_ID_DOCTYPE" w:val="SG-017"/>
    <w:docVar w:name="LW_LANGUE" w:val="EL"/>
    <w:docVar w:name="LW_MARKING" w:val="&lt;UNUSED&gt;"/>
    <w:docVar w:name="LW_NOM.INST" w:val="\u917?\u933?\u929?\u937?\u928?\u913?\u938?\u922?\u919? \u917?\u928?\u921?\u932?\u929?\u927?\u928?\u919?"/>
    <w:docVar w:name="LW_NOM.INST_JOINTDOC" w:val="&lt;EMPTY&gt;"/>
    <w:docVar w:name="LW_OBJETACTEPRINCIPAL.CP" w:val="\u947?\u953?\u945? \u964?\u951?\u957? \u964?\u961?\u959?\u960?\u959?\u960?\u959?\u943?\u951?\u963?\u951? \u964?\u951?\u962? \u959?\u948?\u951?\u947?\u943?\u945?\u962? 1999/62/\u917?\u922? \u960?\u949?\u961?\u943? \u949?\u960?\u953?\u946?\u959?\u955?\u942?\u962? \u964?\u949?\u955?\u974?\u957? \u963?\u964?\u945? \u946?\u945?\u961?\u941?\u945? \u966?\u959?\u961?\u964?\u951?\u947?\u940? \u959?\u967?\u942?\u956?\u945?\u964?\u945? \u960?\u959?\u965? \u967?\u961?\u951?\u963?\u953?\u956?\u959?\u960?\u959?\u953?\u959?\u973?\u957? \u959?\u961?\u953?\u963?\u956?\u941?\u957?\u945? \u941?\u961?\u947?\u945? \u965?\u960?\u959?\u948?\u959?\u956?\u942?\u962?_x000b_(\u922?\u949?\u943?\u956?\u949?\u957?\u959? \u960?\u959?\u965? \u960?\u945?\u961?\u959?\u965?\u963?\u953?\u940?\u950?\u949?\u953? \u949?\u957?\u948?\u953?\u945?\u966?\u941?\u961?\u959?\u957? \u947?\u953?\u945? \u964?\u959?\u957? \u917?\u927?\u935?)"/>
    <w:docVar w:name="LW_PART_NBR" w:val="1"/>
    <w:docVar w:name="LW_PART_NBR_TOTAL" w:val="1"/>
    <w:docVar w:name="LW_REF.INST.NEW" w:val="COM"/>
    <w:docVar w:name="LW_REF.INST.NEW_ADOPTED" w:val="final"/>
    <w:docVar w:name="LW_REF.INST.NEW_TEXT" w:val="(2017) 275"/>
    <w:docVar w:name="LW_REF.INTERNE" w:val="&lt;UNUSED&gt;"/>
    <w:docVar w:name="LW_SUPERTITRE" w:val="&lt;UNUSED&gt;"/>
    <w:docVar w:name="LW_TITRE.OBJ.CP" w:val="&lt;UNUSED&gt;"/>
    <w:docVar w:name="LW_TYPE.DOC.CP" w:val="\u928?\u913?\u929?\u913?\u929?\u932?\u919?\u924?\u913?"/>
    <w:docVar w:name="LW_TYPEACTEPRINCIPAL.CP" w:val="\u927?\u916?\u919?\u915?\u921?\u913? \u932?\u927?\u933? \u917?\u933?\u929?\u937?\u928?\u913?\u938?\u922?\u927?\u933? \u922?\u927?\u921?\u925?\u927?\u914?\u927?\u933?\u923?\u921?\u927?\u933? \u922?\u913?\u921?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etitreacte">
    <w:name w:val="Annexe titre (acte)"/>
    <w:basedOn w:val="Normal"/>
    <w:next w:val="Normal"/>
    <w:uiPriority w:val="99"/>
    <w:pPr>
      <w:autoSpaceDE w:val="0"/>
      <w:autoSpaceDN w:val="0"/>
      <w:jc w:val="center"/>
    </w:pPr>
    <w:rPr>
      <w:rFonts w:eastAsia="Times New Roman"/>
      <w:b/>
      <w:bCs/>
      <w:szCs w:val="24"/>
      <w:u w:val="single"/>
      <w:lang w:val="fr-FR" w:eastAsia="en-GB"/>
    </w:rPr>
  </w:style>
  <w:style w:type="character" w:styleId="Hyperlink">
    <w:name w:val="Hyperlink"/>
    <w:uiPriority w:val="99"/>
    <w:unhideWhenUsed/>
    <w:rPr>
      <w:rFonts w:cs="Times New Roman"/>
      <w:color w:val="0000FF"/>
      <w:u w:val="single"/>
    </w:rPr>
  </w:style>
  <w:style w:type="character" w:customStyle="1" w:styleId="CRMarker">
    <w:name w:val="CR Marker"/>
    <w:uiPriority w:val="99"/>
    <w:rPr>
      <w:rFonts w:ascii="Wingdings" w:hAnsi="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imes New Roman"/>
      <w:szCs w:val="24"/>
      <w:lang w:val="fr-FR" w:eastAsia="en-GB"/>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imes New Roman"/>
      <w:szCs w:val="24"/>
      <w:lang w:val="fr-FR" w:eastAsia="en-GB"/>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etitreacte">
    <w:name w:val="Annexe titre (acte)"/>
    <w:basedOn w:val="Normal"/>
    <w:next w:val="Normal"/>
    <w:uiPriority w:val="99"/>
    <w:pPr>
      <w:autoSpaceDE w:val="0"/>
      <w:autoSpaceDN w:val="0"/>
      <w:jc w:val="center"/>
    </w:pPr>
    <w:rPr>
      <w:rFonts w:eastAsia="Times New Roman"/>
      <w:b/>
      <w:bCs/>
      <w:szCs w:val="24"/>
      <w:u w:val="single"/>
      <w:lang w:val="fr-FR" w:eastAsia="en-GB"/>
    </w:rPr>
  </w:style>
  <w:style w:type="character" w:styleId="Hyperlink">
    <w:name w:val="Hyperlink"/>
    <w:uiPriority w:val="99"/>
    <w:unhideWhenUsed/>
    <w:rPr>
      <w:rFonts w:cs="Times New Roman"/>
      <w:color w:val="0000FF"/>
      <w:u w:val="single"/>
    </w:rPr>
  </w:style>
  <w:style w:type="character" w:customStyle="1" w:styleId="CRMarker">
    <w:name w:val="CR Marker"/>
    <w:uiPriority w:val="99"/>
    <w:rPr>
      <w:rFonts w:ascii="Wingdings" w:hAnsi="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imes New Roman"/>
      <w:szCs w:val="24"/>
      <w:lang w:val="fr-FR" w:eastAsia="en-GB"/>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imes New Roman"/>
      <w:szCs w:val="24"/>
      <w:lang w:val="fr-FR" w:eastAsia="en-GB"/>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416512">
      <w:bodyDiv w:val="1"/>
      <w:marLeft w:val="0"/>
      <w:marRight w:val="0"/>
      <w:marTop w:val="0"/>
      <w:marBottom w:val="0"/>
      <w:divBdr>
        <w:top w:val="none" w:sz="0" w:space="0" w:color="auto"/>
        <w:left w:val="none" w:sz="0" w:space="0" w:color="auto"/>
        <w:bottom w:val="none" w:sz="0" w:space="0" w:color="auto"/>
        <w:right w:val="none" w:sz="0" w:space="0" w:color="auto"/>
      </w:divBdr>
    </w:div>
    <w:div w:id="123971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2</TotalTime>
  <Pages>14</Pages>
  <Words>3434</Words>
  <Characters>19574</Characters>
  <Application>Microsoft Office Word</Application>
  <DocSecurity>0</DocSecurity>
  <Lines>889</Lines>
  <Paragraphs>605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SZATMARI Peter (MOVE)</dc:creator>
  <cp:lastModifiedBy>DIGIT/A3</cp:lastModifiedBy>
  <cp:revision>8</cp:revision>
  <cp:lastPrinted>2017-05-28T06:32:00Z</cp:lastPrinted>
  <dcterms:created xsi:type="dcterms:W3CDTF">2017-06-01T16:08:00Z</dcterms:created>
  <dcterms:modified xsi:type="dcterms:W3CDTF">2017-06-06T12:42:00Z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SG-017</vt:lpwstr>
  </property>
  <property fmtid="{D5CDD505-2E9C-101B-9397-08002B2CF9AE}" pid="12" name="DQCStatus">
    <vt:lpwstr>Green (DQC version 03)</vt:lpwstr>
  </property>
</Properties>
</file>