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F428FC151914F0E8A20125741EA9777" style="width:450.75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t>ANEXO</w:t>
      </w:r>
    </w:p>
    <w:p>
      <w:pPr>
        <w:pStyle w:val="Accompagnant"/>
        <w:rPr>
          <w:noProof/>
        </w:rPr>
      </w:pPr>
      <w:r>
        <w:rPr>
          <w:noProof/>
        </w:rPr>
        <w:t>da</w:t>
      </w:r>
    </w:p>
    <w:p>
      <w:pPr>
        <w:pStyle w:val="Typeacteprincipal"/>
        <w:rPr>
          <w:noProof/>
        </w:rPr>
      </w:pPr>
      <w:r>
        <w:rPr>
          <w:noProof/>
        </w:rPr>
        <w:t>DIRETIVA DO PARLAMENTO EUROPEU E DO CONSELHO</w:t>
      </w:r>
    </w:p>
    <w:p>
      <w:pPr>
        <w:pStyle w:val="Objetacteprincipal"/>
        <w:rPr>
          <w:noProof/>
        </w:rPr>
      </w:pPr>
      <w:r>
        <w:rPr>
          <w:noProof/>
        </w:rPr>
        <w:t>que altera a Diretiva 1999/62/CE relativa à aplicação de imposições aos veículos pesados de mercadorias pela utilização de certas infraestruturas</w:t>
      </w:r>
      <w:r>
        <w:rPr>
          <w:noProof/>
        </w:rPr>
        <w:br/>
        <w:t>(Texto relevante para efeitos do EEE)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1)</w:t>
      </w:r>
      <w:r>
        <w:rPr>
          <w:noProof/>
        </w:rPr>
        <w:tab/>
        <w:t>Os Anexos 0, III, III-A, III-B e IV são alterados do seguinte modo: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No anexo 0, a secção 3 é alterada da seguinte forma:</w:t>
      </w:r>
    </w:p>
    <w:p>
      <w:pPr>
        <w:ind w:firstLine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>O título passa a ter a seguinte redação:</w:t>
      </w:r>
    </w:p>
    <w:p>
      <w:pPr>
        <w:ind w:left="130" w:firstLine="720"/>
        <w:rPr>
          <w:noProof/>
        </w:rPr>
      </w:pPr>
      <w:r>
        <w:rPr>
          <w:noProof/>
        </w:rPr>
        <w:t>«3. Veículos "EURO III" / "EURO IV"/ "EURO V";</w:t>
      </w:r>
    </w:p>
    <w:p>
      <w:pPr>
        <w:ind w:firstLine="720"/>
        <w:rPr>
          <w:noProof/>
        </w:rPr>
      </w:pPr>
      <w:r>
        <w:rPr>
          <w:noProof/>
        </w:rPr>
        <w:t>ii)</w:t>
      </w:r>
      <w:r>
        <w:rPr>
          <w:noProof/>
        </w:rPr>
        <w:tab/>
        <w:t>no quadro, a linha relativa aos «veículos "VEA"» é suprimida;</w:t>
      </w:r>
    </w:p>
    <w:p>
      <w:pPr>
        <w:ind w:left="720"/>
        <w:rPr>
          <w:noProof/>
        </w:rPr>
      </w:pPr>
      <w:r>
        <w:rPr>
          <w:noProof/>
        </w:rPr>
        <w:t>iii)</w:t>
      </w:r>
      <w:r>
        <w:rPr>
          <w:noProof/>
        </w:rPr>
        <w:tab/>
        <w:t>é aditado o seguinte:</w:t>
      </w:r>
    </w:p>
    <w:p>
      <w:pPr>
        <w:pStyle w:val="NormalCentered"/>
        <w:rPr>
          <w:b/>
          <w:noProof/>
          <w:u w:val="single"/>
        </w:rPr>
      </w:pPr>
      <w:r>
        <w:rPr>
          <w:b/>
          <w:noProof/>
          <w:u w:val="single"/>
        </w:rPr>
        <w:t>«Limites de emissão Euro VI</w:t>
      </w:r>
    </w:p>
    <w:tbl>
      <w:tblPr>
        <w:tblW w:w="10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262"/>
        <w:gridCol w:w="1216"/>
        <w:gridCol w:w="1216"/>
        <w:gridCol w:w="1216"/>
        <w:gridCol w:w="803"/>
        <w:gridCol w:w="1216"/>
        <w:gridCol w:w="1030"/>
      </w:tblGrid>
      <w:tr>
        <w:trPr>
          <w:trHeight w:val="562"/>
        </w:trPr>
        <w:tc>
          <w:tcPr>
            <w:tcW w:w="993" w:type="dxa"/>
            <w:tcBorders>
              <w:bottom w:val="nil"/>
            </w:tcBorders>
          </w:tcPr>
          <w:p>
            <w:pPr>
              <w:rPr>
                <w:noProof/>
              </w:rPr>
            </w:pPr>
          </w:p>
        </w:tc>
        <w:tc>
          <w:tcPr>
            <w:tcW w:w="9235" w:type="dxa"/>
            <w:gridSpan w:val="8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Valores-limite</w:t>
            </w:r>
          </w:p>
        </w:tc>
      </w:tr>
      <w:tr>
        <w:trPr>
          <w:trHeight w:val="991"/>
        </w:trPr>
        <w:tc>
          <w:tcPr>
            <w:tcW w:w="993" w:type="dxa"/>
            <w:tcBorders>
              <w:top w:val="nil"/>
            </w:tcBorders>
          </w:tcPr>
          <w:p>
            <w:pPr>
              <w:rPr>
                <w:noProof/>
              </w:rPr>
            </w:pPr>
          </w:p>
        </w:tc>
        <w:tc>
          <w:tcPr>
            <w:tcW w:w="127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CO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(mg/kWh)</w:t>
            </w:r>
          </w:p>
        </w:tc>
        <w:tc>
          <w:tcPr>
            <w:tcW w:w="1262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THC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(mg/kWh)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NMHC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(mg/kWh)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  <w:vertAlign w:val="subscript"/>
              </w:rPr>
            </w:pPr>
            <w:r>
              <w:rPr>
                <w:noProof/>
              </w:rPr>
              <w:t>CH</w:t>
            </w:r>
            <w:r>
              <w:rPr>
                <w:noProof/>
                <w:vertAlign w:val="subscript"/>
              </w:rPr>
              <w:t>4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(mg/kWh)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NO</w:t>
            </w:r>
            <w:r>
              <w:rPr>
                <w:noProof/>
                <w:vertAlign w:val="subscript"/>
              </w:rPr>
              <w:t>X</w:t>
            </w:r>
            <w:r>
              <w:rPr>
                <w:noProof/>
              </w:rPr>
              <w:t xml:space="preserve"> </w:t>
            </w:r>
            <w:r>
              <w:rPr>
                <w:noProof/>
                <w:vertAlign w:val="superscript"/>
              </w:rPr>
              <w:t>(1)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(mg/kWh)</w:t>
            </w:r>
          </w:p>
        </w:tc>
        <w:tc>
          <w:tcPr>
            <w:tcW w:w="803" w:type="dxa"/>
            <w:hideMark/>
          </w:tcPr>
          <w:p>
            <w:pPr>
              <w:rPr>
                <w:noProof/>
                <w:vertAlign w:val="subscript"/>
              </w:rPr>
            </w:pPr>
            <w:r>
              <w:rPr>
                <w:noProof/>
              </w:rPr>
              <w:t>NH</w:t>
            </w:r>
            <w:r>
              <w:rPr>
                <w:noProof/>
                <w:vertAlign w:val="subscript"/>
              </w:rPr>
              <w:t>3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(ppm)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Massa de partículas</w:t>
            </w:r>
          </w:p>
          <w:p>
            <w:pPr>
              <w:rPr>
                <w:noProof/>
                <w:vertAlign w:val="subscript"/>
                <w:lang w:val="es-ES"/>
              </w:rPr>
            </w:pPr>
            <w:r>
              <w:rPr>
                <w:noProof/>
                <w:lang w:val="es-ES"/>
              </w:rPr>
              <w:t>(mg/kWh)</w:t>
            </w:r>
          </w:p>
        </w:tc>
        <w:tc>
          <w:tcPr>
            <w:tcW w:w="1030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Número de partículas</w:t>
            </w:r>
          </w:p>
          <w:p>
            <w:pPr>
              <w:rPr>
                <w:noProof/>
                <w:vertAlign w:val="subscript"/>
              </w:rPr>
            </w:pPr>
            <w:r>
              <w:rPr>
                <w:noProof/>
              </w:rPr>
              <w:t>(#/kWh)</w:t>
            </w:r>
          </w:p>
        </w:tc>
      </w:tr>
      <w:tr>
        <w:trPr>
          <w:trHeight w:val="876"/>
        </w:trPr>
        <w:tc>
          <w:tcPr>
            <w:tcW w:w="993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WHSC (CI)</w:t>
            </w:r>
          </w:p>
        </w:tc>
        <w:tc>
          <w:tcPr>
            <w:tcW w:w="127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1500</w:t>
            </w:r>
          </w:p>
        </w:tc>
        <w:tc>
          <w:tcPr>
            <w:tcW w:w="1262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130</w:t>
            </w:r>
          </w:p>
        </w:tc>
        <w:tc>
          <w:tcPr>
            <w:tcW w:w="1216" w:type="dxa"/>
          </w:tcPr>
          <w:p>
            <w:pPr>
              <w:rPr>
                <w:noProof/>
              </w:rPr>
            </w:pPr>
          </w:p>
        </w:tc>
        <w:tc>
          <w:tcPr>
            <w:tcW w:w="1216" w:type="dxa"/>
          </w:tcPr>
          <w:p>
            <w:pPr>
              <w:rPr>
                <w:noProof/>
              </w:rPr>
            </w:pP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803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30" w:type="dxa"/>
            <w:hideMark/>
          </w:tcPr>
          <w:p>
            <w:pPr>
              <w:rPr>
                <w:noProof/>
                <w:vertAlign w:val="superscript"/>
              </w:rPr>
            </w:pPr>
            <w:r>
              <w:rPr>
                <w:noProof/>
              </w:rPr>
              <w:t>8,0 x 10</w:t>
            </w:r>
            <w:r>
              <w:rPr>
                <w:noProof/>
                <w:vertAlign w:val="superscript"/>
              </w:rPr>
              <w:t>11</w:t>
            </w:r>
          </w:p>
        </w:tc>
      </w:tr>
      <w:tr>
        <w:trPr>
          <w:trHeight w:val="859"/>
        </w:trPr>
        <w:tc>
          <w:tcPr>
            <w:tcW w:w="993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WHTC (CI)</w:t>
            </w:r>
          </w:p>
        </w:tc>
        <w:tc>
          <w:tcPr>
            <w:tcW w:w="127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4000</w:t>
            </w:r>
          </w:p>
        </w:tc>
        <w:tc>
          <w:tcPr>
            <w:tcW w:w="1262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216" w:type="dxa"/>
          </w:tcPr>
          <w:p>
            <w:pPr>
              <w:rPr>
                <w:noProof/>
              </w:rPr>
            </w:pPr>
          </w:p>
        </w:tc>
        <w:tc>
          <w:tcPr>
            <w:tcW w:w="1216" w:type="dxa"/>
          </w:tcPr>
          <w:p>
            <w:pPr>
              <w:rPr>
                <w:noProof/>
              </w:rPr>
            </w:pP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460</w:t>
            </w:r>
          </w:p>
        </w:tc>
        <w:tc>
          <w:tcPr>
            <w:tcW w:w="803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30" w:type="dxa"/>
            <w:hideMark/>
          </w:tcPr>
          <w:p>
            <w:pPr>
              <w:rPr>
                <w:noProof/>
                <w:vertAlign w:val="superscript"/>
              </w:rPr>
            </w:pPr>
            <w:r>
              <w:rPr>
                <w:noProof/>
              </w:rPr>
              <w:t>6,0 x 10</w:t>
            </w:r>
            <w:r>
              <w:rPr>
                <w:noProof/>
                <w:vertAlign w:val="superscript"/>
              </w:rPr>
              <w:t>11</w:t>
            </w:r>
          </w:p>
        </w:tc>
      </w:tr>
      <w:tr>
        <w:trPr>
          <w:trHeight w:val="876"/>
        </w:trPr>
        <w:tc>
          <w:tcPr>
            <w:tcW w:w="993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WHTC (PI) </w:t>
            </w:r>
          </w:p>
        </w:tc>
        <w:tc>
          <w:tcPr>
            <w:tcW w:w="127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4000</w:t>
            </w:r>
          </w:p>
        </w:tc>
        <w:tc>
          <w:tcPr>
            <w:tcW w:w="1262" w:type="dxa"/>
          </w:tcPr>
          <w:p>
            <w:pPr>
              <w:rPr>
                <w:noProof/>
              </w:rPr>
            </w:pP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460</w:t>
            </w:r>
          </w:p>
        </w:tc>
        <w:tc>
          <w:tcPr>
            <w:tcW w:w="803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16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30" w:type="dxa"/>
            <w:hideMark/>
          </w:tcPr>
          <w:p>
            <w:pPr>
              <w:rPr>
                <w:noProof/>
              </w:rPr>
            </w:pPr>
            <w:r>
              <w:rPr>
                <w:noProof/>
              </w:rPr>
              <w:t>6,0 x 10</w:t>
            </w:r>
            <w:r>
              <w:rPr>
                <w:noProof/>
                <w:vertAlign w:val="superscript"/>
              </w:rPr>
              <w:t>11</w:t>
            </w:r>
          </w:p>
        </w:tc>
      </w:tr>
    </w:tbl>
    <w:p>
      <w:pPr>
        <w:rPr>
          <w:noProof/>
        </w:rPr>
      </w:pPr>
      <w:r>
        <w:rPr>
          <w:noProof/>
        </w:rPr>
        <w:t>Nota:</w:t>
      </w:r>
    </w:p>
    <w:p>
      <w:pPr>
        <w:pStyle w:val="Point0"/>
        <w:spacing w:before="0" w:after="0"/>
        <w:rPr>
          <w:noProof/>
        </w:rPr>
      </w:pPr>
      <w:r>
        <w:rPr>
          <w:noProof/>
        </w:rPr>
        <w:t>PI =</w:t>
      </w:r>
      <w:r>
        <w:rPr>
          <w:noProof/>
        </w:rPr>
        <w:tab/>
        <w:t>Ignição comandada.</w:t>
      </w:r>
    </w:p>
    <w:p>
      <w:pPr>
        <w:pStyle w:val="Point0"/>
        <w:spacing w:before="0" w:after="0"/>
        <w:rPr>
          <w:noProof/>
        </w:rPr>
      </w:pPr>
      <w:r>
        <w:rPr>
          <w:noProof/>
        </w:rPr>
        <w:t>CI =</w:t>
      </w:r>
      <w:r>
        <w:rPr>
          <w:noProof/>
        </w:rPr>
        <w:tab/>
        <w:t>Ignição por compressão.</w:t>
      </w:r>
    </w:p>
    <w:p>
      <w:pPr>
        <w:rPr>
          <w:noProof/>
        </w:rPr>
      </w:pPr>
      <w:r>
        <w:rPr>
          <w:noProof/>
          <w:vertAlign w:val="superscript"/>
        </w:rPr>
        <w:t>(1)</w:t>
      </w:r>
      <w:r>
        <w:rPr>
          <w:noProof/>
        </w:rPr>
        <w:tab/>
        <w:t>O nível admissível da componente de NO</w:t>
      </w:r>
      <w:r>
        <w:rPr>
          <w:noProof/>
          <w:vertAlign w:val="subscript"/>
        </w:rPr>
        <w:t>2</w:t>
      </w:r>
      <w:r>
        <w:rPr>
          <w:noProof/>
        </w:rPr>
        <w:t xml:space="preserve"> no valor-limite dos NO</w:t>
      </w:r>
      <w:r>
        <w:rPr>
          <w:noProof/>
          <w:vertAlign w:val="subscript"/>
        </w:rPr>
        <w:t>x</w:t>
      </w:r>
      <w:r>
        <w:rPr>
          <w:noProof/>
        </w:rPr>
        <w:t xml:space="preserve"> pode ser definido ulteriormente.»;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O anexo III é alterado do seguinte modo:</w:t>
      </w:r>
    </w:p>
    <w:p>
      <w:pPr>
        <w:ind w:firstLine="720"/>
        <w:rPr>
          <w:noProof/>
        </w:rPr>
      </w:pPr>
      <w:r>
        <w:rPr>
          <w:noProof/>
        </w:rPr>
        <w:t>i)</w:t>
      </w:r>
      <w:r>
        <w:rPr>
          <w:noProof/>
        </w:rPr>
        <w:tab/>
        <w:t>a secção 2 é alterada do seguinte modo:</w:t>
      </w:r>
    </w:p>
    <w:p>
      <w:pPr>
        <w:ind w:left="131" w:firstLine="578"/>
        <w:rPr>
          <w:noProof/>
        </w:rPr>
      </w:pPr>
      <w:r>
        <w:rPr>
          <w:noProof/>
        </w:rPr>
        <w:t xml:space="preserve">— No ponto 2.1, o sexto travessão passa a ter a seguinte redação:  </w:t>
      </w:r>
    </w:p>
    <w:p>
      <w:pPr>
        <w:ind w:left="709"/>
        <w:rPr>
          <w:noProof/>
        </w:rPr>
      </w:pPr>
      <w:r>
        <w:rPr>
          <w:noProof/>
        </w:rPr>
        <w:t>«—</w:t>
      </w:r>
      <w:r>
        <w:rPr>
          <w:noProof/>
        </w:rPr>
        <w:tab/>
        <w:t>A repartição dos custos pelos veículos pesados faz-se numa base objetiva e transparente, tendo em conta a proporção do tráfego desta categoria de veículos na rede e os custos associados. Para o efeito, o número de quilómetros percorridos pelos veículos pesados pode ser ajustado por "coeficientes de equivalência" objetivamente justificados, como os estabelecidos no ponto 4 (*).</w:t>
      </w:r>
    </w:p>
    <w:p>
      <w:pPr>
        <w:rPr>
          <w:noProof/>
        </w:rPr>
      </w:pPr>
      <w:r>
        <w:rPr>
          <w:noProof/>
        </w:rPr>
        <w:t>________</w:t>
      </w:r>
    </w:p>
    <w:p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>A aplicação de coeficientes de equivalência pelos Estados-Membros pode ter em conta a construção de eixos rodoviários realizada em diversas fases ou segundo uma abordagem de "longo ciclo de vida".»;</w:t>
      </w:r>
    </w:p>
    <w:p>
      <w:pPr>
        <w:ind w:left="709"/>
        <w:rPr>
          <w:noProof/>
        </w:rPr>
      </w:pPr>
      <w:r>
        <w:rPr>
          <w:noProof/>
        </w:rPr>
        <w:t>— No ponto 2.2, o segundo travessão passa a ter a seguinte redação:</w:t>
      </w:r>
    </w:p>
    <w:p>
      <w:pPr>
        <w:ind w:left="709"/>
        <w:rPr>
          <w:noProof/>
        </w:rPr>
      </w:pPr>
      <w:r>
        <w:rPr>
          <w:noProof/>
        </w:rPr>
        <w:t>«—</w:t>
      </w:r>
      <w:r>
        <w:rPr>
          <w:noProof/>
        </w:rPr>
        <w:tab/>
        <w:t>Estes custos são repartidos entre os veículos pesados e outros veículos com base no número de quilómetros, real e previsível, por eles percorridos, podendo ser ajustados por coeficientes de equivalência objetivamente justificados, como os estabelecidos no ponto 4.»;</w:t>
      </w:r>
    </w:p>
    <w:p>
      <w:pPr>
        <w:ind w:left="709"/>
        <w:rPr>
          <w:noProof/>
        </w:rPr>
      </w:pPr>
      <w:r>
        <w:rPr>
          <w:noProof/>
        </w:rPr>
        <w:t>ii)</w:t>
      </w:r>
      <w:r>
        <w:rPr>
          <w:noProof/>
        </w:rPr>
        <w:tab/>
        <w:t>na secção 4, o título e o primeiro travessão passam a ter a seguinte redação:</w:t>
      </w:r>
    </w:p>
    <w:p>
      <w:pPr>
        <w:ind w:left="720" w:hanging="720"/>
        <w:rPr>
          <w:noProof/>
        </w:rPr>
      </w:pPr>
      <w:r>
        <w:rPr>
          <w:noProof/>
        </w:rPr>
        <w:t>«4.</w:t>
      </w:r>
      <w:r>
        <w:rPr>
          <w:noProof/>
        </w:rPr>
        <w:tab/>
        <w:t>QUOTA DE TRÁFEGO DE VEÍCULOS PESADOS, COEFICIENTES DE EQUIVALÊNCIA E MECANISMO DE CORREÇÃO</w:t>
      </w:r>
    </w:p>
    <w:p>
      <w:pPr>
        <w:ind w:left="720" w:hanging="720"/>
        <w:rPr>
          <w:noProof/>
        </w:rPr>
      </w:pPr>
      <w:r>
        <w:rPr>
          <w:noProof/>
        </w:rPr>
        <w:t>–</w:t>
      </w:r>
      <w:r>
        <w:rPr>
          <w:noProof/>
        </w:rPr>
        <w:tab/>
        <w:t>O cálculo das portagens baseia-se no número de quilómetros, real ou previsível, percorridos pelos veículos pesados, ajustado, se for caso disso, por coeficientes de equivalência de modo a ter devidamente em conta o aumento dos custos de construção e de reparação das infraestruturas utilizadas por esses veículos.»;</w:t>
      </w:r>
    </w:p>
    <w:p>
      <w:pPr>
        <w:rPr>
          <w:noProof/>
        </w:rPr>
      </w:pPr>
      <w:r>
        <w:rPr>
          <w:noProof/>
        </w:rPr>
        <w:t>c)</w:t>
      </w:r>
      <w:r>
        <w:rPr>
          <w:noProof/>
        </w:rPr>
        <w:tab/>
        <w:t>O anexo III-A passa a ter a seguinte redação:</w:t>
      </w:r>
    </w:p>
    <w:p>
      <w:pPr>
        <w:pStyle w:val="Annexetitreacte"/>
        <w:rPr>
          <w:noProof/>
        </w:rPr>
      </w:pPr>
      <w:r>
        <w:rPr>
          <w:noProof/>
        </w:rPr>
        <w:t>«ANEXO IIIA</w:t>
      </w:r>
    </w:p>
    <w:p>
      <w:pPr>
        <w:pStyle w:val="ManualHeading1"/>
        <w:ind w:left="851" w:hanging="851"/>
        <w:rPr>
          <w:noProof/>
        </w:rPr>
      </w:pPr>
      <w:r>
        <w:rPr>
          <w:i/>
          <w:noProof/>
        </w:rPr>
        <w:t>REQUISITOS MÍNIMOS PARA A APLICAÇÃO DE TAXAS DE EXTERNALIDADE</w:t>
      </w:r>
    </w:p>
    <w:p>
      <w:pPr>
        <w:rPr>
          <w:noProof/>
        </w:rPr>
      </w:pPr>
      <w:r>
        <w:rPr>
          <w:noProof/>
        </w:rPr>
        <w:t>O presente anexo estabelece os requisitos mínimos para a aplicação de taxas de externalidade e, se for caso disso, para o cálculo da taxa máxima de externalidade.</w:t>
      </w:r>
    </w:p>
    <w:p>
      <w:pPr>
        <w:pStyle w:val="ManualHeading2"/>
        <w:ind w:left="851" w:hanging="851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>
        <w:rPr>
          <w:i/>
          <w:noProof/>
        </w:rPr>
        <w:t>Partes da rede rodoviária abrangidas</w:t>
      </w:r>
    </w:p>
    <w:p>
      <w:pPr>
        <w:rPr>
          <w:noProof/>
        </w:rPr>
      </w:pPr>
      <w:r>
        <w:rPr>
          <w:noProof/>
        </w:rPr>
        <w:t>O Estado-Membro deve especificar em que parte ou partes da sua rede rodoviária será aplicada uma taxa de externalidade.</w:t>
      </w:r>
    </w:p>
    <w:p>
      <w:pPr>
        <w:rPr>
          <w:noProof/>
        </w:rPr>
      </w:pPr>
      <w:r>
        <w:rPr>
          <w:noProof/>
        </w:rPr>
        <w:t>Se o Estado-Membro pretender aplicar uma taxa de externalidade unicamente na parte ou partes da rede rodoviária que compõem a sua quota no âmbito da rede transeuropeia e respetivas autoestradas, essa parte ou partes serão selecionadas com base numa avaliação que determine:</w:t>
      </w:r>
    </w:p>
    <w:p>
      <w:pPr>
        <w:pStyle w:val="Tiret0"/>
        <w:numPr>
          <w:ilvl w:val="0"/>
          <w:numId w:val="5"/>
        </w:numPr>
        <w:ind w:left="851"/>
        <w:rPr>
          <w:noProof/>
        </w:rPr>
      </w:pPr>
      <w:r>
        <w:rPr>
          <w:noProof/>
        </w:rPr>
        <w:t xml:space="preserve">a utilização que os veículos dão às estradas onde é aplicada a taxa de externalidade gera danos ambientais superiores aos gerados em média avaliados </w:t>
      </w:r>
      <w:r>
        <w:rPr>
          <w:noProof/>
          <w:color w:val="FF0000"/>
        </w:rPr>
        <w:t>em conformidade com os relatórios sobre a qualidade do ar, os inventários nacionais de emissões, os volumes de tráfego e, relativamente ao ruído, em conformidade com a Diretiva 2002/49/CE</w:t>
      </w:r>
      <w:r>
        <w:rPr>
          <w:noProof/>
        </w:rPr>
        <w:t>, ou</w:t>
      </w:r>
    </w:p>
    <w:p>
      <w:pPr>
        <w:pStyle w:val="Tiret0"/>
        <w:ind w:left="851"/>
        <w:rPr>
          <w:noProof/>
        </w:rPr>
      </w:pPr>
      <w:r>
        <w:rPr>
          <w:noProof/>
        </w:rPr>
        <w:t>se a imposição de uma taxa de externalidade noutras partes da rede rodoviária assim compostas pode ter efeitos negativos no ambiente ou na segurança rodoviária, ou se a sua aplicação e cobrança acarretaria custos desproporcionados.</w:t>
      </w:r>
    </w:p>
    <w:p>
      <w:pPr>
        <w:pStyle w:val="ManualHeading2"/>
        <w:ind w:left="851" w:hanging="851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i/>
          <w:noProof/>
        </w:rPr>
        <w:t>Veículos, estradas e períodos de utilização abrangidos</w:t>
      </w:r>
    </w:p>
    <w:p>
      <w:pPr>
        <w:rPr>
          <w:noProof/>
        </w:rPr>
      </w:pPr>
      <w:r>
        <w:rPr>
          <w:noProof/>
        </w:rPr>
        <w:t>Sempre que um Estado-Membro tenciona aplicar uma taxa de externalidade superior aos valores de referência especificados no anexo III-B, deve notificar à Comissão a classificação dos veículos que norteará a diferenciação da taxa de externalidade. Deve igualmente notificar a Comissão da localização das estradas em que é aplicada uma taxa de externalidade mais elevada [a seguir designadas por «estradas suburbanas (incluindo autoestradas)»] ou menos elevada [a seguir designadas por «estradas interurbanas (incluindo autoestradas)]».</w:t>
      </w:r>
    </w:p>
    <w:p>
      <w:pPr>
        <w:rPr>
          <w:noProof/>
        </w:rPr>
      </w:pPr>
      <w:r>
        <w:rPr>
          <w:noProof/>
        </w:rPr>
        <w:t>Se for o caso, o Estado-Membro deve ainda notificar a Comissão dos períodos de utilização exatos correspondentes ao período noturno durante os quais poderá ser aplicada uma taxa de externalidade referente à poluição sonora mais elevada por força de um nível maior de dano acústico.</w:t>
      </w:r>
    </w:p>
    <w:p>
      <w:pPr>
        <w:rPr>
          <w:noProof/>
        </w:rPr>
      </w:pPr>
      <w:r>
        <w:rPr>
          <w:noProof/>
        </w:rPr>
        <w:t>A classificação das estradas como estradas suburbanas (incluindo autoestradas) ou estradas interurbanas (incluindo autoestradas) e a definição dos períodos de utilização devem basear-se em critérios objetivos relacionados com o nível de exposição das estradas e suas imediações à poluição, tais como a densidade populacional e a média anual de poluição atmosférica (nomeadamente para as PM</w:t>
      </w:r>
      <w:r>
        <w:rPr>
          <w:noProof/>
          <w:vertAlign w:val="subscript"/>
        </w:rPr>
        <w:t>10</w:t>
      </w:r>
      <w:r>
        <w:rPr>
          <w:noProof/>
        </w:rPr>
        <w:t xml:space="preserve"> e o NO</w:t>
      </w:r>
      <w:r>
        <w:rPr>
          <w:noProof/>
          <w:vertAlign w:val="subscript"/>
        </w:rPr>
        <w:t>2</w:t>
      </w:r>
      <w:r>
        <w:rPr>
          <w:noProof/>
        </w:rPr>
        <w:t>), assim como o número de dias (para as PM</w:t>
      </w:r>
      <w:r>
        <w:rPr>
          <w:noProof/>
          <w:vertAlign w:val="subscript"/>
        </w:rPr>
        <w:t>10</w:t>
      </w:r>
      <w:r>
        <w:rPr>
          <w:noProof/>
        </w:rPr>
        <w:t>) e horas (para o NO</w:t>
      </w:r>
      <w:r>
        <w:rPr>
          <w:noProof/>
          <w:vertAlign w:val="subscript"/>
        </w:rPr>
        <w:t>2</w:t>
      </w:r>
      <w:r>
        <w:rPr>
          <w:noProof/>
        </w:rPr>
        <w:t>) em que os valores-limite estabelecidos na Diretiva 2008/50/CE são excedidos. Os critérios aplicados devem constar da notificação.</w:t>
      </w:r>
    </w:p>
    <w:p>
      <w:pPr>
        <w:pStyle w:val="ManualHeading2"/>
        <w:ind w:left="851" w:hanging="851"/>
        <w:rPr>
          <w:noProof/>
        </w:rPr>
      </w:pPr>
      <w:r>
        <w:rPr>
          <w:noProof/>
        </w:rPr>
        <w:t>3.</w:t>
      </w:r>
      <w:r>
        <w:rPr>
          <w:noProof/>
        </w:rPr>
        <w:tab/>
      </w:r>
      <w:r>
        <w:rPr>
          <w:i/>
          <w:noProof/>
        </w:rPr>
        <w:t>Montante da taxa</w:t>
      </w:r>
    </w:p>
    <w:p>
      <w:pPr>
        <w:rPr>
          <w:rFonts w:eastAsia="Arial Unicode MS"/>
          <w:noProof/>
        </w:rPr>
      </w:pPr>
      <w:r>
        <w:rPr>
          <w:noProof/>
        </w:rPr>
        <w:t>A presente secção é aplicável sempre que um Estado-Membro tenciona aplicar uma taxa de externalidade superior aos valores de referência especificados no anexo III-B.</w:t>
      </w:r>
    </w:p>
    <w:p>
      <w:pPr>
        <w:rPr>
          <w:noProof/>
        </w:rPr>
      </w:pPr>
      <w:r>
        <w:rPr>
          <w:noProof/>
        </w:rPr>
        <w:t>O Estado-Membro ou, se for o caso, uma autoridade independente devm determinar um montante específico único para cada classe de veículos, tipo de estradas e período de utilização. A estrutura de tarifação resultante deve ser transparente, publicada e aplicável em condições idênticas a todos os utentes. A publicação deve anteceder, com uma margem de tempo suficiente, a aplicação. Devem ser publicados todos os parâmetros, dados e outras informações necessários para se compreender como são calculados os vários elementos da externalidade.</w:t>
      </w:r>
    </w:p>
    <w:p>
      <w:pPr>
        <w:rPr>
          <w:noProof/>
        </w:rPr>
      </w:pPr>
      <w:r>
        <w:rPr>
          <w:noProof/>
        </w:rPr>
        <w:t>Ao fixar as taxas, o Estado-Membro ou, se for o caso, uma autoridade independente deve nortear-se pelo princípio da tarifação eficiente, isto é, uma tarifa próxima do custo marginal social da utilização do veículo sujeito ao pagamento da taxa.</w:t>
      </w:r>
    </w:p>
    <w:p>
      <w:pPr>
        <w:rPr>
          <w:noProof/>
        </w:rPr>
      </w:pPr>
      <w:r>
        <w:rPr>
          <w:noProof/>
        </w:rPr>
        <w:t>Na determinação do montante deve ponderar-se o risco de desvio de tráfego e as eventuais incidências negativas na segurança rodoviária, no ambiente e no nível de congestionamento, bem como quaisquer soluções que permitam minorar esses riscos.</w:t>
      </w:r>
    </w:p>
    <w:p>
      <w:pPr>
        <w:rPr>
          <w:noProof/>
        </w:rPr>
      </w:pPr>
      <w:r>
        <w:rPr>
          <w:noProof/>
        </w:rPr>
        <w:t>O Estado-Membro ou, se for o caso, uma autoridade independente deve controlar a eficácia do sistema de tarifação em termos de redução dos danos ambientais causados pelo transporte rodoviário. Deve igualmente ajustar de dois em dois anos, se necessário, a estrutura de tarifação e o montante da taxa fixado para uma dada classe de veículos, tipo de estradas e período de utilização à evolução da oferta e da procura de transporte.</w:t>
      </w:r>
    </w:p>
    <w:p>
      <w:pPr>
        <w:pStyle w:val="ManualHeading3"/>
        <w:rPr>
          <w:i w:val="0"/>
          <w:iCs/>
          <w:noProof/>
        </w:rPr>
      </w:pPr>
      <w:r>
        <w:rPr>
          <w:b/>
          <w:noProof/>
        </w:rPr>
        <w:t>4.</w:t>
      </w:r>
      <w:r>
        <w:rPr>
          <w:noProof/>
        </w:rPr>
        <w:tab/>
      </w:r>
      <w:r>
        <w:rPr>
          <w:b/>
          <w:i w:val="0"/>
          <w:noProof/>
        </w:rPr>
        <w:t>Elementos de custo externo</w:t>
      </w:r>
      <w:r>
        <w:rPr>
          <w:i w:val="0"/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>4.1.</w:t>
      </w:r>
      <w:r>
        <w:rPr>
          <w:noProof/>
        </w:rPr>
        <w:tab/>
        <w:t>Custo da poluição atmosférica originada pelo tráfego</w:t>
      </w:r>
    </w:p>
    <w:p>
      <w:pPr>
        <w:rPr>
          <w:noProof/>
        </w:rPr>
      </w:pPr>
      <w:r>
        <w:rPr>
          <w:noProof/>
        </w:rPr>
        <w:t>Sempre que um Estado-Membro tenciona aplicar uma taxa de externalidade de valor superior aos valores de referência especificados no anexo III-B, esse Estado-Membro, ou, se for caso disso, uma autoridade independente, deve calcular o custo imputável da poluição atmosférica originada pelo tráfego aplicando a seguinte fórmula:</w:t>
      </w:r>
    </w:p>
    <w:p>
      <w:pPr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1714500" cy="229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125" cy="22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  <w:r>
        <w:rPr>
          <w:noProof/>
        </w:rPr>
        <w:t>em que: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7"/>
        <w:gridCol w:w="1022"/>
        <w:gridCol w:w="557"/>
        <w:gridCol w:w="7150"/>
      </w:tblGrid>
      <w:tr>
        <w:tc>
          <w:tcPr>
            <w:tcW w:w="557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22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PCV</w:t>
            </w:r>
            <w:r>
              <w:rPr>
                <w:noProof/>
                <w:vertAlign w:val="subscript"/>
              </w:rPr>
              <w:t>ij</w:t>
            </w:r>
          </w:p>
        </w:tc>
        <w:tc>
          <w:tcPr>
            <w:tcW w:w="557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=</w:t>
            </w:r>
          </w:p>
        </w:tc>
        <w:tc>
          <w:tcPr>
            <w:tcW w:w="7150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custo da poluição atmosférica para um veículo da classe i e uma estrada do tipo j (euros/veículo.quilómetro)</w:t>
            </w:r>
          </w:p>
        </w:tc>
      </w:tr>
      <w:tr>
        <w:tc>
          <w:tcPr>
            <w:tcW w:w="557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22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EF</w:t>
            </w:r>
            <w:r>
              <w:rPr>
                <w:noProof/>
                <w:vertAlign w:val="subscript"/>
              </w:rPr>
              <w:t>ik</w:t>
            </w:r>
          </w:p>
        </w:tc>
        <w:tc>
          <w:tcPr>
            <w:tcW w:w="557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=</w:t>
            </w:r>
          </w:p>
        </w:tc>
        <w:tc>
          <w:tcPr>
            <w:tcW w:w="7150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fator de emissão para um poluente k e um veículo da classe i (gramas/veículo.quilómetro)</w:t>
            </w:r>
          </w:p>
        </w:tc>
      </w:tr>
      <w:tr>
        <w:tc>
          <w:tcPr>
            <w:tcW w:w="557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022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PC</w:t>
            </w:r>
            <w:r>
              <w:rPr>
                <w:noProof/>
                <w:vertAlign w:val="subscript"/>
              </w:rPr>
              <w:t>jk</w:t>
            </w:r>
          </w:p>
        </w:tc>
        <w:tc>
          <w:tcPr>
            <w:tcW w:w="557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=</w:t>
            </w:r>
          </w:p>
        </w:tc>
        <w:tc>
          <w:tcPr>
            <w:tcW w:w="7150" w:type="dxa"/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custo para um poluente k e uma estrada do tipo j (euros/grama).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Os fatores de emissão devem ser os usados pelos Estados-Membros para estabelecer os inventários nacionais de emissões previstos na Diretiva (UE) 2016/2284 do Parlamento Europeu e do Conselho relativa à redução das emissões nacionais de certos poluentes atmosféricos * (que exige a utilização do guia EMEP/AEA para o inventário das emissões de poluentes atmosféricos**). O custo dos poluentes deve ser estimado pelo Estado-Membro ou, se for caso disso, pela autoridade independente referida no artigo 7.º-C, n.º 4, fazendo uso de métodos cientificamente comprovados.</w:t>
      </w:r>
    </w:p>
    <w:p>
      <w:pPr>
        <w:rPr>
          <w:noProof/>
        </w:rPr>
      </w:pPr>
      <w:r>
        <w:rPr>
          <w:noProof/>
        </w:rPr>
        <w:t>A fim de calcular os custos da poluição atmosférica, o Estado-Membro ou, se for o caso, uma autoridade independente pode aplicar métodos alternativos cientificamente comprovados que utilizem os dados de medição dos poluentes atmosféricos e o valor local do custo desses poluentes.</w:t>
      </w:r>
    </w:p>
    <w:p>
      <w:pPr>
        <w:pStyle w:val="ManualHeading3"/>
        <w:rPr>
          <w:noProof/>
        </w:rPr>
      </w:pPr>
      <w:r>
        <w:rPr>
          <w:noProof/>
        </w:rPr>
        <w:t>4.2.</w:t>
      </w:r>
      <w:r>
        <w:rPr>
          <w:noProof/>
        </w:rPr>
        <w:tab/>
        <w:t>Custo da poluição sonora originada pelo tráfego</w:t>
      </w:r>
    </w:p>
    <w:p>
      <w:pPr>
        <w:rPr>
          <w:noProof/>
        </w:rPr>
      </w:pPr>
      <w:r>
        <w:rPr>
          <w:noProof/>
        </w:rPr>
        <w:t>Sempre que um Estado-Membro tenciona aplicar uma taxa de externalidade superior aos valores de referência especificados no anexo III-B, o Estado-Membro, ou, se for caso disso, uma autoridade independente, deve calcular o custo imputável da poluição sonora originada pelo tráfego aplicando as seguintes fórmulas:</w:t>
      </w:r>
    </w:p>
    <w:p>
      <w:pPr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673997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67416" cy="95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  <w:r>
        <w:rPr>
          <w:noProof/>
        </w:rPr>
        <w:t>em que: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7"/>
        <w:gridCol w:w="1207"/>
        <w:gridCol w:w="372"/>
        <w:gridCol w:w="7150"/>
      </w:tblGrid>
      <w:t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NCV</w:t>
            </w:r>
            <w:r>
              <w:rPr>
                <w:noProof/>
                <w:vertAlign w:val="subscript"/>
              </w:rPr>
              <w:t>j</w:t>
            </w:r>
            <w:r>
              <w:rPr>
                <w:noProof/>
              </w:rPr>
              <w:t xml:space="preserve"> =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7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custo do ruído para um veículo pesado de mercadorias e uma estrada do tipo j (euros/veículo.quilómetro)</w:t>
            </w:r>
          </w:p>
        </w:tc>
      </w:tr>
      <w:t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NC</w:t>
            </w:r>
            <w:r>
              <w:rPr>
                <w:noProof/>
                <w:vertAlign w:val="subscript"/>
              </w:rPr>
              <w:t>jk</w:t>
            </w:r>
            <w:r>
              <w:rPr>
                <w:noProof/>
              </w:rPr>
              <w:t xml:space="preserve"> =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7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custo do ruído por pessoa exposta, para uma estrada do tipo j e um nível de ruído k (euros/pessoa)</w:t>
            </w:r>
          </w:p>
        </w:tc>
      </w:tr>
      <w:t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POP</w:t>
            </w:r>
            <w:r>
              <w:rPr>
                <w:noProof/>
                <w:vertAlign w:val="subscript"/>
              </w:rPr>
              <w:t>k</w:t>
            </w:r>
            <w:r>
              <w:rPr>
                <w:noProof/>
              </w:rPr>
              <w:t xml:space="preserve"> =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7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população exposta a um nível diário de ruído k por quilómetro (pessoa/quilómetro)</w:t>
            </w:r>
          </w:p>
        </w:tc>
      </w:tr>
      <w:t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WADT =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7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média ponderada do tráfego diário (equivalente de ligeiro de passageiros)</w:t>
            </w:r>
          </w:p>
        </w:tc>
      </w:tr>
      <w:t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a e b</w:t>
            </w: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</w:p>
        </w:tc>
        <w:tc>
          <w:tcPr>
            <w:tcW w:w="7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pStyle w:val="NormalLeft"/>
              <w:rPr>
                <w:noProof/>
              </w:rPr>
            </w:pPr>
            <w:r>
              <w:rPr>
                <w:noProof/>
              </w:rPr>
              <w:t>são fatores de ponderação determinados pelos Estados-Membros por forma a que a taxa de ruído média ponderada daí resultante por veículo.quilómetro corresponda a NCV</w:t>
            </w:r>
            <w:r>
              <w:rPr>
                <w:noProof/>
                <w:vertAlign w:val="subscript"/>
              </w:rPr>
              <w:t>j</w:t>
            </w:r>
            <w:r>
              <w:rPr>
                <w:noProof/>
              </w:rPr>
              <w:t xml:space="preserve"> (diariamente).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 poluição sonora originada pelo tráfego tem como referência o impacto sobre a saúde dos cidadãos em torno da estrada.</w:t>
      </w:r>
    </w:p>
    <w:p>
      <w:pPr>
        <w:rPr>
          <w:noProof/>
        </w:rPr>
      </w:pPr>
      <w:r>
        <w:rPr>
          <w:noProof/>
        </w:rPr>
        <w:t>A população exposta ao nível de ruído k deve ser determinada a partir dos mapas estratégicos de ruído elaborados nos termos do artigo 7.º da Diretiva 2002/49/CE do Parlamento Europeu e do Conselho***.</w:t>
      </w:r>
    </w:p>
    <w:p>
      <w:pPr>
        <w:rPr>
          <w:noProof/>
        </w:rPr>
      </w:pPr>
      <w:r>
        <w:rPr>
          <w:noProof/>
        </w:rPr>
        <w:t>O custo por pessoa exposta ao nível de ruído k deve ser estimado pelos Estados-Membros ou, se for o caso, por uma autoridade independente, fazendo uso de métodos cientificamente comprovados.</w:t>
      </w:r>
    </w:p>
    <w:p>
      <w:pPr>
        <w:rPr>
          <w:noProof/>
        </w:rPr>
      </w:pPr>
      <w:r>
        <w:rPr>
          <w:noProof/>
        </w:rPr>
        <w:t>O tráfego diário médio ponderado assume um fator de equivalência «e» entre veículos pesados de mercadorias e ligeiros de passageiros derivado a partir dos níveis de emissão sonora do veículo ligeiro médio e do veículo pesado de mercadorias médio e ainda tendo em conta o Regulamento (UE) n.º 540/2014 do Parlamento Europeu e do Conselho, de 16 de abril de 2014, relativo ao nível sonoro dos veículos a motor e dos sistemas silenciosos de substituição, e que altera a Diretiva 2007/46/CE e revoga a Diretiva 70/157/CEE.</w:t>
      </w:r>
    </w:p>
    <w:p>
      <w:pPr>
        <w:rPr>
          <w:noProof/>
        </w:rPr>
      </w:pPr>
      <w:r>
        <w:rPr>
          <w:noProof/>
        </w:rPr>
        <w:t>Os Estados-Membros ou, se for o caso, uma autoridade independente podem estabelecer taxas de ruído diferenciadas para compensar a utilização de veículos mais silenciosos, desde que tal não discrimine os veículos estrangeiros.</w:t>
      </w:r>
    </w:p>
    <w:p>
      <w:pPr>
        <w:rPr>
          <w:noProof/>
        </w:rPr>
      </w:pPr>
      <w:r>
        <w:rPr>
          <w:noProof/>
        </w:rPr>
        <w:t>_____________</w:t>
      </w:r>
    </w:p>
    <w:p>
      <w:pPr>
        <w:rPr>
          <w:noProof/>
        </w:rPr>
      </w:pPr>
      <w:r>
        <w:rPr>
          <w:noProof/>
        </w:rPr>
        <w:t>*</w:t>
      </w:r>
      <w:r>
        <w:rPr>
          <w:noProof/>
        </w:rPr>
        <w:tab/>
        <w:t xml:space="preserve">Diretiva (UE) 2016/2284 do Parlamento Europeu e do Conselho, de 14 de dezembro de 2016, relativa à redução das emissões nacionais de certos poluentes atmosféricos, que altera a Diretiva 2003/35/CE e revoga a Diretiva 2001/81/CE (JO L 344 de 17.12.2016, p.1). </w:t>
      </w:r>
    </w:p>
    <w:p>
      <w:pPr>
        <w:rPr>
          <w:noProof/>
        </w:rPr>
      </w:pPr>
      <w:r>
        <w:rPr>
          <w:noProof/>
        </w:rPr>
        <w:t>**</w:t>
      </w:r>
      <w:r>
        <w:rPr>
          <w:noProof/>
        </w:rPr>
        <w:tab/>
        <w:t>Metodologia da Agência Europeia do Ambiente: http://www.eea.europa.eu//publications/emep-eea-guidebook-2016</w:t>
      </w:r>
    </w:p>
    <w:p>
      <w:pPr>
        <w:rPr>
          <w:noProof/>
        </w:rPr>
      </w:pPr>
      <w:r>
        <w:rPr>
          <w:noProof/>
        </w:rPr>
        <w:t>***</w:t>
      </w:r>
      <w:r>
        <w:rPr>
          <w:noProof/>
        </w:rPr>
        <w:tab/>
        <w:t>Diretiva 2002/49/CE do Parlamento Europeu e do Conselho, de 25 de junho de 2002, relativa à avaliação e gestão do ruído ambiente (JO L 189 de 18.7.2002, p. 12).»;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d)</w:t>
      </w:r>
      <w:r>
        <w:rPr>
          <w:noProof/>
        </w:rPr>
        <w:tab/>
        <w:t>O anexo III-B passa a ter a seguinte redação:</w:t>
      </w:r>
    </w:p>
    <w:p>
      <w:pPr>
        <w:pStyle w:val="Annexetitreacte"/>
        <w:rPr>
          <w:noProof/>
        </w:rPr>
      </w:pPr>
      <w:r>
        <w:rPr>
          <w:noProof/>
        </w:rPr>
        <w:t>«ANEXO III-B</w:t>
      </w:r>
    </w:p>
    <w:p>
      <w:pPr>
        <w:pStyle w:val="NormalCentered"/>
        <w:rPr>
          <w:b/>
          <w:bCs/>
          <w:noProof/>
        </w:rPr>
      </w:pPr>
      <w:r>
        <w:rPr>
          <w:b/>
          <w:noProof/>
        </w:rPr>
        <w:t xml:space="preserve"> VALORES DE REFERÊNCIA DA TAXA DE EXTERNALIDADE</w:t>
      </w:r>
    </w:p>
    <w:p>
      <w:pPr>
        <w:rPr>
          <w:noProof/>
        </w:rPr>
      </w:pPr>
      <w:r>
        <w:rPr>
          <w:noProof/>
        </w:rPr>
        <w:t>O presente anexo estabelece os valores de referência da taxa de externalidade, incluindo o custo da poluição atmosférica e sonora.</w:t>
      </w:r>
    </w:p>
    <w:p>
      <w:pPr>
        <w:spacing w:before="100" w:beforeAutospacing="1" w:after="100" w:afterAutospacing="1"/>
        <w:ind w:left="800" w:hanging="400"/>
        <w:rPr>
          <w:rFonts w:eastAsia="Arial Unicode MS"/>
          <w:noProof/>
        </w:rPr>
      </w:pPr>
      <w:r>
        <w:rPr>
          <w:i/>
          <w:noProof/>
        </w:rPr>
        <w:t>Quadro 1:</w:t>
      </w:r>
      <w:r>
        <w:rPr>
          <w:noProof/>
        </w:rPr>
        <w:t>  </w:t>
      </w:r>
      <w:r>
        <w:rPr>
          <w:i/>
          <w:noProof/>
        </w:rPr>
        <w:t>valores de referência da taxa de externalidade aplicáveis aos veículos pesados de mercadorias</w:t>
      </w:r>
    </w:p>
    <w:tbl>
      <w:tblPr>
        <w:tblW w:w="8740" w:type="dxa"/>
        <w:jc w:val="center"/>
        <w:tblCellSpacing w:w="0" w:type="dxa"/>
        <w:tblInd w:w="-2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3"/>
        <w:gridCol w:w="3082"/>
        <w:gridCol w:w="1668"/>
        <w:gridCol w:w="1637"/>
      </w:tblGrid>
      <w:tr>
        <w:trPr>
          <w:tblCellSpacing w:w="0" w:type="dxa"/>
          <w:jc w:val="center"/>
        </w:trPr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Classe de veículo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cêntimos/veículo.quilómetro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Suburbanas</w:t>
            </w:r>
            <w:r>
              <w:rPr>
                <w:b/>
                <w:noProof/>
                <w:vertAlign w:val="superscript"/>
              </w:rPr>
              <w:t>(1)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Interurbanas</w:t>
            </w:r>
            <w:r>
              <w:rPr>
                <w:b/>
                <w:noProof/>
                <w:vertAlign w:val="superscript"/>
              </w:rPr>
              <w:t>(2)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Veículo pesado de mercadorias com peso bruto máximo autorizado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inferior a 14 toneladas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ou com dois eixos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8,3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9,1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8,8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5,4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4,3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3,1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1,9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Menos poluentes do que 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Veículo pesado de mercadorias com peso bruto máximo autorizado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entre 14 e 28 toneladas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ou com três eixos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23,3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15,1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16,4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10,1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15,7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8,2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3,7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Menos poluentes do que 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Veículo pesado de mercadorias com peso bruto máximo autorizado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entre 28 e 40 toneladas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ou com quatro eixos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30,4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19,7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22,6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21,3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17,8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11,2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12,2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4,0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Menos poluentes do que 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Veículo pesado de mercadorias com peso bruto máximo autorizado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 xml:space="preserve">superior a 40 toneladas 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ou com 5 ou mais eixos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0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43,0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28,6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31,5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19,8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29,2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19,4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24,0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15,6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16,2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4,7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3,6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>
        <w:trPr>
          <w:tblCellSpacing w:w="0" w:type="dxa"/>
          <w:jc w:val="center"/>
        </w:trPr>
        <w:tc>
          <w:tcPr>
            <w:tcW w:w="13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contextualSpacing/>
              <w:rPr>
                <w:noProof/>
              </w:rPr>
            </w:pPr>
            <w:r>
              <w:rPr>
                <w:noProof/>
              </w:rPr>
              <w:t>Menos poluentes do que EURO VI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>
      <w:pPr>
        <w:rPr>
          <w:rFonts w:eastAsia="Arial Unicode MS"/>
          <w:noProof/>
        </w:rPr>
      </w:pPr>
      <w:r>
        <w:rPr>
          <w:noProof/>
        </w:rPr>
        <w:t xml:space="preserve">Entende-se por </w:t>
      </w:r>
      <w:r>
        <w:rPr>
          <w:noProof/>
          <w:vertAlign w:val="superscript"/>
        </w:rPr>
        <w:t xml:space="preserve">(1) </w:t>
      </w:r>
      <w:r>
        <w:rPr>
          <w:noProof/>
        </w:rPr>
        <w:t>«suburbanas» as áreas com uma densidade populacional entre 150 e 900 habitantes/km</w:t>
      </w:r>
      <w:r>
        <w:rPr>
          <w:noProof/>
          <w:vertAlign w:val="superscript"/>
        </w:rPr>
        <w:t>2</w:t>
      </w:r>
      <w:r>
        <w:rPr>
          <w:noProof/>
        </w:rPr>
        <w:t xml:space="preserve"> (densidade populacional média de 300 habitantes/km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>
      <w:pPr>
        <w:rPr>
          <w:rFonts w:eastAsia="Arial Unicode MS"/>
          <w:noProof/>
          <w:szCs w:val="24"/>
        </w:rPr>
      </w:pPr>
      <w:r>
        <w:rPr>
          <w:noProof/>
          <w:vertAlign w:val="superscript"/>
        </w:rPr>
        <w:t>(2)</w:t>
      </w:r>
      <w:r>
        <w:rPr>
          <w:noProof/>
        </w:rPr>
        <w:tab/>
        <w:t>Entende-se por «interurbanas» as áreas com uma densidade populacional inferior a 150 habitantes/km</w:t>
      </w:r>
      <w:r>
        <w:rPr>
          <w:noProof/>
          <w:vertAlign w:val="superscript"/>
        </w:rPr>
        <w:t>2</w:t>
      </w:r>
      <w:r>
        <w:rPr>
          <w:noProof/>
        </w:rPr>
        <w:t>.</w:t>
      </w:r>
    </w:p>
    <w:p>
      <w:pPr>
        <w:spacing w:before="100" w:beforeAutospacing="1" w:after="100" w:afterAutospacing="1"/>
        <w:ind w:left="800" w:hanging="400"/>
        <w:rPr>
          <w:rFonts w:eastAsia="Arial Unicode MS"/>
          <w:i/>
          <w:iCs/>
          <w:noProof/>
        </w:rPr>
      </w:pPr>
      <w:r>
        <w:rPr>
          <w:i/>
          <w:noProof/>
        </w:rPr>
        <w:t>Quadro 2: valores de referência da taxa de externalidade aplicáveis aos autocarros de turismo</w:t>
      </w:r>
    </w:p>
    <w:tbl>
      <w:tblPr>
        <w:tblW w:w="8710" w:type="dxa"/>
        <w:jc w:val="center"/>
        <w:tblCellSpacing w:w="0" w:type="dxa"/>
        <w:tblInd w:w="-3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3"/>
        <w:gridCol w:w="3070"/>
        <w:gridCol w:w="1670"/>
        <w:gridCol w:w="1637"/>
      </w:tblGrid>
      <w:tr>
        <w:trPr>
          <w:tblCellSpacing w:w="0" w:type="dxa"/>
          <w:jc w:val="center"/>
        </w:trPr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Classe de veículo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cêntimos/veículo.quilómetro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Suburbanas</w:t>
            </w:r>
            <w:r>
              <w:rPr>
                <w:b/>
                <w:noProof/>
                <w:vertAlign w:val="superscript"/>
              </w:rPr>
              <w:t>(1)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Interurbanas</w:t>
            </w:r>
            <w:r>
              <w:rPr>
                <w:b/>
                <w:noProof/>
                <w:vertAlign w:val="superscript"/>
              </w:rPr>
              <w:t>(2)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Autocarro com um peso bruto máximo autorizado igual a 18 toneladas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ou com dois eixos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20,3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13,1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16,0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10,4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15,6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9,9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13,9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8,5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IV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10,0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5,7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9,0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Menos poluentes do que EURO VI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Autocarro com um peso bruto máximo autorizado superior a 18 toneladas</w:t>
            </w:r>
          </w:p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ou com três ou mais eixos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24,9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16,2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19,2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12,3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18,5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12,0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III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15,7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9,8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IV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6,6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10,2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5,2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EURO VI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>
        <w:trPr>
          <w:tblCellSpacing w:w="0" w:type="dxa"/>
          <w:jc w:val="center"/>
        </w:trPr>
        <w:tc>
          <w:tcPr>
            <w:tcW w:w="13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Menos poluentes do que EURO VI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before="100" w:beforeAutospacing="1" w:after="100" w:afterAutospacing="1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</w:tbl>
    <w:p>
      <w:pPr>
        <w:rPr>
          <w:rFonts w:eastAsia="Arial Unicode MS"/>
          <w:noProof/>
        </w:rPr>
      </w:pPr>
      <w:r>
        <w:rPr>
          <w:noProof/>
        </w:rPr>
        <w:t xml:space="preserve">Entende-se por </w:t>
      </w:r>
      <w:r>
        <w:rPr>
          <w:noProof/>
          <w:vertAlign w:val="superscript"/>
        </w:rPr>
        <w:t xml:space="preserve">(1) </w:t>
      </w:r>
      <w:r>
        <w:rPr>
          <w:noProof/>
        </w:rPr>
        <w:t>«suburbanas» as áreas com uma densidade populacional entre 150 e 900 habitantes/km</w:t>
      </w:r>
      <w:r>
        <w:rPr>
          <w:noProof/>
          <w:vertAlign w:val="superscript"/>
        </w:rPr>
        <w:t>2</w:t>
      </w:r>
      <w:r>
        <w:rPr>
          <w:noProof/>
        </w:rPr>
        <w:t xml:space="preserve"> (densidade populacional média de 300 habitantes/km</w:t>
      </w:r>
      <w:r>
        <w:rPr>
          <w:noProof/>
          <w:vertAlign w:val="superscript"/>
        </w:rPr>
        <w:t>2</w:t>
      </w:r>
      <w:r>
        <w:rPr>
          <w:noProof/>
        </w:rPr>
        <w:t>).</w:t>
      </w:r>
    </w:p>
    <w:p>
      <w:pPr>
        <w:rPr>
          <w:noProof/>
        </w:rPr>
      </w:pPr>
      <w:r>
        <w:rPr>
          <w:noProof/>
        </w:rPr>
        <w:t xml:space="preserve">Entende-se por </w:t>
      </w:r>
      <w:r>
        <w:rPr>
          <w:noProof/>
          <w:vertAlign w:val="superscript"/>
        </w:rPr>
        <w:t xml:space="preserve">(2) </w:t>
      </w:r>
      <w:r>
        <w:rPr>
          <w:noProof/>
        </w:rPr>
        <w:t>«interurbanas» as áreas com uma densidade populacional inferior a 150 habitantes/km</w:t>
      </w:r>
      <w:r>
        <w:rPr>
          <w:noProof/>
          <w:vertAlign w:val="superscript"/>
        </w:rPr>
        <w:t>2</w:t>
      </w:r>
      <w:r>
        <w:rPr>
          <w:noProof/>
        </w:rPr>
        <w:t>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Se a menor dispersão, o declive das estradas, a altitude ou as inversões térmicas o justificarem, os valores dos quadros 1 e 2 podem ser multiplicados por um fator máximo de 2 nas zonas montanhosas e em torno das aglomerações.»;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e)</w:t>
      </w:r>
      <w:r>
        <w:rPr>
          <w:noProof/>
        </w:rPr>
        <w:tab/>
        <w:t>No anexo IV, o quadro com o título «Conjuntos de veículos (veículos articulados e conjuntos veículo-reboque)» passa a ter a seguinte redação:</w:t>
      </w:r>
    </w:p>
    <w:p>
      <w:pPr>
        <w:pStyle w:val="ManualHeading1"/>
        <w:ind w:left="851" w:hanging="851"/>
        <w:rPr>
          <w:noProof/>
        </w:rPr>
      </w:pPr>
      <w:r>
        <w:rPr>
          <w:noProof/>
        </w:rPr>
        <w:t>«Conjuntos de veículos (veículos articulados e conjuntos veículo-reboque)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48"/>
        <w:gridCol w:w="1929"/>
        <w:gridCol w:w="13"/>
        <w:gridCol w:w="21"/>
        <w:gridCol w:w="1802"/>
        <w:gridCol w:w="27"/>
        <w:gridCol w:w="1943"/>
        <w:gridCol w:w="6"/>
        <w:gridCol w:w="1659"/>
        <w:gridCol w:w="36"/>
      </w:tblGrid>
      <w:tr>
        <w:trPr>
          <w:gridAfter w:val="1"/>
          <w:wAfter w:w="36" w:type="dxa"/>
        </w:trPr>
        <w:tc>
          <w:tcPr>
            <w:tcW w:w="3807" w:type="dxa"/>
            <w:gridSpan w:val="4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Eixos motores equipados com suspensão pneumática ou considerada equivalente</w:t>
            </w:r>
          </w:p>
        </w:tc>
        <w:tc>
          <w:tcPr>
            <w:tcW w:w="3808" w:type="dxa"/>
            <w:gridSpan w:val="4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Outros sistemas de suspensão dos eixos motores</w:t>
            </w:r>
          </w:p>
        </w:tc>
        <w:tc>
          <w:tcPr>
            <w:tcW w:w="1671" w:type="dxa"/>
            <w:gridSpan w:val="2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Classe de danos</w:t>
            </w:r>
          </w:p>
        </w:tc>
      </w:tr>
      <w:tr>
        <w:trPr>
          <w:gridAfter w:val="1"/>
          <w:wAfter w:w="36" w:type="dxa"/>
        </w:trPr>
        <w:tc>
          <w:tcPr>
            <w:tcW w:w="3807" w:type="dxa"/>
            <w:gridSpan w:val="4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Número de eixos e peso bruto máximo autorizado (em toneladas)</w:t>
            </w:r>
          </w:p>
        </w:tc>
        <w:tc>
          <w:tcPr>
            <w:tcW w:w="3808" w:type="dxa"/>
            <w:gridSpan w:val="4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Número de eixos e peso bruto máximo autorizado (em toneladas)</w:t>
            </w:r>
          </w:p>
        </w:tc>
        <w:tc>
          <w:tcPr>
            <w:tcW w:w="1671" w:type="dxa"/>
            <w:gridSpan w:val="2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Igual ou superior a</w:t>
            </w:r>
          </w:p>
        </w:tc>
        <w:tc>
          <w:tcPr>
            <w:tcW w:w="1950" w:type="dxa"/>
            <w:gridSpan w:val="2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Inferior a</w:t>
            </w:r>
          </w:p>
        </w:tc>
        <w:tc>
          <w:tcPr>
            <w:tcW w:w="1857" w:type="dxa"/>
            <w:gridSpan w:val="3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Igual ou superior a</w:t>
            </w:r>
          </w:p>
        </w:tc>
        <w:tc>
          <w:tcPr>
            <w:tcW w:w="1951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Inferior a</w:t>
            </w:r>
          </w:p>
        </w:tc>
        <w:tc>
          <w:tcPr>
            <w:tcW w:w="1671" w:type="dxa"/>
            <w:gridSpan w:val="2"/>
          </w:tcPr>
          <w:p>
            <w:pPr>
              <w:jc w:val="center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7615" w:type="dxa"/>
            <w:gridSpan w:val="8"/>
          </w:tcPr>
          <w:p>
            <w:pPr>
              <w:jc w:val="left"/>
              <w:rPr>
                <w:noProof/>
              </w:rPr>
            </w:pPr>
            <w:r>
              <w:rPr>
                <w:i/>
                <w:noProof/>
              </w:rPr>
              <w:t>2 + 1 eixos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7,5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7,5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14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22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>
        <w:trPr>
          <w:gridAfter w:val="1"/>
          <w:wAfter w:w="36" w:type="dxa"/>
        </w:trPr>
        <w:tc>
          <w:tcPr>
            <w:tcW w:w="7615" w:type="dxa"/>
            <w:gridSpan w:val="8"/>
          </w:tcPr>
          <w:p>
            <w:pPr>
              <w:jc w:val="left"/>
              <w:rPr>
                <w:noProof/>
              </w:rPr>
            </w:pPr>
            <w:r>
              <w:rPr>
                <w:i/>
                <w:noProof/>
              </w:rPr>
              <w:t>2 + 2 eixos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33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>
        <w:trPr>
          <w:gridAfter w:val="1"/>
          <w:wAfter w:w="36" w:type="dxa"/>
        </w:trPr>
        <w:tc>
          <w:tcPr>
            <w:tcW w:w="7615" w:type="dxa"/>
            <w:gridSpan w:val="8"/>
          </w:tcPr>
          <w:p>
            <w:pPr>
              <w:jc w:val="left"/>
              <w:rPr>
                <w:noProof/>
              </w:rPr>
            </w:pPr>
            <w:r>
              <w:rPr>
                <w:i/>
                <w:noProof/>
              </w:rPr>
              <w:t>2 + 3 eixos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1950" w:type="dxa"/>
            <w:gridSpan w:val="2"/>
          </w:tcPr>
          <w:p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>
        <w:trPr>
          <w:gridAfter w:val="1"/>
          <w:wAfter w:w="36" w:type="dxa"/>
        </w:trPr>
        <w:tc>
          <w:tcPr>
            <w:tcW w:w="7615" w:type="dxa"/>
            <w:gridSpan w:val="8"/>
          </w:tcPr>
          <w:p>
            <w:pPr>
              <w:jc w:val="left"/>
              <w:rPr>
                <w:noProof/>
              </w:rPr>
            </w:pPr>
            <w:r>
              <w:rPr>
                <w:i/>
                <w:noProof/>
              </w:rPr>
              <w:t>3 + 2 eixos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1950" w:type="dxa"/>
            <w:gridSpan w:val="2"/>
          </w:tcPr>
          <w:p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7615" w:type="dxa"/>
            <w:gridSpan w:val="8"/>
          </w:tcPr>
          <w:p>
            <w:pPr>
              <w:jc w:val="left"/>
              <w:rPr>
                <w:noProof/>
              </w:rPr>
            </w:pPr>
            <w:r>
              <w:rPr>
                <w:i/>
                <w:noProof/>
              </w:rPr>
              <w:t>3 + 3 eixos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1950" w:type="dxa"/>
            <w:gridSpan w:val="2"/>
          </w:tcPr>
          <w:p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38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>
        <w:trPr>
          <w:gridAfter w:val="1"/>
          <w:wAfter w:w="36" w:type="dxa"/>
        </w:trPr>
        <w:tc>
          <w:tcPr>
            <w:tcW w:w="1857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0" w:type="dxa"/>
            <w:gridSpan w:val="2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857" w:type="dxa"/>
            <w:gridSpan w:val="3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51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44</w:t>
            </w:r>
          </w:p>
        </w:tc>
        <w:tc>
          <w:tcPr>
            <w:tcW w:w="1671" w:type="dxa"/>
            <w:gridSpan w:val="2"/>
          </w:tcPr>
          <w:p>
            <w:pPr>
              <w:jc w:val="left"/>
              <w:rPr>
                <w:noProof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11"/>
          </w:tcPr>
          <w:p>
            <w:pPr>
              <w:spacing w:before="100" w:beforeAutospacing="1" w:after="100" w:afterAutospacing="1"/>
              <w:rPr>
                <w:i/>
                <w:noProof/>
              </w:rPr>
            </w:pPr>
            <w:r>
              <w:rPr>
                <w:i/>
                <w:noProof/>
              </w:rPr>
              <w:t>7 eixos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1809" w:type="dxa"/>
            <w:tcBorders>
              <w:bottom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III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noProof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11"/>
            <w:tcBorders>
              <w:top w:val="single" w:sz="4" w:space="0" w:color="auto"/>
            </w:tcBorders>
          </w:tcPr>
          <w:p>
            <w:pPr>
              <w:spacing w:before="100" w:beforeAutospacing="1" w:after="100" w:afterAutospacing="1"/>
              <w:rPr>
                <w:i/>
                <w:noProof/>
              </w:rPr>
            </w:pPr>
            <w:r>
              <w:rPr>
                <w:i/>
                <w:noProof/>
              </w:rPr>
              <w:t>8 ou 9 eixos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019" w:type="dxa"/>
            <w:gridSpan w:val="4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809" w:type="dxa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984" w:type="dxa"/>
            <w:gridSpan w:val="3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01" w:type="dxa"/>
            <w:gridSpan w:val="2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019" w:type="dxa"/>
            <w:gridSpan w:val="4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809" w:type="dxa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984" w:type="dxa"/>
            <w:gridSpan w:val="3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701" w:type="dxa"/>
            <w:gridSpan w:val="2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II</w:t>
            </w:r>
          </w:p>
        </w:tc>
      </w:tr>
      <w:tr>
        <w:tblPrEx>
          <w:tblLook w:val="04A0" w:firstRow="1" w:lastRow="0" w:firstColumn="1" w:lastColumn="0" w:noHBand="0" w:noVBand="1"/>
        </w:tblPrEx>
        <w:tc>
          <w:tcPr>
            <w:tcW w:w="3828" w:type="dxa"/>
            <w:gridSpan w:val="5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3793" w:type="dxa"/>
            <w:gridSpan w:val="4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701" w:type="dxa"/>
            <w:gridSpan w:val="2"/>
          </w:tcPr>
          <w:p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III»;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2)</w:t>
      </w:r>
      <w:r>
        <w:rPr>
          <w:noProof/>
        </w:rPr>
        <w:tab/>
        <w:t>São aditados os seguintes anexos V, VI e VII:</w:t>
      </w:r>
    </w:p>
    <w:p>
      <w:pPr>
        <w:jc w:val="center"/>
        <w:rPr>
          <w:rFonts w:eastAsia="Arial Unicode MS"/>
          <w:i/>
          <w:iCs/>
          <w:noProof/>
        </w:rPr>
      </w:pPr>
      <w:r>
        <w:rPr>
          <w:i/>
          <w:noProof/>
        </w:rPr>
        <w:t>«ANEXO V</w:t>
      </w:r>
    </w:p>
    <w:p>
      <w:pPr>
        <w:jc w:val="center"/>
        <w:rPr>
          <w:rFonts w:eastAsia="Arial Unicode MS"/>
          <w:b/>
          <w:bCs/>
          <w:noProof/>
        </w:rPr>
      </w:pPr>
      <w:r>
        <w:rPr>
          <w:b/>
          <w:noProof/>
        </w:rPr>
        <w:t>REQUISITOS MÍNIMOS PARA A APLICAÇÃO DE TAXAS DE CONGESTIONAMENTO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O presente anexo estabelece os requisitos mínimos para a aplicação de taxas de congestionamento.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1.   </w:t>
      </w:r>
      <w:r>
        <w:rPr>
          <w:b/>
          <w:noProof/>
        </w:rPr>
        <w:t xml:space="preserve"> Partes da rede sujeitas à tarifação do congestionamento, veículos e períodos abrangidos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Os Estados-Membros devem especificar detalhadamente: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a) A parte ou partes da sua rede que compõem a sua quota no âmbito da rede transeuropeia e respetivas autoestradas referidas no artigo 7.º, n.º 1, abrangidas por uma taxa de congestionamento, em conformidade com o artigo 7.º-DA, n.</w:t>
      </w:r>
      <w:r>
        <w:rPr>
          <w:noProof/>
          <w:vertAlign w:val="superscript"/>
        </w:rPr>
        <w:t>os</w:t>
      </w:r>
      <w:r>
        <w:rPr>
          <w:noProof/>
        </w:rPr>
        <w:t xml:space="preserve"> 1 e 3.  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b) A classificação dos troços da rede abrangidos pela taxa de congestionamento enquanto «metropolitanos» e «não metropolitanos». Os Estados-Membros devem utilizar os critérios estabelecidos no quadro 1 para efeitos da determinação da classificação de cada troço de estrada.</w:t>
      </w:r>
    </w:p>
    <w:p>
      <w:pPr>
        <w:spacing w:after="0"/>
        <w:rPr>
          <w:rFonts w:eastAsia="Arial Unicode MS"/>
          <w:i/>
          <w:noProof/>
        </w:rPr>
      </w:pPr>
      <w:r>
        <w:rPr>
          <w:i/>
          <w:noProof/>
        </w:rPr>
        <w:t>Quadro 1: Critérios para a classificação das estradas da rede referidas na alínea a) como «metropolitanas» e «não metropolitanas»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shd w:val="clear" w:color="auto" w:fill="auto"/>
          </w:tcPr>
          <w:p>
            <w:pPr>
              <w:spacing w:after="0"/>
              <w:rPr>
                <w:rFonts w:eastAsia="Arial Unicode MS"/>
                <w:b/>
                <w:noProof/>
              </w:rPr>
            </w:pPr>
            <w:r>
              <w:rPr>
                <w:b/>
                <w:noProof/>
              </w:rPr>
              <w:t>Categoria da estrada</w:t>
            </w:r>
          </w:p>
        </w:tc>
        <w:tc>
          <w:tcPr>
            <w:tcW w:w="4644" w:type="dxa"/>
            <w:shd w:val="clear" w:color="auto" w:fill="auto"/>
          </w:tcPr>
          <w:p>
            <w:pPr>
              <w:spacing w:after="0"/>
              <w:rPr>
                <w:rFonts w:eastAsia="Arial Unicode MS"/>
                <w:b/>
                <w:noProof/>
              </w:rPr>
            </w:pPr>
            <w:r>
              <w:rPr>
                <w:b/>
                <w:noProof/>
              </w:rPr>
              <w:t>Critério de classificação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«metropolitana»</w:t>
            </w:r>
          </w:p>
        </w:tc>
        <w:tc>
          <w:tcPr>
            <w:tcW w:w="4644" w:type="dxa"/>
            <w:shd w:val="clear" w:color="auto" w:fill="auto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Troços da rede dentro das aglomerações com uma população de 250 000 ou mais habitantes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«não metropolitanas»</w:t>
            </w:r>
          </w:p>
        </w:tc>
        <w:tc>
          <w:tcPr>
            <w:tcW w:w="4644" w:type="dxa"/>
            <w:shd w:val="clear" w:color="auto" w:fill="auto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Troços da rede não qualificados como «metropolitanos»</w:t>
            </w:r>
          </w:p>
        </w:tc>
      </w:tr>
    </w:tbl>
    <w:p>
      <w:pPr>
        <w:spacing w:after="0"/>
        <w:rPr>
          <w:rFonts w:eastAsia="Arial Unicode MS"/>
          <w:noProof/>
        </w:rPr>
      </w:pPr>
      <w:r>
        <w:rPr>
          <w:noProof/>
        </w:rPr>
        <w:t>c) Períodos durante os quais é aplicável a taxa a cada segmento individual. Sempre que se aplicam diferentes níveis de tarifação ao longo de todo o período de tarifação, os Estados-Membros devem indicar claramente o início e o final de cada período durante o qual é aplicada uma taxa específica.</w:t>
      </w:r>
    </w:p>
    <w:p>
      <w:pPr>
        <w:spacing w:after="0"/>
        <w:rPr>
          <w:noProof/>
        </w:rPr>
      </w:pPr>
      <w:r>
        <w:rPr>
          <w:noProof/>
        </w:rPr>
        <w:t>Os Estados-Membros devem utilizar os fatores de equivalência previstos no quadro 2 para efeitos de determinação da proporção entre os vários níveis de tarifação para as diferentes categorias de veículos:</w:t>
      </w:r>
    </w:p>
    <w:p>
      <w:pPr>
        <w:spacing w:after="0"/>
        <w:rPr>
          <w:rFonts w:eastAsia="Arial Unicode MS"/>
          <w:i/>
          <w:noProof/>
        </w:rPr>
      </w:pPr>
      <w:r>
        <w:rPr>
          <w:i/>
          <w:noProof/>
        </w:rPr>
        <w:t>Quadro 2: Fatores de equivalência para determinação da proporção entre os níveis da taxa de congestionamento aplicáveis às diferentes categorias de veículos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after="0"/>
              <w:rPr>
                <w:rFonts w:eastAsia="Arial Unicode MS"/>
                <w:b/>
                <w:noProof/>
              </w:rPr>
            </w:pPr>
            <w:r>
              <w:rPr>
                <w:b/>
                <w:noProof/>
              </w:rPr>
              <w:t>Categoria do veículo</w:t>
            </w:r>
          </w:p>
        </w:tc>
        <w:tc>
          <w:tcPr>
            <w:tcW w:w="4644" w:type="dxa"/>
          </w:tcPr>
          <w:p>
            <w:pPr>
              <w:spacing w:after="0"/>
              <w:rPr>
                <w:rFonts w:eastAsia="Arial Unicode MS"/>
                <w:b/>
                <w:noProof/>
              </w:rPr>
            </w:pPr>
            <w:r>
              <w:rPr>
                <w:b/>
                <w:noProof/>
              </w:rPr>
              <w:t>Fator de equivalência</w:t>
            </w:r>
          </w:p>
        </w:tc>
      </w:tr>
      <w:tr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Veículos ligeiros</w:t>
            </w:r>
          </w:p>
        </w:tc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1</w:t>
            </w:r>
          </w:p>
        </w:tc>
      </w:tr>
      <w:tr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Veículos pesados de mercadorias sem reboque</w:t>
            </w:r>
          </w:p>
        </w:tc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1,9</w:t>
            </w:r>
          </w:p>
        </w:tc>
      </w:tr>
      <w:tr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Autocarros urbanos e de turismo</w:t>
            </w:r>
          </w:p>
        </w:tc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2,5</w:t>
            </w:r>
          </w:p>
        </w:tc>
      </w:tr>
      <w:tr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Veículos pesados de mercadorias articulados</w:t>
            </w:r>
          </w:p>
        </w:tc>
        <w:tc>
          <w:tcPr>
            <w:tcW w:w="4644" w:type="dxa"/>
          </w:tcPr>
          <w:p>
            <w:pPr>
              <w:spacing w:after="0"/>
              <w:rPr>
                <w:rFonts w:eastAsia="Arial Unicode MS"/>
                <w:noProof/>
              </w:rPr>
            </w:pPr>
            <w:r>
              <w:rPr>
                <w:noProof/>
              </w:rPr>
              <w:t>2,9</w:t>
            </w:r>
          </w:p>
        </w:tc>
      </w:tr>
    </w:tbl>
    <w:p>
      <w:pPr>
        <w:spacing w:after="0"/>
        <w:rPr>
          <w:noProof/>
        </w:rPr>
      </w:pPr>
    </w:p>
    <w:p>
      <w:pPr>
        <w:spacing w:after="0"/>
        <w:rPr>
          <w:rFonts w:eastAsia="Arial Unicode MS"/>
          <w:noProof/>
        </w:rPr>
      </w:pPr>
      <w:r>
        <w:rPr>
          <w:noProof/>
        </w:rPr>
        <w:t>2.   </w:t>
      </w:r>
      <w:r>
        <w:rPr>
          <w:b/>
          <w:noProof/>
        </w:rPr>
        <w:t xml:space="preserve"> Montante da taxa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Para cada categoria de veículos, troço de estrada e período, os Estados-Membros ou, se for o caso, uma autoridade independente, devem determinar um montante específico único, estabelecido em conformidade com as disposições da secção 1 do presente anexo, tendo em conta o correspondente valor máximo estabelecido no quadro do anexo VI. A estrutura de tarifação resultante deve ser transparente, publicada e aplicável em condições idênticas a todos os utentes.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Antes de aplicar uma taxa de congestionamento, os Estados-Membros devem proceder a todas as seguintes publicações: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a)</w:t>
      </w:r>
      <w:r>
        <w:rPr>
          <w:noProof/>
        </w:rPr>
        <w:tab/>
        <w:t>Todos os parâmetros, dados e outras informações necessárias para se compreender a forma como a classificação das estradas e veículos e a determinação dos períodos de aplicação da taxa é estabelecida;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b)</w:t>
      </w:r>
      <w:r>
        <w:rPr>
          <w:noProof/>
        </w:rPr>
        <w:tab/>
        <w:t xml:space="preserve">A descrição completa das taxas de congestionamento que se aplicam a cada categoria de veículos em cada troço de estrada e durante cada período. 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Os Estados-Membros devem facultar à Comissão todas as informações publicadas ao abrigo das alíneas a) e b).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Antes da determinação do montante, deve impreterivelmente ponderar-se o risco de desvio de tráfego e as eventuais incidências negativas na segurança rodoviária, no ambiente e no nível de congestionamento, bem como quaisquer soluções que permitam minorar esses riscos.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Os Estados-Membros ou, se for o caso, uma autoridade independente, devem controlar a eficácia do sistema de tarifação em termos de redução do congestionamento. Devem igualmente ajustar anualmente, se necessário, a estrutura de tarifação, os períodos de tarifação e o montante específico da taxa fixado para cada classe de veículos, tipo de estradas e período de utilização à evolução da oferta e da procura de transporte.</w:t>
      </w:r>
    </w:p>
    <w:p>
      <w:pPr>
        <w:spacing w:before="0" w:after="200" w:line="276" w:lineRule="auto"/>
        <w:jc w:val="left"/>
        <w:rPr>
          <w:rFonts w:eastAsia="Arial Unicode MS"/>
          <w:noProof/>
        </w:rPr>
      </w:pPr>
    </w:p>
    <w:p>
      <w:pPr>
        <w:jc w:val="center"/>
        <w:rPr>
          <w:rFonts w:eastAsia="Arial Unicode MS"/>
          <w:i/>
          <w:iCs/>
          <w:noProof/>
        </w:rPr>
      </w:pPr>
      <w:r>
        <w:rPr>
          <w:i/>
          <w:noProof/>
        </w:rPr>
        <w:t>ANEXO VI</w:t>
      </w:r>
    </w:p>
    <w:p>
      <w:pPr>
        <w:spacing w:after="0"/>
        <w:jc w:val="center"/>
        <w:rPr>
          <w:rFonts w:eastAsia="Arial Unicode MS"/>
          <w:b/>
          <w:bCs/>
          <w:noProof/>
        </w:rPr>
      </w:pPr>
      <w:r>
        <w:rPr>
          <w:b/>
          <w:noProof/>
        </w:rPr>
        <w:t>NÍVEL MÁXIMO DE TAXAS DE CONGESTIONAMENTO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O presente anexo define o nível máximo das taxas de congestionamento.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No quadro abaixo constam os níveis máximos previstos aplicados aos veículos ligeiros. As taxas aplicadas às outras categorias de veículos são estabelecidas multiplicando-se a taxa aplicada aos veículos ligeiros pelos fatores de equivalência previstos no quadro do anexo V.</w:t>
      </w:r>
    </w:p>
    <w:tbl>
      <w:tblPr>
        <w:tblpPr w:leftFromText="180" w:rightFromText="180" w:vertAnchor="text" w:horzAnchor="page" w:tblpX="1903" w:tblpY="709"/>
        <w:tblW w:w="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1670"/>
        <w:gridCol w:w="1796"/>
      </w:tblGrid>
      <w:tr>
        <w:tc>
          <w:tcPr>
            <w:tcW w:w="1523" w:type="pct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cêntimos/veículo.quilómetro</w:t>
            </w:r>
          </w:p>
        </w:tc>
        <w:tc>
          <w:tcPr>
            <w:tcW w:w="1523" w:type="pct"/>
            <w:hideMark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metropolitana</w:t>
            </w:r>
          </w:p>
        </w:tc>
        <w:tc>
          <w:tcPr>
            <w:tcW w:w="1954" w:type="pct"/>
            <w:hideMark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não metropolitana</w:t>
            </w:r>
          </w:p>
        </w:tc>
      </w:tr>
      <w:tr>
        <w:tc>
          <w:tcPr>
            <w:tcW w:w="1523" w:type="pct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Autoestradas</w:t>
            </w:r>
          </w:p>
        </w:tc>
        <w:tc>
          <w:tcPr>
            <w:tcW w:w="1523" w:type="pct"/>
            <w:hideMark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1954" w:type="pct"/>
            <w:hideMark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>
        <w:tc>
          <w:tcPr>
            <w:tcW w:w="1523" w:type="pct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Estradas nacionais</w:t>
            </w:r>
          </w:p>
        </w:tc>
        <w:tc>
          <w:tcPr>
            <w:tcW w:w="1523" w:type="pct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198</w:t>
            </w:r>
          </w:p>
        </w:tc>
        <w:tc>
          <w:tcPr>
            <w:tcW w:w="1954" w:type="pct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66</w:t>
            </w:r>
          </w:p>
        </w:tc>
      </w:tr>
    </w:tbl>
    <w:p>
      <w:pPr>
        <w:spacing w:before="240" w:after="0"/>
        <w:ind w:left="806" w:hanging="403"/>
        <w:rPr>
          <w:rFonts w:eastAsia="Arial Unicode MS"/>
          <w:i/>
          <w:noProof/>
        </w:rPr>
      </w:pPr>
      <w:r>
        <w:rPr>
          <w:i/>
          <w:noProof/>
        </w:rPr>
        <w:t>Quadro: Nível máximo de taxas de congestionamento aplicável aos veículos ligeiros</w:t>
      </w:r>
    </w:p>
    <w:p>
      <w:pPr>
        <w:spacing w:before="100" w:beforeAutospacing="1" w:after="0"/>
        <w:ind w:left="806" w:hanging="403"/>
        <w:rPr>
          <w:rFonts w:eastAsia="Arial Unicode MS"/>
          <w:i/>
          <w:noProof/>
        </w:rPr>
      </w:pPr>
    </w:p>
    <w:p>
      <w:pPr>
        <w:spacing w:before="100" w:beforeAutospacing="1" w:after="0"/>
        <w:ind w:left="806" w:hanging="403"/>
        <w:rPr>
          <w:rFonts w:eastAsia="Arial Unicode MS"/>
          <w:i/>
          <w:iCs/>
          <w:noProof/>
        </w:rPr>
      </w:pPr>
    </w:p>
    <w:p>
      <w:pPr>
        <w:jc w:val="center"/>
        <w:rPr>
          <w:rFonts w:eastAsia="Arial Unicode MS"/>
          <w:i/>
          <w:iCs/>
          <w:noProof/>
        </w:rPr>
      </w:pPr>
    </w:p>
    <w:p>
      <w:pPr>
        <w:spacing w:before="0" w:after="200" w:line="276" w:lineRule="auto"/>
        <w:jc w:val="left"/>
        <w:rPr>
          <w:rFonts w:eastAsia="Arial Unicode MS"/>
          <w:i/>
          <w:iCs/>
          <w:noProof/>
        </w:rPr>
      </w:pPr>
      <w:r>
        <w:rPr>
          <w:noProof/>
        </w:rPr>
        <w:br w:type="page"/>
      </w:r>
    </w:p>
    <w:p>
      <w:pPr>
        <w:jc w:val="center"/>
        <w:rPr>
          <w:rFonts w:eastAsia="Arial Unicode MS"/>
          <w:i/>
          <w:iCs/>
          <w:noProof/>
        </w:rPr>
      </w:pPr>
      <w:r>
        <w:rPr>
          <w:i/>
          <w:noProof/>
        </w:rPr>
        <w:t>ANEXO VII</w:t>
      </w:r>
    </w:p>
    <w:p>
      <w:pPr>
        <w:spacing w:after="0"/>
        <w:jc w:val="center"/>
        <w:rPr>
          <w:rFonts w:eastAsia="Arial Unicode MS"/>
          <w:b/>
          <w:bCs/>
          <w:noProof/>
        </w:rPr>
      </w:pPr>
      <w:r>
        <w:rPr>
          <w:b/>
          <w:noProof/>
        </w:rPr>
        <w:t>DIFERENCIAÇÃO DAS PORTAGENS E DIREITOS DE UTILIZAÇÃO APLICÁVEIS AOS VEÍCULOS LIGEIROS</w:t>
      </w:r>
    </w:p>
    <w:p>
      <w:pPr>
        <w:spacing w:after="0"/>
        <w:rPr>
          <w:rFonts w:eastAsia="Arial Unicode MS"/>
          <w:noProof/>
        </w:rPr>
      </w:pPr>
    </w:p>
    <w:p>
      <w:pPr>
        <w:spacing w:after="0"/>
        <w:rPr>
          <w:rFonts w:eastAsia="Arial Unicode MS"/>
          <w:noProof/>
        </w:rPr>
      </w:pPr>
      <w:r>
        <w:rPr>
          <w:noProof/>
        </w:rPr>
        <w:t>O presente anexo especifica as categorias de emissões que determinam a diferenciação das portagens e direitos de utilização.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As emissões poluentes devem ser medidas em conformidade com o Regulamento (UE) n.º .../... da Comissão*.</w:t>
      </w:r>
    </w:p>
    <w:p>
      <w:pPr>
        <w:spacing w:after="0"/>
        <w:rPr>
          <w:rFonts w:eastAsia="Arial Unicode MS"/>
          <w:noProof/>
        </w:rPr>
      </w:pPr>
      <w:r>
        <w:rPr>
          <w:noProof/>
        </w:rPr>
        <w:t>As taxas mais baixas são aplicáveis a qualquer veículo ligeiro de passageiros e comercial com emissões específicas de CO</w:t>
      </w:r>
      <w:r>
        <w:rPr>
          <w:noProof/>
          <w:vertAlign w:val="subscript"/>
        </w:rPr>
        <w:t>2</w:t>
      </w:r>
      <w:r>
        <w:rPr>
          <w:noProof/>
        </w:rPr>
        <w:t>, medidas em conformidade com o Regulamento (CE) n.º 715/2007 do Parlamento Europeu e do Conselho**, que se situem abaixo dos níveis correspondentes aos objetivos aplicáveis ao parque de automóveis à escala da UE definidos no Regulamento (CE) n.º 443/2009 do Parlamento Europeu e do Conselho*** e do Regulamento (UE) n.º 510/2011 do Parlamento Europeu e do Conselho****.</w:t>
      </w:r>
    </w:p>
    <w:p>
      <w:pPr>
        <w:spacing w:after="0"/>
        <w:rPr>
          <w:rFonts w:eastAsia="Arial Unicode MS"/>
          <w:i/>
          <w:noProof/>
        </w:rPr>
      </w:pPr>
      <w:r>
        <w:rPr>
          <w:i/>
          <w:noProof/>
        </w:rPr>
        <w:t>Quadro: categorias de emissões dos veículos ligeiros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888"/>
        <w:gridCol w:w="1889"/>
        <w:gridCol w:w="1801"/>
        <w:gridCol w:w="1801"/>
      </w:tblGrid>
      <w:tr>
        <w:trPr>
          <w:trHeight w:val="832"/>
        </w:trPr>
        <w:tc>
          <w:tcPr>
            <w:tcW w:w="981" w:type="pc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Fator de conformidade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1,5-2,1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1-1,5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inferior a 1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Veículos de emissões zero</w:t>
            </w:r>
          </w:p>
        </w:tc>
      </w:tr>
      <w:tr>
        <w:trPr>
          <w:trHeight w:val="832"/>
        </w:trPr>
        <w:tc>
          <w:tcPr>
            <w:tcW w:w="98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Taxa por km</w:t>
            </w:r>
          </w:p>
        </w:tc>
        <w:tc>
          <w:tcPr>
            <w:tcW w:w="1028" w:type="pct"/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10 % inferior à taxa mais elevada</w:t>
            </w:r>
          </w:p>
        </w:tc>
        <w:tc>
          <w:tcPr>
            <w:tcW w:w="102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20 % inferior à taxa mais elevada</w:t>
            </w:r>
          </w:p>
        </w:tc>
        <w:tc>
          <w:tcPr>
            <w:tcW w:w="98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30 % inferior à taxa mais elevada</w:t>
            </w:r>
          </w:p>
        </w:tc>
        <w:tc>
          <w:tcPr>
            <w:tcW w:w="981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75 % inferior à taxa mais elevada</w:t>
            </w:r>
          </w:p>
        </w:tc>
      </w:tr>
    </w:tbl>
    <w:p>
      <w:pPr>
        <w:adjustRightInd w:val="0"/>
        <w:spacing w:before="0" w:after="0"/>
        <w:jc w:val="left"/>
        <w:rPr>
          <w:noProof/>
        </w:rPr>
      </w:pPr>
    </w:p>
    <w:p>
      <w:pPr>
        <w:adjustRightInd w:val="0"/>
        <w:spacing w:before="0" w:after="0"/>
        <w:jc w:val="left"/>
        <w:rPr>
          <w:noProof/>
        </w:rPr>
      </w:pPr>
      <w:r>
        <w:rPr>
          <w:noProof/>
        </w:rPr>
        <w:t>__________________</w:t>
      </w:r>
    </w:p>
    <w:p>
      <w:pPr>
        <w:adjustRightInd w:val="0"/>
        <w:spacing w:before="0" w:after="0"/>
        <w:jc w:val="left"/>
        <w:rPr>
          <w:noProof/>
        </w:rPr>
      </w:pPr>
    </w:p>
    <w:p>
      <w:pPr>
        <w:adjustRightInd w:val="0"/>
        <w:spacing w:before="0" w:after="0"/>
        <w:ind w:left="720" w:hanging="720"/>
        <w:jc w:val="left"/>
        <w:rPr>
          <w:noProof/>
        </w:rPr>
      </w:pPr>
      <w:r>
        <w:rPr>
          <w:noProof/>
        </w:rPr>
        <w:t>*</w:t>
      </w:r>
      <w:r>
        <w:rPr>
          <w:noProof/>
        </w:rPr>
        <w:tab/>
        <w:t>REGULAMENTO (UE) …/... DA COMISSÃO de XXX que altera o Regulamento (UE) 2017/xxx da Comissão e a Diretiva 2007/46/CE do Parlamento Europeu e do Conselho no que diz respeito às emissões em condições reais de condução dos veículos ligeiros de passageiros e comerciais (Euro 6) [RDE 3] (JO L … de ……..2017, p. …).</w:t>
      </w:r>
    </w:p>
    <w:p>
      <w:pPr>
        <w:adjustRightInd w:val="0"/>
        <w:spacing w:before="0" w:after="0"/>
        <w:ind w:left="720" w:hanging="720"/>
        <w:jc w:val="left"/>
        <w:rPr>
          <w:noProof/>
        </w:rPr>
      </w:pPr>
      <w:r>
        <w:rPr>
          <w:noProof/>
        </w:rPr>
        <w:t>**</w:t>
      </w:r>
      <w:r>
        <w:rPr>
          <w:noProof/>
        </w:rPr>
        <w:tab/>
        <w:t>Regulamento (CE) n.º 715/2007 do Parlamento Europeu e do Conselho, de 20 de junho de 2007, relativo à homologação dos veículos a motor no que respeita às emissões dos veículos ligeiros de passageiros e comerciais (Euro 5 e Euro 6) e ao acesso à informação relativa à reparação e manutenção de veículos (JO L 171 de 29.6.2007, p. 1).</w:t>
      </w:r>
    </w:p>
    <w:p>
      <w:pPr>
        <w:adjustRightInd w:val="0"/>
        <w:spacing w:before="0" w:after="0"/>
        <w:ind w:left="720" w:hanging="720"/>
        <w:jc w:val="left"/>
        <w:rPr>
          <w:noProof/>
        </w:rPr>
      </w:pPr>
      <w:r>
        <w:rPr>
          <w:noProof/>
        </w:rPr>
        <w:t>***</w:t>
      </w:r>
      <w:r>
        <w:rPr>
          <w:noProof/>
        </w:rPr>
        <w:tab/>
        <w:t>Regulamento (CE) n.º 443/2009 do Parlamento Europeu e do Conselho, de 23 de abril de 2009, que define normas de desempenho em matéria de emissões dos automóveis novos de passageiros como parte da abordagem integrada da Comunidade para reduzir as emissões de CO</w:t>
      </w:r>
      <w:r>
        <w:rPr>
          <w:noProof/>
          <w:vertAlign w:val="subscript"/>
        </w:rPr>
        <w:t>2</w:t>
      </w:r>
      <w:r>
        <w:rPr>
          <w:noProof/>
        </w:rPr>
        <w:t xml:space="preserve"> dos veículos ligeiros (JO L 140 de 5.6.2009, p. 1).</w:t>
      </w:r>
    </w:p>
    <w:p>
      <w:pPr>
        <w:adjustRightInd w:val="0"/>
        <w:spacing w:before="0" w:after="0"/>
        <w:ind w:left="720" w:hanging="720"/>
        <w:jc w:val="left"/>
        <w:rPr>
          <w:noProof/>
        </w:rPr>
      </w:pPr>
      <w:r>
        <w:rPr>
          <w:noProof/>
        </w:rPr>
        <w:t>****</w:t>
      </w:r>
      <w:r>
        <w:rPr>
          <w:noProof/>
        </w:rPr>
        <w:tab/>
        <w:t>Regulamento (CE) n.º 443/2009 do Parlamento Europeu e do Conselho, de 23 de abril de 2009, que define normas de desempenho em matéria de emissões dos automóveis novos de passageiros como parte da abordagem integrada da Comunidade para reduzir as emissões de CO</w:t>
      </w:r>
      <w:r>
        <w:rPr>
          <w:noProof/>
          <w:vertAlign w:val="subscript"/>
        </w:rPr>
        <w:t>2</w:t>
      </w:r>
      <w:r>
        <w:rPr>
          <w:noProof/>
        </w:rPr>
        <w:t xml:space="preserve"> dos veículos ligeiros (JO L 140 de 5.6.2009, p. 1).».</w:t>
      </w:r>
    </w:p>
    <w:sectPr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93656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CD015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2803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E660E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92EE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BBC7B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1383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C783F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8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6-06 14:42:4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2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6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da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EF428FC151914F0E8A20125741EA9777"/>
    <w:docVar w:name="LW_CROSSREFERENCE" w:val="{SWD(2017) 180 final}_x000b_{SWD(2017) 181 final}"/>
    <w:docVar w:name="LW_DocType" w:val="ANNEX"/>
    <w:docVar w:name="LW_EMISSION" w:val="31.5.2017"/>
    <w:docVar w:name="LW_EMISSION_ISODATE" w:val="2017-05-31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MARKING" w:val="&lt;UNUSED&gt;"/>
    <w:docVar w:name="LW_NOM.INST" w:val="COMISSÃO EUROPEIA"/>
    <w:docVar w:name="LW_NOM.INST_JOINTDOC" w:val="&lt;EMPTY&gt;"/>
    <w:docVar w:name="LW_OBJETACTEPRINCIPAL.CP" w:val="que altera a Diretiva 1999/62/CE relativa à aplicação de imposições aos veículos pesados de mercadorias pela utilização de certas infraestruturas_x000b_(Texto relevante para efeitos do EEE)"/>
    <w:docVar w:name="LW_PART_NBR" w:val="1"/>
    <w:docVar w:name="LW_PART_NBR_TOTAL" w:val="1"/>
    <w:docVar w:name="LW_REF.INST.NEW" w:val="COM"/>
    <w:docVar w:name="LW_REF.INST.NEW_ADOPTED" w:val="final"/>
    <w:docVar w:name="LW_REF.INST.NEW_TEXT" w:val="(2017) 275"/>
    <w:docVar w:name="LW_REF.INTERNE" w:val="&lt;UNUSED&gt;"/>
    <w:docVar w:name="LW_SUPERTITRE" w:val="&lt;UNUSED&gt;"/>
    <w:docVar w:name="LW_TITRE.OBJ.CP" w:val="&lt;UNUSED&gt;"/>
    <w:docVar w:name="LW_TYPE.DOC.CP" w:val="ANEXO"/>
    <w:docVar w:name="LW_TYPEACTEPRINCIPAL.CP" w:val="DIRETIVA DO PARLAMENTO EUR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CRMarker">
    <w:name w:val="CR Marker"/>
    <w:uiPriority w:val="99"/>
    <w:rPr>
      <w:rFonts w:ascii="Wingdings" w:hAnsi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="Times New Roman"/>
      <w:b/>
      <w:bCs/>
      <w:szCs w:val="24"/>
      <w:u w:val="single"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character" w:customStyle="1" w:styleId="CRMarker">
    <w:name w:val="CR Marker"/>
    <w:uiPriority w:val="99"/>
    <w:rPr>
      <w:rFonts w:ascii="Wingdings" w:hAnsi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="Times New Roman"/>
      <w:szCs w:val="24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8B69-F879-459C-8B37-09506F12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13</Pages>
  <Words>3610</Words>
  <Characters>18669</Characters>
  <Application>Microsoft Office Word</Application>
  <DocSecurity>0</DocSecurity>
  <Lines>889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 Peter (MOVE)</dc:creator>
  <cp:lastModifiedBy>DIGIT/A3</cp:lastModifiedBy>
  <cp:revision>8</cp:revision>
  <cp:lastPrinted>2017-05-28T06:32:00Z</cp:lastPrinted>
  <dcterms:created xsi:type="dcterms:W3CDTF">2017-06-02T09:50:00Z</dcterms:created>
  <dcterms:modified xsi:type="dcterms:W3CDTF">2017-06-06T12:42:00Z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