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6558C0CBBF94012AE01095219A70F5B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PRIEDAS</w:t>
      </w:r>
    </w:p>
    <w:p>
      <w:pPr>
        <w:pStyle w:val="Accompagnant"/>
        <w:rPr>
          <w:noProof/>
        </w:rPr>
      </w:pPr>
      <w:r>
        <w:rPr>
          <w:noProof/>
        </w:rPr>
        <w:t>prie</w:t>
      </w:r>
    </w:p>
    <w:p>
      <w:pPr>
        <w:pStyle w:val="Typeacteprincipal"/>
        <w:rPr>
          <w:noProof/>
        </w:rPr>
      </w:pPr>
      <w:r>
        <w:rPr>
          <w:noProof/>
        </w:rPr>
        <w:t>pasiūlymo dėl TARYBOS DIREKTYVOS</w:t>
      </w:r>
    </w:p>
    <w:p>
      <w:pPr>
        <w:pStyle w:val="Objetacteprincipal"/>
        <w:rPr>
          <w:noProof/>
        </w:rPr>
      </w:pPr>
      <w:r>
        <w:rPr>
          <w:noProof/>
        </w:rPr>
        <w:t>kuria iš dalies keičiamos tam tikros Direktyvos 1999/62/EB dėl sunkiasvorių krovinių transporto priemonių apmokestinimo už naudojimąsi tam tikra infrastruktūra nuostatos dėl transporto priemonių apmokestinimo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 priedas iš dalies keičiamas taip: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pavadinimas pakeičiamas taip:</w:t>
      </w:r>
    </w:p>
    <w:p>
      <w:pPr>
        <w:rPr>
          <w:noProof/>
        </w:rPr>
      </w:pPr>
      <w:r>
        <w:rPr>
          <w:noProof/>
        </w:rPr>
        <w:t>„A lentelė. MINIMALŪS MOKESČIŲ TARIFAI, TAIKYTINI SUNKIASVORĖMS KROVININĖMS TRANSPORTO PRIEMONĖMS IKI [...] GRUODŽIO 31 D.“ [prašome įrašyti šios direktyvos įsigaliojimo metus];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b) pridedamos šios lentelės:</w:t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„B lentelė. MINIMALŪS MOKESČIŲ TARIFAI, TAIKYTINI SUNKIASVORĖMS KROVININĖMS TRANSPORTO PRIEMONĖMS NUO [...] SAUSIO 1 D. [</w:t>
      </w:r>
      <w:r>
        <w:rPr>
          <w:b w:val="0"/>
          <w:noProof/>
        </w:rPr>
        <w:t>prašome įrašyti metus, einančius po šios direktyvos įsigaliojimo metų</w:t>
      </w:r>
      <w:r>
        <w:rPr>
          <w:noProof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Motorinės transporto priemonės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Dviašės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Keturių ašių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</w:tbl>
    <w:p>
      <w:pPr>
        <w:spacing w:before="0" w:after="0"/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TRANSPORTO PRIEMONIŲ JUNGINIAI (SUJUNGTOSIOS TRANSPORTO PRIEMONĖS IR SUKABINAMIEJI AUTOTRAUKINIAI)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428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C lentelė. MINIMALŪS MOKESČIŲ TARIFAI, TAIKYTINI SUNKIASVORĖMS KROVININĖMS TRANSPORTO PRIEMONĖMS NUO [...] SAUSIO 1 D. [prašome įrašyti antrus metus po šios direktyvos įsigaliojimo metų]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Motorinės transporto priemonės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Dviašės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Keturių ašių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TRANSPORTO PRIEMONIŲ JUNGINIAI (SUJUNGTOSIOS TRANSPORTO PRIEMONĖS IR SUKABINAMIEJI AUTOTRAUKINIAI)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D lentelė. MINIMALŪS MOKESČIŲ TARIFAI, TAIKYTINI SUNKIASVORĖMS KROVININĖMS TRANSPORTO PRIEMONĖMS NUO [...] SAUSIO 1 D. [prašome įrašyti trečius metus po šios direktyvos įsigaliojimo metų]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Motorinės transporto priemonės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Dviašės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Keturių ašių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TRANSPORTO PRIEMONIŲ JUNGINIAI (SUJUNGTOSIOS TRANSPORTO PRIEMONĖS IR SUKABINAMIEJI AUTOTRAUKINIAI)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214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E lentelė. MINIMALŪS MOKESČIŲ TARIFAI, TAIKYTINI SUNKIASVORĖMS KROVININĖMS TRANSPORTO PRIEMONĖMS NUO [...] SAUSIO 1 D. [prašome įrašyti ketvirtus metus po šios direktyvos įsigaliojimo metų]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Motorinės transporto priemonės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Dviašės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Keturių ašių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TRANSPORTO PRIEMONIŲ JUNGINIAI (SUJUNGTOSIOS TRANSPORTO PRIEMONĖS IR SUKABINAMIEJI AUTOTRAUKINIAI)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F lentelė. MINIMALŪS MOKESČIŲ TARIFAI, TAIKYTINI SUNKIASVORĖMS KROVININĖMS TRANSPORTO PRIEMONĖMS NUO [...] SAUSIO 1 D. [prašome įrašyti penktus metus po šios direktyvos įsigaliojimo metų]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Motorinės transporto priemonės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9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Dviašės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Triašės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Keturių ašių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TRANSPORTO PRIEMONIŲ JUNGINIAI (SUJUNGTOSIOS TRANSPORTO PRIEMONĖS IR SUKABINAMIEJI AUTOTRAUKINIAI)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Ašių skaičius ir maksimalus leistinas bendras pakrautos transporto priemonės svoris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(tonomis)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Minimalus mokesčio tarifas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(eurais per metus)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Ne mažiau kaip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Mažiau kaip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Varomosios ašys su pneumatine pakaba arba pripažintu ekvivalentu</w:t>
            </w:r>
            <w:r>
              <w:rPr>
                <w:rStyle w:val="FootnoteReference"/>
                <w:noProof/>
              </w:rPr>
              <w:footnoteReference w:id="10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Kita (-os) varomosios (-ųjų) ašies (-ių) pakabų sistema (-os)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ašys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rPr>
          <w:noProof/>
        </w:rPr>
      </w:pPr>
      <w:r>
        <w:rPr>
          <w:noProof/>
        </w:rPr>
        <w:t>“</w:t>
      </w: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404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Pakaba, pripažįstama lygiaverte, kaip apibrėžta 1996 m. liepos 25 d. Tarybos direktyvos 96/53/EB, nustatančios tam tikrų Bendrijoje nacionaliniam ir tarptautiniam vežimui naudojamų kelių transporto priemonių didžiausius leistinus matmenis ir tarptautiniam vežimui naudojamų kelių transporto priemonių didžiausią leistiną masę (OL L 235, 1996 9 17, p. 59), II priede.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08A40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C27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C2288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E49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E5F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492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943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A6E3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09:40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prie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6558C0CBBF94012AE01095219A70F5B"/>
    <w:docVar w:name="LW_CROSSREFERENCE" w:val="{SWD(2017) 180 final}_x000a_{SWD(2017) 181 final}"/>
    <w:docVar w:name="LW_DocType" w:val="ANNEX"/>
    <w:docVar w:name="LW_EMISSION" w:val="2017 05 31"/>
    <w:docVar w:name="LW_EMISSION_ISODATE" w:val="2017-05-31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.CP" w:val="kuria i\u353? dalies kei\u269?iamos tam tikros Direktyvos 1999/62/EB d\u279?l sunkiasvori\u371? krovini\u371? transporto priemoni\u371? apmokestinimo u\u382? naudojim\u261?si tam tikra infrastrukt\u363?ra nuostatos d\u279?l transporto priemoni\u371? apmokestinimo"/>
    <w:docVar w:name="LW_PART_NBR" w:val="1"/>
    <w:docVar w:name="LW_PART_NBR_TOTAL" w:val="1"/>
    <w:docVar w:name="LW_REF.INST.NEW" w:val="COM"/>
    <w:docVar w:name="LW_REF.INST.NEW_ADOPTED" w:val="final"/>
    <w:docVar w:name="LW_REF.INST.NEW_TEXT" w:val="(2017) 276"/>
    <w:docVar w:name="LW_REF.INTERNE" w:val="&lt;UNUSED&gt;"/>
    <w:docVar w:name="LW_SUPERTITRE" w:val="&lt;UNUSED&gt;"/>
    <w:docVar w:name="LW_TITRE.OBJ.CP" w:val="&lt;UNUSED&gt;"/>
    <w:docVar w:name="LW_TYPE.DOC.CP" w:val="PRIEDAS"/>
    <w:docVar w:name="LW_TYPEACTEPRINCIPAL.CP" w:val="pasi\u363?lymo d\u279?l TARYBOS DIREKTYVO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17</Pages>
  <Words>1593</Words>
  <Characters>6552</Characters>
  <Application>Microsoft Office Word</Application>
  <DocSecurity>0</DocSecurity>
  <Lines>1092</Lines>
  <Paragraphs>1163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 Peter (MOVE)</dc:creator>
  <cp:lastModifiedBy>DIGIT/A3</cp:lastModifiedBy>
  <cp:revision>7</cp:revision>
  <cp:lastPrinted>2017-05-19T13:02:00Z</cp:lastPrinted>
  <dcterms:created xsi:type="dcterms:W3CDTF">2017-06-02T08:50:00Z</dcterms:created>
  <dcterms:modified xsi:type="dcterms:W3CDTF">2017-06-07T07:40:00Z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