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00" w:rsidRDefault="0050403F" w:rsidP="0050403F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D6A2A31D1A94DD2A7636A18994282D2" style="width:450.8pt;height:420.1pt">
            <v:imagedata r:id="rId9" o:title=""/>
          </v:shape>
        </w:pict>
      </w:r>
    </w:p>
    <w:p w:rsidR="00012300" w:rsidRDefault="00012300">
      <w:pPr>
        <w:rPr>
          <w:noProof/>
        </w:rPr>
        <w:sectPr w:rsidR="00012300" w:rsidSect="005040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012300" w:rsidRDefault="0050403F">
      <w:pPr>
        <w:pStyle w:val="Exposdesmotifstitre"/>
        <w:rPr>
          <w:noProof/>
        </w:rPr>
      </w:pPr>
      <w:r>
        <w:rPr>
          <w:noProof/>
        </w:rPr>
        <w:lastRenderedPageBreak/>
        <w:t>DÔVODOVÁ SPRÁVA</w:t>
      </w:r>
    </w:p>
    <w:p w:rsidR="00012300" w:rsidRDefault="0050403F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SÚVISLOSTI NÁVRHU</w:t>
      </w:r>
    </w:p>
    <w:p w:rsidR="00012300" w:rsidRDefault="0050403F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Dôvody a ciele návrhu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 odvetví cestnej dopravy prispievajú </w:t>
      </w:r>
      <w:r>
        <w:rPr>
          <w:noProof/>
        </w:rPr>
        <w:t>pravidlá Únie v sociálnej oblasti k dosiahnutiu politických cieľov zlepšiť pracovné podmienky vodičov, zabezpečiť spravodlivú hospodársku súťaž medzi spoločnosťami cestnej dopravy a zvýšiť bezpečnosť cestnej premávky pre všetkých účastníkov cestnej premávk</w:t>
      </w:r>
      <w:r>
        <w:rPr>
          <w:noProof/>
        </w:rPr>
        <w:t>y. Prispôsobenie týchto pravidiel potrebám odvetvia a uľahčenie ich jednotného a efektívneho uplatňovania a dodržiavania je kľúčovou súčasťou stratégie Komisie zameranej na ďalšiu integráciu trhu cestnej dopravy v EÚ a zabezpečenie, aby odvetvie bolo priaz</w:t>
      </w:r>
      <w:r>
        <w:rPr>
          <w:noProof/>
        </w:rPr>
        <w:t>nivé, efektívne a sociálne zodpovedné, ako je to uvedené v bielej knihe o doprave z 28. marca 2011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Kľúčové pravidlá v sociálnej oblasti, ktoré sa vzťahujú na cestnú dopravu, zahŕňajú ustanovenia o organizácii pracovného času vodičov uvedené v smernici 20</w:t>
      </w:r>
      <w:r>
        <w:rPr>
          <w:noProof/>
        </w:rPr>
        <w:t>02/15/ES</w:t>
      </w:r>
      <w:r>
        <w:rPr>
          <w:rStyle w:val="FootnoteReference"/>
          <w:noProof/>
        </w:rPr>
        <w:footnoteReference w:id="2"/>
      </w:r>
      <w:r>
        <w:rPr>
          <w:noProof/>
        </w:rPr>
        <w:t>, minimálne požiadavky na dodržiavanie predpisov uvedené v smernici 2006/22/ES, pravidlá o časoch jazdy, prestávkach a časoch odpočinku podľa nariadenia (ES) č. 561/2006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 ustanovenia o vysielaní pracovníkov uvedené v smernici 96/71/ES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 smernic</w:t>
      </w:r>
      <w:r>
        <w:rPr>
          <w:noProof/>
        </w:rPr>
        <w:t>i 2014/67/EÚ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o presadzovaní práva. Tieto právne akty sú súčasťou širšieho úsilia zameraného na zlepšenie pracovných podmienok vodičov, zabezpečenie spravodlivej hospodárskej súťaže medzi prevádzkovateľmi a zvýšenie bezpečnosti na európskych cestách, ako a</w:t>
      </w:r>
      <w:r>
        <w:rPr>
          <w:noProof/>
        </w:rPr>
        <w:t>j zaistenie rovnováhy medzi sociálnou ochranou vodičov a slobodou prevádzkovateľov poskytovať cezhraničné služby.</w:t>
      </w:r>
    </w:p>
    <w:p w:rsidR="00012300" w:rsidRDefault="0050403F">
      <w:pPr>
        <w:snapToGrid w:val="0"/>
        <w:spacing w:before="0"/>
        <w:rPr>
          <w:noProof/>
        </w:rPr>
      </w:pPr>
      <w:r>
        <w:rPr>
          <w:noProof/>
        </w:rPr>
        <w:t>V hodnotení ex post sociálnych právnych predpisov v cestnej doprave a ich dodržiavania, ktoré sa uskutočnilo v rokoch 2015 – 2017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ako súčasť </w:t>
      </w:r>
      <w:r>
        <w:rPr>
          <w:noProof/>
        </w:rPr>
        <w:t>Programu regulačnej vhodnosti a efektívnosti (REFIT), sa dospelo k záveru, že zavedené pravidlá efektívne a účinne neriešia riziká zhoršenia pracovných podmienok a narušenia hospodárskej súťaže. Dôvodom sú nedostatky v právnom rámci. Niektoré pravidlá sú n</w:t>
      </w:r>
      <w:r>
        <w:rPr>
          <w:noProof/>
        </w:rPr>
        <w:t>ejasné, nevhodné, alebo sa ťažko vykonávajú či dodržiavajú, čo vedie k rozdielom vo vykonávaní spoločných pravidiel medzi členskými štátmi a vytvára riziko fragmentácie vnútorného trhu.</w:t>
      </w:r>
    </w:p>
    <w:p w:rsidR="00012300" w:rsidRDefault="0050403F">
      <w:pPr>
        <w:snapToGrid w:val="0"/>
        <w:rPr>
          <w:i/>
          <w:noProof/>
        </w:rPr>
      </w:pPr>
      <w:r>
        <w:rPr>
          <w:noProof/>
        </w:rPr>
        <w:t>Analýza problémov na mieste predovšetkým ukazuje, že rozdiely vo výkla</w:t>
      </w:r>
      <w:r>
        <w:rPr>
          <w:noProof/>
        </w:rPr>
        <w:t>de a uplatňovaní smerníc 96/71/ES a 2014/67/EÚ v odvetví cestnej dopravy sa musia naliehavo riešiť. V posúdení vplyvu, ktoré tvorí sprievodný dokument k tomuto legislatívnemu návrhu, sa dospelo k záveru, že ustanovenia o vysielaní pracovníkov a administrat</w:t>
      </w:r>
      <w:r>
        <w:rPr>
          <w:noProof/>
        </w:rPr>
        <w:t>ívne požiadavky nie sú vhodné pre vysoko mobilnú povahu práce vodičov v medzinárodnej cestnej doprave. Spôsobuje sa tým neúmerná regulačná záťaž pre prevádzkovateľov a vytvárajú sa neodôvodnené prekážky pre poskytovanie cezhraničných služieb. Právne a prak</w:t>
      </w:r>
      <w:r>
        <w:rPr>
          <w:noProof/>
        </w:rPr>
        <w:t>tické ťažkosti pri uplatňovaní pravidiel o vysielaní pracovníkov v odvetví cestnej dopravy boli zdôraznené v odôvodnení č. 10 návrhu Komisie z 8. marca 2016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na zmenu smernice 96/71/ES: </w:t>
      </w:r>
      <w:r>
        <w:rPr>
          <w:i/>
          <w:noProof/>
        </w:rPr>
        <w:t>Keďže práca v medzinárodnej cestnej doprave má vysoko mobilný charakte</w:t>
      </w:r>
      <w:r>
        <w:rPr>
          <w:i/>
          <w:noProof/>
        </w:rPr>
        <w:t xml:space="preserve">r, vykonávanie smernice </w:t>
      </w:r>
      <w:r>
        <w:rPr>
          <w:i/>
          <w:noProof/>
        </w:rPr>
        <w:lastRenderedPageBreak/>
        <w:t xml:space="preserve">o vysielaní pracovníkov vyvoláva určité právne otázky a ťažkosti (najmä v prípade nedostatočného spojenia s príslušným členským štátom). Najvhodnejšie by bolo, keby sa tieto výzvy riešili pomocou právnych predpisov špecifických pre </w:t>
      </w:r>
      <w:r>
        <w:rPr>
          <w:i/>
          <w:noProof/>
        </w:rPr>
        <w:t>dané odvetvie spolu s ostatnými iniciatívami EÚ zameranými na zlepšenie fungovania vnútorného trhu cestnej dopravy.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 tomto návrhu sa stanovuje holistická koncepcia riešenia rizík nevhodných pracovných podmienok pre vodičov vrátanie podmienok zamestnanosti</w:t>
      </w:r>
      <w:r>
        <w:rPr>
          <w:noProof/>
        </w:rPr>
        <w:t xml:space="preserve"> a súčasne sa ním zmierňuje nadmerná regulačná záťaž na prevádzkovateľov a zabraňuje narušeniam hospodárskej súťaže. Hlavným cieľom je zabezpečiť rovnováhu medzi vhodnými pracovnými podmienkami pre vodičov a slobodou prevádzkovateľov poskytovať cezhraničné</w:t>
      </w:r>
      <w:r>
        <w:rPr>
          <w:noProof/>
        </w:rPr>
        <w:t xml:space="preserve"> služby. 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Súlad s existujúcimi ustanoveniami politiky v oblasti politiky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je súčasťou širšieho prebiehajúceho preskúmania právnych predpisov Únie o cestnej doprave. Je úzko spojený s iniciatívou na zlepšenie jasnosti a primeranosti pravidiel o časoch jazdy, prestávkach a časoch odpočinku stanovených v smernici (ES) č</w:t>
      </w:r>
      <w:r>
        <w:rPr>
          <w:noProof/>
        </w:rPr>
        <w:t>. 561/2006 a pravidiel o používaní tachografu stanovených v nariadení (EÚ) č. 165/2014. Súvisí takisto s prebiehajúcim preskúmaním trhových pravidiel o prístupe k povolaniu prevádzkovateľa cestnej dopravy [nariadenie (ES) č. 1071/2009], prístupe na medziná</w:t>
      </w:r>
      <w:r>
        <w:rPr>
          <w:noProof/>
        </w:rPr>
        <w:t xml:space="preserve">rodný trh s cestnou nákladnou dopravou [nariadenie (ES) č. 1072/2009] a prístupe na medzinárodný trh osobnej dopravy [nariadenie (ES) č. 1073/2009]. Sociálne a trhové pravidlá tvoria komplexný a ucelený právny rámec a ich dôsledné a účinné dodržiavanie je </w:t>
      </w:r>
      <w:r>
        <w:rPr>
          <w:noProof/>
        </w:rPr>
        <w:t xml:space="preserve">kľúčom k vytváraniu spravodlivého, bezpečného a environmentálne a sociálne udržateľného odvetvia cestnej dopravy. Žiadna z uvedených iniciatív nemôže byť samotná účinným riešením existujúcich problémov v sociálnej oblasti a na trhu. </w:t>
      </w:r>
    </w:p>
    <w:p w:rsidR="00012300" w:rsidRDefault="0050403F"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Súlad s inými politi</w:t>
      </w:r>
      <w:r>
        <w:rPr>
          <w:noProof/>
        </w:rPr>
        <w:t>kami Únie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prispieva k dvom prioritám tejto Komisie, a to vytvoreniu „prehĺbenejšieho a spravodlivejšieho vnútorného trhu“ a podpore „zvyšovania pracovných miest a investícií“. Je v súlade s opatreniami zameranými na boj so sociálnou nespravodlivosťou</w:t>
      </w:r>
      <w:r>
        <w:rPr>
          <w:noProof/>
        </w:rPr>
        <w:t xml:space="preserve"> a nespravodlivou hospodárskou súťažou a na vytvorenie sociálneho rámca pre nové príležitosti zamestnanosti a spravodlivých obchodných podmienok.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Jedným z cieľov návrhu je zaistenie primeraných pracovných podmienok a vhodnej sociálnej ochrany. Zodpovedá preto cieľom sociálneho programu Komisie a iniciatíve na vytvorenie piliera sociálnych práv EÚ. Je rovnako v súlade s Chartou základných práv Európs</w:t>
      </w:r>
      <w:r>
        <w:rPr>
          <w:noProof/>
        </w:rPr>
        <w:t xml:space="preserve">kej únie, pričom v jej článku 31 sa stanovuje právo na spravodlivé a primerané pracovné podmienky.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prispieva k programu REFIT, pretože zahŕňa zníženie regulačnej záťaže, zjednodušenie niektorých pravidiel a ich prispôsobenie konkrétnym potrebám odve</w:t>
      </w:r>
      <w:r>
        <w:rPr>
          <w:noProof/>
        </w:rPr>
        <w:t>tvia. Zvyšuje účinnosť dodržiavania pravidiel vďaka lepšiemu využívaniu existujúcich kontrolných nástrojov a systémov.</w:t>
      </w:r>
    </w:p>
    <w:p w:rsidR="00012300" w:rsidRDefault="0050403F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Týmto návrhom sa mení smernica 2006/22/ES a stanovujú sa pravidlá špecif</w:t>
      </w:r>
      <w:r>
        <w:rPr>
          <w:noProof/>
        </w:rPr>
        <w:t>ické pre odvetvie o vysielaní pracovníkov s ohľadom na smernice 96/71/ES a 2014/67/EÚ.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Smernica 2006/22/ES je založená na súčasnom článku 91 ods. 1 Zmluvy o fungovaní EÚ (ZFEÚ) a malo by sa počítať aj so zmenou tohto ustanovenia.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Smernice 96/71/ES a 2014/6</w:t>
      </w:r>
      <w:r>
        <w:rPr>
          <w:noProof/>
        </w:rPr>
        <w:t>7/EÚ sú založené na (súčasnom) článku 53 ods. 1 ZFEÚ. Pretože sa však navrhnuté pravidlá týkajú výlučne situácií špecifických pre poskytovanie dopravných služieb, malo by sa vychádzať z článku 91 ods. 1 ZFEÚ.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.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</w:t>
      </w:r>
    </w:p>
    <w:p w:rsidR="00012300" w:rsidRDefault="0050403F">
      <w:pPr>
        <w:rPr>
          <w:noProof/>
        </w:rPr>
      </w:pPr>
      <w:r>
        <w:rPr>
          <w:noProof/>
        </w:rPr>
        <w:t>Podľa článku 4 ods. 2 písm. g</w:t>
      </w:r>
      <w:r>
        <w:rPr>
          <w:noProof/>
        </w:rPr>
        <w:t>) ZFEÚ Európska únia vykonáva v oblasti dopravy spoločne právomoc s členskými štátmi. Jestvujúce pravidlá však môže meniť len zákonodarca Únie.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Nedostatky v súčasných právnych predpisoch znamenajú, že členské štáty vykonávajú a presadzujú pravidlá EÚ v soc</w:t>
      </w:r>
      <w:r>
        <w:rPr>
          <w:noProof/>
        </w:rPr>
        <w:t>iálnej oblasti, vrátane pravidiel o vysielaní pracovníkov, rôznym spôsobom. Usmernenia o samoregulácii v členských štátoch by nepostačovali na zabezpečenie, aby sa sociálne pravidlá v cestnej doprave dôsledne uplatňovali a dodržiavali v celej Únii. Opatren</w:t>
      </w:r>
      <w:r>
        <w:rPr>
          <w:noProof/>
        </w:rPr>
        <w:t>ie na úrovni EÚ je preto odôvodnené.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nevychádza za rámec toho, čo je potrebné na riešenie zistených problémov v podobe neprimeraných pracovných podmienok pre vodičov a narušenia hospodárskej súťaže medzi prevádzkovateľmi.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Ako je uve</w:t>
      </w:r>
      <w:r>
        <w:rPr>
          <w:noProof/>
        </w:rPr>
        <w:t>dené v oddiele 7.2 posúdenia vplyvu, v návrhu sa podporuje politická možnosť považovaná za najvhodnejšiu a najprimeranejšiu, ktorá zaisťuje rovnováhu medzi zlepšením pracovných podmienok pre vodičov, znižovaním regulačnej záťaže pre prevádzkovateľov a účin</w:t>
      </w:r>
      <w:r>
        <w:rPr>
          <w:noProof/>
        </w:rPr>
        <w:t>ným dodržiavaním pravidiel v cezhraničnom kontexte.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je zameraný na zjednodušenie a vysvetlenie existujúcich pravidiel a prispôsobenie niektorých pravidiel tak, aby plnili potreby odvetvia. Zabraňuje sa ním zbytočnému administratívnemu zaťaženiu pre p</w:t>
      </w:r>
      <w:r>
        <w:rPr>
          <w:noProof/>
        </w:rPr>
        <w:t xml:space="preserve">revádzkovateľov a jeho cieľom je zabezpečiť, aby požiadavky na administratívnu spoluprácu a vzájomnú pomoc medzi členskými štátmi boli úmerné. V posúdení vplyvu sa dospelo k záveru, že predpokladané politické opatrenia nebudú mať neprimeraný dosah na malé </w:t>
      </w:r>
      <w:r>
        <w:rPr>
          <w:noProof/>
        </w:rPr>
        <w:t>a stredné podniky.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Keďže návrh obsahuje obmedzený počet zmien smernice 2006/22/ES a stanovujú sa v ňom pravidlá vysielania pracovníkov špecificky pre odvetvie cestnej dopravy s ohľadom na smernice 96/71/ES a 2014/67/EÚ, vybraný nástroj je </w:t>
      </w:r>
      <w:r>
        <w:rPr>
          <w:noProof/>
        </w:rPr>
        <w:t>takisto smernica.</w:t>
      </w:r>
    </w:p>
    <w:p w:rsidR="00012300" w:rsidRDefault="0050403F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VÝSLEDKY HODNOTENÍ EX POST, KONZULTÁCIÍ SO ZAINTERESOVANÝMI STRANAMI A POSÚDENÍ VPLYVU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Hodnotenia ex post/kontroly vhodnosti existujúcich právnych predpisov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Smernica 2006/22/ES o presadzovaní práva spolu s nariadením (ES) č. 561/2006</w:t>
      </w:r>
      <w:r>
        <w:rPr>
          <w:noProof/>
        </w:rPr>
        <w:t xml:space="preserve"> o časoch jazdy a smernicou 2002/15/ES o pracovnom čase boli predmetom komplexného hodnotenia ex post uskutočneného v rokoch 2015–2017</w:t>
      </w:r>
      <w:r>
        <w:rPr>
          <w:rStyle w:val="FootnoteReference"/>
          <w:noProof/>
        </w:rPr>
        <w:footnoteReference w:id="8"/>
      </w:r>
      <w:r>
        <w:rPr>
          <w:noProof/>
        </w:rPr>
        <w:t>. Toto hodnotenie bolo podporené externou štúdiou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lastRenderedPageBreak/>
        <w:t>Hlavné zistené problémy boli: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– rozdielny výklad a dodržiavanie ustan</w:t>
      </w:r>
      <w:r>
        <w:rPr>
          <w:noProof/>
        </w:rPr>
        <w:t>ovenia o dobách zaznamenávania, keď sa vodič nachádza mimo vozidla;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– porušovanie pravidiel o pracovnom čase, čo vedie k nadmerným pracovným hodinám vodičov a zvýšenej únave s nepriaznivými účinkami na bezpečnosť a ochranu zdravia vodičov a na bezpečnosť c</w:t>
      </w:r>
      <w:r>
        <w:rPr>
          <w:noProof/>
        </w:rPr>
        <w:t>estnej premávky;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– slabé dodržiavanie ustanovení o pracovnom čase a nedostatok jednotných údajov o sledovaní a kontrolách dodržiavania predpisov;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– slabá administratívna spolupráca a vzájomná pomoc medzi členskými štátmi, ktorá bráni dôkladnému vykonávaniu</w:t>
      </w:r>
      <w:r>
        <w:rPr>
          <w:noProof/>
        </w:rPr>
        <w:t xml:space="preserve"> pravidiel EÚ;.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– nedôsledné vnútroštátne systémy posudzovania hodnotenia rizikovosti dopravných podnikov, ktoré bránia výmene informácií a porovnaniu údajov na účel efektívnych kontrol;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– nedostatočné používanie údajov v systémoch hodnotenia rizikovosti,</w:t>
      </w:r>
      <w:r>
        <w:rPr>
          <w:noProof/>
        </w:rPr>
        <w:t xml:space="preserve"> ktoré brzdí účinné účelové zameranie kontrol;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– neriešené riziká zhoršujúcich sa pracovných podmienok spojených s nedostatočným platom a nedostatočnou sociálnou ochranou vodičov, ktorí pracujú dlhú dobu mimo krajiny svojho zamestnania.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Ustanovenia o vysi</w:t>
      </w:r>
      <w:r>
        <w:rPr>
          <w:noProof/>
        </w:rPr>
        <w:t>elaní pracovníkov neboli výslovne súčasťou tohto hodnotenia REFIT. Ťažkosti s uplatňovaním odlišných vnútroštátnych opatrení pre vysielanie pracovníkov v odvetví cestnej dopravy však ukázali, že všeobecné pravidlá vysielania pracovníkov nie sú vhodné pre v</w:t>
      </w:r>
      <w:r>
        <w:rPr>
          <w:noProof/>
        </w:rPr>
        <w:t xml:space="preserve">ysoko mobilné pracovné sily v cestnej doprave a že administratívne požiadavky sú neúmerne zaťažujúce, takže obmedzujú slobodu poskytovať cezhraničné služby. 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Konzultácie so zúčastnenými stranami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Uskutočnili sa rozsiahle konzultácie so zúčastnenými strana</w:t>
      </w:r>
      <w:r>
        <w:rPr>
          <w:noProof/>
        </w:rPr>
        <w:t>mi s cieľom vypracovať tento návrh, a to v súlade s minimálnymi normami pre konzultácie zainteresovaných strán uvedenými v oznámení Komisie z 11. decembra 2002 [KOM(2002) 704 v konečnom znení].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Všetky príslušné skupiny zúčastnených strán prispeli k procesu</w:t>
      </w:r>
      <w:r>
        <w:rPr>
          <w:noProof/>
        </w:rPr>
        <w:t xml:space="preserve"> konzultácií: vnútroštátne orgány, orgány presadzovania práva, združenia zastupujúce cestnú dopravu (nákladnú a osobnú), prevádzkovatelia, špeditéri, prepravcovia, malé a stredné podniky, odborové zväzy, vodiči a iní pracovníci cestnej dopravy. V priebehu </w:t>
      </w:r>
      <w:r>
        <w:rPr>
          <w:noProof/>
        </w:rPr>
        <w:t>celého procesu sa uskutočnili rozsiahle konzultácie najmä s európskymi sociálnymi partnermi. Použili sa rozličné metódy a nástroje otvorených a účelovo zameraných konzultácií: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>konferencia na vysokej úrovni 4. júna 2015 o „Sociálnej agende pre dopravu“ za</w:t>
      </w:r>
      <w:r>
        <w:rPr>
          <w:noProof/>
        </w:rPr>
        <w:t xml:space="preserve">čala širokú diskusiu o sociálnych aspektoch v cestnej doprave; zišlo sa na nej okolo 350 účastníkov: subjekty zodpovedné za rozhodovanie, odborníci na dopravu a sociálni partneri;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>semináre na konci roka 2015, na ktorých sa zúčastnili zainteresované stra</w:t>
      </w:r>
      <w:r>
        <w:rPr>
          <w:noProof/>
        </w:rPr>
        <w:t>ny z predmetného odvetvia, zástupcovia členských štátov a sociálni partneri na úrovni EÚ. Diskusie sa zamerali na to, ako právne predpisy v sociálnej oblasti a v oblasti vnútorného trhu fungujú v cestnej doprave;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–</w:t>
      </w:r>
      <w:r>
        <w:rPr>
          <w:noProof/>
        </w:rPr>
        <w:tab/>
        <w:t xml:space="preserve">konferencia o cestnej doprave 19. apríla </w:t>
      </w:r>
      <w:r>
        <w:rPr>
          <w:noProof/>
        </w:rPr>
        <w:t>2016 so seminárom venovaným vnútornému trhu a sociálnym aspektom cestnej dopravy. Zapojilo sa doň 400 účastníkov, najmä zástupcovia členských štátov, členovia Európskeho parlamentu a kľúčové zúčastnené strany, ktorí diskutovali o cieľoch a rozsahu plánovan</w:t>
      </w:r>
      <w:r>
        <w:rPr>
          <w:noProof/>
        </w:rPr>
        <w:t>ých iniciatív v oblasti cestnej dopravy;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>začalo sa päť prieskumov prispôsobených danému účelu, s cieľom zhromaždiť názory národných ministerstiev dopravy (sústredili sa na vykonávanie a výklad pravidiel), orgánov presadzovania práva (zamerali sa na postu</w:t>
      </w:r>
      <w:r>
        <w:rPr>
          <w:noProof/>
        </w:rPr>
        <w:t>py presadzovania práva, náklady a prínosy presadzovania), podnikov (ich ťažiskom bol vplyv právnych predpisov na prevádzkovateľov na trhu), odborových zväzov (so zameraním na vplyv právnych predpisov na vodičov) a ostatných zúčastnených strán, ako sú priem</w:t>
      </w:r>
      <w:r>
        <w:rPr>
          <w:noProof/>
        </w:rPr>
        <w:t>yselné zväzy (sústredili sa na celkové názory týkajúce sa účinkov právnych predpisov). Súhrnný počet získaných odpovedí bo 1 441 (z toho 1 269 bolo od firiem cestnej dopravy);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uskutočnili sa rozhovory s 90 zúčastnenými stranami (z toho bolo 37 vodičov), </w:t>
      </w:r>
      <w:r>
        <w:rPr>
          <w:noProof/>
        </w:rPr>
        <w:t>aby sa získali predstavy o skúsenostiach zúčastnených strán v tom, ako fungovalo dodržiavanie pravidiel a či bolo efektívne, a o problémoch s dodržiavaním predpisov;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>verejná konzultácia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od 5. septembra do 11. decembra 2016 s cieľom definovať problém a určiť možné riešenia. Z 1 378 získaných odpovedí bolo 1 209 od vodičov, prevádzkovateľov, špeditérov a prepravcov a 169 od vnútroštátnych orgánov, orgánov presadzovania práva, zamestnávateľ</w:t>
      </w:r>
      <w:r>
        <w:rPr>
          <w:noProof/>
        </w:rPr>
        <w:t>ských organizácií a priemyselných združení.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>Panelový prieskum malých a stredných podnikov od 4. novembra 2016 do 4. januára 2017. Získalo sa 109 odpovedí, v ktorých boli poskytnuté názory na ciele revízie právneho rámca a prípadné riešenia.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– </w:t>
      </w:r>
      <w:r>
        <w:rPr>
          <w:noProof/>
        </w:rPr>
        <w:tab/>
      </w:r>
      <w:r>
        <w:rPr>
          <w:caps/>
          <w:noProof/>
        </w:rPr>
        <w:t>Prieskum</w:t>
      </w:r>
      <w:r>
        <w:rPr>
          <w:noProof/>
        </w:rPr>
        <w:t xml:space="preserve"> v</w:t>
      </w:r>
      <w:r>
        <w:rPr>
          <w:noProof/>
        </w:rPr>
        <w:t>odičov online (v 345 odpovediach boli poskytnuté názory na možné opatrenia, aj keď z toho bolo 140 odpovedí z Holandska a 127 odpovedí zo Spojeného kráľovstva); prieskum vnútroštátnych orgánov a orgánov presadzovania práva (bolo získaných 41 odpovedí od 27</w:t>
      </w:r>
      <w:r>
        <w:rPr>
          <w:noProof/>
        </w:rPr>
        <w:t xml:space="preserve"> členských štátov EÚ a Nórska a Švajčiarska) a prieskum prevádzkovateľov (73 odpovedí, ktoré však zase neboli plne reprezentatívne, lebo 58 odpovedí bolo z Maďarska);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</w:t>
      </w:r>
      <w:r>
        <w:rPr>
          <w:noProof/>
        </w:rPr>
        <w:tab/>
        <w:t>rozhovory so siedmimi dopravnými spoločnosťami, deviatimi národnými priemyselnými združ</w:t>
      </w:r>
      <w:r>
        <w:rPr>
          <w:noProof/>
        </w:rPr>
        <w:t xml:space="preserve">eniami, deviatimi vnútroštátnymi orgánmi, štyrmi národnými zamestnaneckými zväzmi a šiestimi európskymi sociálnymi partnermi.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Európski sociálni partneri boli taktiež pravidelne informovaní a uskutočnili sa s nimi konzultácie na niekoľkých dvojstranných </w:t>
      </w:r>
      <w:r>
        <w:rPr>
          <w:noProof/>
        </w:rPr>
        <w:t>zasadnutiach s Komisiou a na pravidelných zasadnutiach Výboru pre sociálny dialóg v odvetví cestnej dopravy a pracovnej skupiny sociálnych partnerov.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 konzultáciách sa potvrdilo, že hlavnými problémami sú: 1. nevyhovujúce pracovné podmienky pre vodičov;</w:t>
      </w:r>
      <w:r>
        <w:rPr>
          <w:noProof/>
        </w:rPr>
        <w:t xml:space="preserve"> 2. narušenie hospodárskej súťaže medzi prevádzkovateľmi dopravy; a 3. regulačná záťaž pre prevádzkovateľov a členské štáty. Hlavné zistené právne problémy, ktoré sú príčinou týchto výziev: nejasné alebo nevhodné pravidlá v sociálnej oblasti, rozdielne upl</w:t>
      </w:r>
      <w:r>
        <w:rPr>
          <w:noProof/>
        </w:rPr>
        <w:t>atňovanie pravidiel, nejednotné a neúčinné dodržiavanie pravidiel a slabá administratívna spolupráca medzi členskými štátmi.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Čo sa týka návrhu politických opatrení, všetky zúčastnené strany rozhodne podporili posilnenie dodržiavania pravidiel a spolupráce </w:t>
      </w:r>
      <w:r>
        <w:rPr>
          <w:noProof/>
        </w:rPr>
        <w:t>medzi orgánmi presadzovania práva, aj keď niektoré vnútroštátne orgány presadzovania práva vyjadrili obavy týkajúce sa prípadných dodatočných nákladov na dodržiavanie pravidiel. Vnútroštátne orgány a organizácie presadzovania práva na úrovni EÚ vyjadrili r</w:t>
      </w:r>
      <w:r>
        <w:rPr>
          <w:noProof/>
        </w:rPr>
        <w:t xml:space="preserve">ozsiahlu podporu (vyše 70 % vyjadrení) najmä opatreniam na harmonizáciu vnútroštátnych systémov hodnotenia rizikovosti a na poskytnutie prístupu k údajom v systémoch hodnotenia rizikovosti v reálnom čase.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Zúčastnené strany neboli jednotné v názoroch na ná</w:t>
      </w:r>
      <w:r>
        <w:rPr>
          <w:noProof/>
        </w:rPr>
        <w:t>vrh opatrení týkajúcich sa podmienok vysielania pracovníkov v cestnej doprave, členské štáty a prevádzkovatelia EÚ-13 podporili opatrenie s výhradou (časový limit by nemal byť príliš nízky), zatiaľ čo odbory považovali opatrenie za škodlivé pre vodičov. Čl</w:t>
      </w:r>
      <w:r>
        <w:rPr>
          <w:noProof/>
        </w:rPr>
        <w:t>enské štáty a prevádzkovatelia EÚ-15 mali zmiešané názory. Väčšina zainteresovaných skupín s výnimkou odborových zväzov sa priklonila k opatreniu na zníženie administratívnej záťaže v uplatňovaní pravidiel vysielania pracovníkov v cestnej doprave.</w:t>
      </w:r>
    </w:p>
    <w:p w:rsidR="00012300" w:rsidRDefault="0050403F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Získav</w:t>
      </w:r>
      <w:r>
        <w:rPr>
          <w:b/>
          <w:noProof/>
          <w:u w:color="000000"/>
          <w:bdr w:val="nil"/>
        </w:rPr>
        <w:t>anie a využívanie odborných poznatkov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Externí dodávatelia pomáhali Komisii pri spracovaní podpornej štúdie na účely hodnotenia ex post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a osobitnej podpornej štúdie na účely posúdenia vplyvu, ktorá bola dokončená v máji 2017.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Posúdenie vplyvu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Posúdenie v</w:t>
      </w:r>
      <w:r>
        <w:rPr>
          <w:noProof/>
        </w:rPr>
        <w:t>plyvu podporuje iniciatívu, ku ktorej bolo prijaté kladné stanovisko s odporúčaniami výboru pre kontrolu regulácie. Všetky hlavné pripomienky výboru boli predmetom revidovanej verzie posúdenia vplyvu (prehľad sa uvádza v prílohe 1).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Uvažovalo sa o štyroch </w:t>
      </w:r>
      <w:r>
        <w:rPr>
          <w:noProof/>
        </w:rPr>
        <w:t xml:space="preserve">možnostiach politiky. Prvé tri sú kumulatívne z hľadiska zvýšenia úrovne regulačného zásahu a očakávaných vplyvov, zatiaľ čo štvrtá bola horizontálna a jej opatrenia by sa mohli kombinovať s akoukoľvek z troch prvých možností.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Prvá politická možnosť sa za</w:t>
      </w:r>
      <w:r>
        <w:rPr>
          <w:noProof/>
        </w:rPr>
        <w:t>merala na vysvetlenie právneho rámca a zintenzívnenie spolupráce medzi orgánmi presadzovania práva. Druhá sa sústredila na posilnenie dodržiavania pravidiel a zlepšenie rozvrhnutia práce pre pracovníkov. V tretej boli navrhnuté podstatné zmeny pravidiel, n</w:t>
      </w:r>
      <w:r>
        <w:rPr>
          <w:noProof/>
        </w:rPr>
        <w:t>ajmä zákaz platu založeného na výkonnosti. Štvrtá obsahovala kritéria špecifické pre odvetvie a konkrétne opatrenia na dodržiavanie pravidiel v oblasti vysielania pracovníkov v odvetví cestnej dopravy. Zahŕňala varianty na základe časových limitov: variant</w:t>
      </w:r>
      <w:r>
        <w:rPr>
          <w:noProof/>
        </w:rPr>
        <w:t xml:space="preserve"> a) – 3 dní, b) – 5 dní, c) – 7 dní a d) – 9 dní spolu za kalendárny mesiac strávený na území hostiteľského členského štátu; v prípade ich prekročenia sa voči zahraničnému prevádzkovateľovi uplatňujú pravidlá hostiteľského členského štátu o minimálnej mzde</w:t>
      </w:r>
      <w:r>
        <w:rPr>
          <w:noProof/>
        </w:rPr>
        <w:t xml:space="preserve"> a ročnej platenej dovolenke.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Politická možnosť 1 sa javila ako najmenej efektívna pri riešení právnej neistoty a nerovnosti medzi vodičmi a prevádzkovateľmi, hlavne z dôvodu dobrovoľnej povahy opatrení. Dôsledkom by boli aj väčšie obavy v súvislosti s poč</w:t>
      </w:r>
      <w:r>
        <w:rPr>
          <w:noProof/>
        </w:rPr>
        <w:t>tom vnútroštátnych opatrení, ktorými sa vodiči a prevádzkovatelia musia zaoberať.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Zdá sa, že politická možnosť 3 má určité záporné vedľajšie účinky z hľadiska pracovných podmienok pre vodičov v osobnej doprave, pretože opatrenie o zameškanom týždennom odpo</w:t>
      </w:r>
      <w:r>
        <w:rPr>
          <w:noProof/>
        </w:rPr>
        <w:t xml:space="preserve">činku by viedlo k zvýšeniu ukazovateľa únavy o 20–33 % a k zvýšeniu rizík pre bezpečnosť cestnej premávky o 4–5 %. Táto zvýšená únava a riziko by boli spojené so znížením nákladov prevádzkovateľov na dodržiavanie predpisov o 3–5 %.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Z politickej možnosti 2</w:t>
      </w:r>
      <w:r>
        <w:rPr>
          <w:noProof/>
        </w:rPr>
        <w:t xml:space="preserve"> vyplýva najviac pozitívnych vplyvov z hľadiska zlepšenia pracovných podmienok pre vodičov (zníženie ukazovateľa únavy o 28 % a v obdobiach mimo domova o 43 % v prípade vodičov EÚ-13 a o 16 % v prípade vodičov EÚ-15). Zároveň pomáha zmierniť narušenie hosp</w:t>
      </w:r>
      <w:r>
        <w:rPr>
          <w:noProof/>
        </w:rPr>
        <w:t xml:space="preserve">odárskej súťaže a zlepšiť bezpečnosť cestnej premávky vďaka opatreniam na zabezpečenie jednoliatejšieho a efektívnejšieho presadzovania práva, ako aj do určitej miery znížiť administratívnu záťaž pre vnútroštátne orgány a podniky cestnej dopravy. </w:t>
      </w:r>
    </w:p>
    <w:p w:rsidR="00012300" w:rsidRDefault="0050403F">
      <w:pPr>
        <w:rPr>
          <w:noProof/>
        </w:rPr>
      </w:pPr>
      <w:r>
        <w:rPr>
          <w:noProof/>
        </w:rPr>
        <w:t>Pokiaľ i</w:t>
      </w:r>
      <w:r>
        <w:rPr>
          <w:noProof/>
        </w:rPr>
        <w:t>de o horizontálnu možnosť (PP4) vysielania pracovníkov, náklady na dodržanie predpisov sú pre prevádzkovateľov najnižšie v prípade vyššej prahovej hodnoty, a to z dôvodu zníženého počtu jázd v rozsahu pravidiel týkajúcich sa minimálnej mzdy. Na druhej stra</w:t>
      </w:r>
      <w:r>
        <w:rPr>
          <w:noProof/>
        </w:rPr>
        <w:t>ne nižšia prahová hodnota by zahrnula širšiu skupinu vodičov poskytujúcich cezhraničné služby cestnej dopravy, dôsledkom čoho by bol vyššie celkové pozitívne účinky z hľadiska zlepšenia sociálnych a pracovných podmienok vodičov a zvýšenia príťažlivosti pra</w:t>
      </w:r>
      <w:r>
        <w:rPr>
          <w:noProof/>
        </w:rPr>
        <w:t>covných miest.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Odhadované výrazné úspory pre prevádzkovateľov vyplývajú predovšetkým z možnosti 4, a najmä opatrení týkajúcich sa administratívnych a kontrolných požiadaviek. Hodnota týchto úspor sa pohybuje na úrovni 785 miliónov EUR administratívnych nák</w:t>
      </w:r>
      <w:r>
        <w:rPr>
          <w:noProof/>
        </w:rPr>
        <w:t>ladov ročne. Úspory z opatrení možnosti 2 nebolo možné vyčísliť. Očakáva sa však, že ich výsledkom bude zníženie miery porušovania predpisov, čiže nákladov v súvislosti s nedodržiavaním predpisov. Okrem toho umožnia, aby dopravné operácie boli efektívnejši</w:t>
      </w:r>
      <w:r>
        <w:rPr>
          <w:noProof/>
        </w:rPr>
        <w:t xml:space="preserve">e, a poskytnú stimul pre častejšie návraty vodiča. domov. Pre vnútroštátne orgány to však bude znamenať o čosi vyššie náklady na presadzovanie práva (od 1,3 % do 8 %), najmä čo sa týka kontrol dodržiavania pravidiel o pracovnom čase. 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Vhodnosť právnych p</w:t>
      </w:r>
      <w:r>
        <w:rPr>
          <w:noProof/>
        </w:rPr>
        <w:t>redpisov a ich zjednodušenie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sleduje cieľ REFIT týkajúci sa zvýšenia účinnosti právnych predpisov a zníženia regulačnej záťaže pre podniky. Dosahuje sa to hlavne zjednodušením pravidiel a ich prispôsobením špecifickým potrebám odvetvia a účinnejším v</w:t>
      </w:r>
      <w:r>
        <w:rPr>
          <w:noProof/>
        </w:rPr>
        <w:t>yužívaním jednotnejších nástrojov a databáz na dodržiavanie pravidiel. Aj keď sa očakáva, že vnútroštátnym orgánom sa nepatrne zvýšia náklady na dodržiavanie pravidiel, toto zvýšenie je odôvodnené zlepšením pracovných podmienok vodičov a obchodných podmien</w:t>
      </w:r>
      <w:r>
        <w:rPr>
          <w:noProof/>
        </w:rPr>
        <w:t>ok pre prevádzkovateľov, čo umožní úspory nákladov na nedodržiavanie predpisov. Návrhom sa ďalej zvýši účinnosť dodržiavania pravidiel, napríklad vďaka intenzívnejšiemu využívaniu systémov hodnotenia rizikovosti v kontrolách cieľovo zameraných na prevádzko</w:t>
      </w:r>
      <w:r>
        <w:rPr>
          <w:noProof/>
        </w:rPr>
        <w:t xml:space="preserve">vateľov, ktorí nedodržiavajú predpisy. Návrh nevylučuje mikropodniky, pretože by to viedlo k riziku nerovnakých konkurenčných podmienok a nerovnakých pracovných podmienok. 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Základné práva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prispieva k cieľom Charty základných práv, a najmä článku 31,</w:t>
      </w:r>
      <w:r>
        <w:rPr>
          <w:noProof/>
        </w:rPr>
        <w:t xml:space="preserve"> v ktorom sa stanovuje právo na spravodlivé a primerané pracovné podmienky.</w:t>
      </w:r>
    </w:p>
    <w:p w:rsidR="00012300" w:rsidRDefault="0050403F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nemá žiadny vplyv na rozpočet Únie.</w:t>
      </w:r>
    </w:p>
    <w:p w:rsidR="00012300" w:rsidRDefault="0050403F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INÉ PRVKY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vykonávania a spôsob monitorovania, hodnotenia a podávania správ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Vývoj predovšetkým počtu, druhov a frekvencie výskytu porušenia pravidiel v sociálnej oblasti sa bude sledovať na základe kombinácie správ o vnútroštátnom vykonávaní predpisov a analýzy údajov od organizácií EÚ pre presadzovania práva. Otázky vykonávania p</w:t>
      </w:r>
      <w:r>
        <w:rPr>
          <w:noProof/>
        </w:rPr>
        <w:t>redpisov a dodržiavania pravidiel bude pravidelne sledovať a hodnotiť výbor pre cestnú dopravu. Informácie o vysielaní pracovníkov sa budú zhromažďovať z vnútroštátnych databáz na základe formulára A1 – vyhlásenie, že na vysielaného pracovníka sa aj naďale</w:t>
      </w:r>
      <w:r>
        <w:rPr>
          <w:noProof/>
        </w:rPr>
        <w:t xml:space="preserve">j vzťahuje systém sociálneho zabezpečenia domovskej krajiny.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Iný vývoj na trhu a jeho možný vplyv na pracovné podmienky a podmienky hospodárskej súťaže sa bude posudzovať pomocou príslušných údajov zbieraných ako súčasť ostatných iniciatív, najmä revízie </w:t>
      </w:r>
      <w:r>
        <w:rPr>
          <w:noProof/>
        </w:rPr>
        <w:t>nariadenia o prístupe na medzinárodný trh s cestnou nákladnou dopravou.</w:t>
      </w: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Vysvetľujúce dokumenty 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Týmto návrhom sa v obmedzenom rozsahu upravujú dve existujúce smernice a stanovujú sa konkrétne pravidlá vo vzťahu k dvom ostatným jestvujúcim smerniciam. Vysvetľujúce dokumenty o transpozícii sa nepovažujú za potrebné. </w:t>
      </w:r>
    </w:p>
    <w:p w:rsidR="00012300" w:rsidRDefault="0050403F">
      <w:pPr>
        <w:pStyle w:val="ManualHeading2"/>
        <w:rPr>
          <w:rFonts w:eastAsia="Arial Unicode MS"/>
          <w:noProof/>
          <w:highlight w:val="yellow"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Prípadná zmena smernice 2002/15/E</w:t>
      </w:r>
      <w:r>
        <w:rPr>
          <w:noProof/>
        </w:rPr>
        <w:t>S</w:t>
      </w:r>
    </w:p>
    <w:p w:rsidR="00012300" w:rsidRDefault="0050403F">
      <w:pPr>
        <w:rPr>
          <w:noProof/>
        </w:rPr>
      </w:pPr>
      <w:r>
        <w:rPr>
          <w:noProof/>
        </w:rPr>
        <w:t>V súlade s článkom 154 ZFEÚ, ktorý vyjadruje, že je potrebné uskutočňovať porady s organizáciami sociálnych partnerov na európskej úrovni o otázkach týkajúcich sa zamestnanosti a sociálnych vecí uvedených v článku 153 Zmluvy, Komisia začne konzultačný pr</w:t>
      </w:r>
      <w:r>
        <w:rPr>
          <w:noProof/>
        </w:rPr>
        <w:t>oces s cieľom zistiť názory sociálnych partnerov na prípadné zameranie opatrenia Únie, pokiaľ ide o smernicu 2002/15/ES, ktorá je súčasťou právneho rámca sociálnych pravidiel v cestnej doprave.</w:t>
      </w:r>
    </w:p>
    <w:p w:rsidR="00012300" w:rsidRDefault="00012300">
      <w:pPr>
        <w:pStyle w:val="Text1"/>
        <w:ind w:left="0"/>
        <w:rPr>
          <w:noProof/>
        </w:rPr>
      </w:pPr>
    </w:p>
    <w:p w:rsidR="00012300" w:rsidRDefault="0050403F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Podrobné vysvetlenie konkrétnych ustanovení návrhu</w:t>
      </w:r>
    </w:p>
    <w:p w:rsidR="00012300" w:rsidRDefault="0050403F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Hlavné p</w:t>
      </w:r>
      <w:r>
        <w:rPr>
          <w:noProof/>
        </w:rPr>
        <w:t>rvky tohto návrhu sú:</w:t>
      </w:r>
    </w:p>
    <w:p w:rsidR="00012300" w:rsidRDefault="0050403F">
      <w:pPr>
        <w:spacing w:before="0"/>
        <w:rPr>
          <w:b/>
          <w:noProof/>
          <w:u w:val="single"/>
        </w:rPr>
      </w:pPr>
      <w:r>
        <w:rPr>
          <w:b/>
          <w:noProof/>
          <w:u w:val="single"/>
        </w:rPr>
        <w:t>Smernica 2006/22/ES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 xml:space="preserve">Článkom 1 sa mení smernica 2006/22/ES takto: 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1 – Predmet úpravy</w:t>
      </w:r>
    </w:p>
    <w:p w:rsidR="00012300" w:rsidRDefault="0050403F">
      <w:pPr>
        <w:spacing w:before="0"/>
        <w:rPr>
          <w:i/>
          <w:noProof/>
        </w:rPr>
      </w:pPr>
      <w:r>
        <w:rPr>
          <w:noProof/>
        </w:rPr>
        <w:t>Článok 1 sa mení, aby sa objasnilo, že požiadavky na presadzovanie práva stanovené v tejto smernici sa vzťahujú aj na kontrolu dodržiavania sm</w:t>
      </w:r>
      <w:r>
        <w:rPr>
          <w:noProof/>
        </w:rPr>
        <w:t>ernice 2002/15/ES.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 xml:space="preserve">Článok 2 – Kontrolné systémy 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 xml:space="preserve">Druhý odsek článku 2 ods. 1 sa mení s cieľom požadovať, aby kontroly vykonávané členskými štátmi zahŕňali kontrolu dodržiavania ustanovení o pracovnom čase stanovených v smernici 2002/15/ES. 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V článku 2 ods.</w:t>
      </w:r>
      <w:r>
        <w:rPr>
          <w:noProof/>
        </w:rPr>
        <w:t xml:space="preserve"> 3 sa stanovuje, že minimálny počet kontrol dodržiavania ustanovení nariadenia (ES) č. 561/2006 zahŕňa kontroly dodržiavania smernice 2002/15/ES. 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V článku 2 ods. 4 sa požaduje, aby informácie predložené členskými štátmi Komisii o výsledkoch kontrol na ces</w:t>
      </w:r>
      <w:r>
        <w:rPr>
          <w:noProof/>
        </w:rPr>
        <w:t>tách a v priestoroch podnikov zahŕňali informácie z kontrol dodržiavania smernice 2002/15/ES.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 xml:space="preserve">Článok 6 – Kontroly v priestoroch podnikov 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 xml:space="preserve">V článku 6 ods. 1 sa stanovuje, že závažné porušenia, ktoré dajú podnet na kontroly v priestoroch podnikov cestnej </w:t>
      </w:r>
      <w:r>
        <w:rPr>
          <w:noProof/>
        </w:rPr>
        <w:t>dopravy, zahŕňajú aj porušenia smernice 2002/15/ES.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7 – Styk v rámci Spoločenstva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Vkladá sa článok 7 ods. 1 písm. d) s cieľom uložiť určeným vnútroštátnym orgánom povinnosť, aby si vymieňali informácie o vykonávaní tejto smernice a smernice 2002/15/</w:t>
      </w:r>
      <w:r>
        <w:rPr>
          <w:noProof/>
        </w:rPr>
        <w:t xml:space="preserve">ES. 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8 – Výmena informácií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Článok 8 sa mení s cieľom rozšíriť administratívnu spoluprácu a vzájomnú pomoc medzi členskými štátmi. Článok 8 ods. 1 sa mení s cieľom stanoviť, že výmena informácií medzi určenými vnútroštátnymi orgánmi sa vzťahuje aj na</w:t>
      </w:r>
      <w:r>
        <w:rPr>
          <w:noProof/>
        </w:rPr>
        <w:t xml:space="preserve"> vykonávanie smernice 2002/15/ES a nariadenia (ES) č. 561/2006. Vkladá sa článok 8 ods. 1 s cieľom stanoviť pevné lehoty, v ktorých musia orgány členských štátov odpovedať na žiadosť o informácie od ostatných členských štátov. 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9 – Systém hodnotenia</w:t>
      </w:r>
      <w:r>
        <w:rPr>
          <w:i/>
          <w:noProof/>
        </w:rPr>
        <w:t xml:space="preserve"> rizikovosti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Článok 9 sa mení s cieľom zlepšiť dôslednosť a účinnosť vnútroštátnych systémov hodnotenia rizikovosti. V článku 9 ods. 1 sa dopĺňa druhý odsek, v ktorom sa požaduje, aby Komisia vytvorila jednotný vzorec pre výpočet hodnotenia rizikovosti dop</w:t>
      </w:r>
      <w:r>
        <w:rPr>
          <w:noProof/>
        </w:rPr>
        <w:t>ravných podnikov, a stanovujú sa v ňom aj kritéria, ktoré sa musia zohľadniť, keď sa vytvára takýto vzorec, vrátane používania „inteligentného“ tachografu. Článok 9 ods. 2 sa mení s cieľom podnietiť členské štáty diskutovať o pravidlách vykonávania ďalších</w:t>
      </w:r>
      <w:r>
        <w:rPr>
          <w:noProof/>
        </w:rPr>
        <w:t xml:space="preserve"> kontrol v priestoroch podnikov cestnej dopravy s vysokým stupňom rizikovosti. Dopĺňa sa článok 9 ods. 4 s cieľom stanoviť, že údaje v systéme hodnotenia rizikovosti musia byť dostupné pre kontrolné orgány. Dopĺňa sa článok 9 ods. 5 s cieľom požiadať člens</w:t>
      </w:r>
      <w:r>
        <w:rPr>
          <w:noProof/>
        </w:rPr>
        <w:t>ké štáty, aby iným členským štátom na požiadanie sprístupnili informácie vo vnútroštátnom systéme hodnotenia rizikovosti.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11 – Osvedčené postupy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Dopĺňa sa článok 11 ods. 3 s cieľom uložiť Komisii povinnosť, aby stanovila jednotnú koncepciu období za</w:t>
      </w:r>
      <w:r>
        <w:rPr>
          <w:noProof/>
        </w:rPr>
        <w:t xml:space="preserve">znamenávania a kontroly „inej práce“ než jazdy, keď sa vodič nachádza mimo vozidla, takže by nemohol uskutočniť potrebné záznamy v tachografe. 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Príloha 1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V časti A sa dopĺňa bod 6) s cieľom rozšíriť rozsah cestných kontrol, aby zahŕňali kontroly dodržiavan</w:t>
      </w:r>
      <w:r>
        <w:rPr>
          <w:noProof/>
        </w:rPr>
        <w:t xml:space="preserve">ia týždenných pracovných časových limitov. V časti B sa dopĺňa bod 4 s cieľom rozšíriť rozsah kontrol na priestory, a konkrétne sa zahŕňajú kontroly ustanovení o týždennom pracovnom čase, prestávkach a nočnej práci uvedených v smernici 2002/15/ES. </w:t>
      </w:r>
    </w:p>
    <w:p w:rsidR="00012300" w:rsidRDefault="0050403F">
      <w:pPr>
        <w:spacing w:before="0"/>
        <w:rPr>
          <w:b/>
          <w:noProof/>
          <w:u w:val="single"/>
        </w:rPr>
      </w:pPr>
      <w:r>
        <w:rPr>
          <w:b/>
          <w:noProof/>
          <w:u w:val="single"/>
        </w:rPr>
        <w:t>Špecifi</w:t>
      </w:r>
      <w:r>
        <w:rPr>
          <w:b/>
          <w:noProof/>
          <w:u w:val="single"/>
        </w:rPr>
        <w:t>cké pravidlá o vysielaní pracovníkov v odvetví cestnej dopravy, ktoré majú prevahu nad niektorými ustanoveniami smernice 96/71/ES a smernice 2014/67/EÚ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 xml:space="preserve">Článok 2 ods. 1 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>V článku 2 ods. 1 sa vysvetľujú ciele predpisov, v ktorých sa stanovujú špecifické prav</w:t>
      </w:r>
      <w:r>
        <w:rPr>
          <w:noProof/>
        </w:rPr>
        <w:t>idlá o vysielaní pracovníkov v odvetví cestnej dopravy a ktoré majú prevahu nad príslušnými ustanoveniami v smernici 96/71/ES a smernici 2014/67/EÚ.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2 ods. 2 a 3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 xml:space="preserve">V článku 2 ods. 2 sa stanovuje minimálne obdobie vyslania pracovníka; v prípade, že sa </w:t>
      </w:r>
      <w:r>
        <w:rPr>
          <w:noProof/>
        </w:rPr>
        <w:t>neprekročí, na operácie medzinárodnej cestnej dopravy sa neuplatňujú pravidlá hostiteľského členského štátu o minimálnom plate a platenej ročnej dovolenke. Táto časová hranica sa neuplatňuje na kabotáž, pretože celá dopravná operácia sa odohráva na území h</w:t>
      </w:r>
      <w:r>
        <w:rPr>
          <w:noProof/>
        </w:rPr>
        <w:t>ostiteľského členského štátu. V dôsledku toho by sa v prípade kabotáže mala uplatňovať minimálna mzda a minimálna ročná dĺžka platenej dovolenky hostiteľského členského štátu bez ohľadu na frekvenciu a trvanie operácií, ktoré vykonáva vodič. V treťom odsek</w:t>
      </w:r>
      <w:r>
        <w:rPr>
          <w:noProof/>
        </w:rPr>
        <w:t>u sa ďalej vysvetľuje metóda výpočtu takých období vyslania pracovníka.</w:t>
      </w:r>
    </w:p>
    <w:p w:rsidR="00012300" w:rsidRDefault="0050403F">
      <w:pPr>
        <w:spacing w:before="0"/>
        <w:rPr>
          <w:i/>
          <w:noProof/>
        </w:rPr>
      </w:pPr>
      <w:r>
        <w:rPr>
          <w:i/>
          <w:noProof/>
        </w:rPr>
        <w:t>Článok 2 ods. 4</w:t>
      </w:r>
    </w:p>
    <w:p w:rsidR="00012300" w:rsidRDefault="0050403F">
      <w:pPr>
        <w:spacing w:before="0"/>
        <w:rPr>
          <w:noProof/>
        </w:rPr>
      </w:pPr>
      <w:r>
        <w:rPr>
          <w:noProof/>
        </w:rPr>
        <w:t xml:space="preserve">V článku 3 ods. 4 a 5 sa stanovujú špecifické administratívne požiadavky a kontrolné opatrenia na kontrolu dodržiavania ustanovení o vysielaní pracovníkov v cestnej doprave. </w:t>
      </w:r>
    </w:p>
    <w:p w:rsidR="00012300" w:rsidRDefault="00012300">
      <w:pPr>
        <w:spacing w:before="0" w:after="0"/>
        <w:jc w:val="left"/>
        <w:rPr>
          <w:noProof/>
        </w:rPr>
        <w:sectPr w:rsidR="00012300" w:rsidSect="0050403F"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012300" w:rsidRDefault="0050403F" w:rsidP="0050403F">
      <w:pPr>
        <w:pStyle w:val="Rfrenceinterinstitutionnelle"/>
        <w:rPr>
          <w:noProof/>
        </w:rPr>
      </w:pPr>
      <w:r w:rsidRPr="0050403F">
        <w:t>2017/0121 (COD)</w:t>
      </w:r>
    </w:p>
    <w:p w:rsidR="00012300" w:rsidRDefault="0050403F">
      <w:pPr>
        <w:pStyle w:val="Statut"/>
        <w:rPr>
          <w:noProof/>
        </w:rPr>
      </w:pPr>
      <w:r>
        <w:rPr>
          <w:noProof/>
        </w:rPr>
        <w:t>Návrh</w:t>
      </w:r>
    </w:p>
    <w:p w:rsidR="00012300" w:rsidRDefault="0050403F">
      <w:pPr>
        <w:pStyle w:val="Typedudocument"/>
        <w:rPr>
          <w:noProof/>
        </w:rPr>
      </w:pPr>
      <w:r>
        <w:rPr>
          <w:noProof/>
        </w:rPr>
        <w:t>SMERNICA EURÓPSKEHO PARLAMENTU A RADY,</w:t>
      </w:r>
    </w:p>
    <w:p w:rsidR="00012300" w:rsidRDefault="0050403F">
      <w:pPr>
        <w:pStyle w:val="Titreobjet"/>
        <w:rPr>
          <w:noProof/>
        </w:rPr>
      </w:pPr>
      <w:r>
        <w:rPr>
          <w:noProof/>
        </w:rPr>
        <w:t>ktorou sa mení smernica 2006/22/ES, pokiaľ ide o požiadavky týkajúce sa dodržiavania predpisov, a ktorou sa stanovujú konkrétne pravidlá vzhľadom na smernicu 96/71/ES a smern</w:t>
      </w:r>
      <w:r>
        <w:rPr>
          <w:noProof/>
        </w:rPr>
        <w:t xml:space="preserve">icu 2014/67/EÚ v oblasti vysielania vodičov v odvetví cestnej dopravy </w:t>
      </w:r>
    </w:p>
    <w:p w:rsidR="00012300" w:rsidRDefault="0050403F">
      <w:pPr>
        <w:pStyle w:val="Institutionquiagit"/>
        <w:rPr>
          <w:noProof/>
        </w:rPr>
      </w:pPr>
      <w:r>
        <w:rPr>
          <w:noProof/>
        </w:rPr>
        <w:t>EURÓPSKY PARLAMENT A RADA EURÓPSKEJ ÚNIE,</w:t>
      </w:r>
    </w:p>
    <w:p w:rsidR="00012300" w:rsidRDefault="0050403F">
      <w:pPr>
        <w:rPr>
          <w:noProof/>
        </w:rPr>
      </w:pPr>
      <w:r>
        <w:rPr>
          <w:noProof/>
        </w:rPr>
        <w:t>so zreteľom na Zmluvu o fungovaní Európskej únie, a najmä na jej článok 91 ods. 1,</w:t>
      </w:r>
    </w:p>
    <w:p w:rsidR="00012300" w:rsidRDefault="0050403F">
      <w:pPr>
        <w:rPr>
          <w:noProof/>
        </w:rPr>
      </w:pPr>
      <w:r>
        <w:rPr>
          <w:noProof/>
        </w:rPr>
        <w:t>so zreteľom na návrh Európskej komisie,</w:t>
      </w:r>
    </w:p>
    <w:p w:rsidR="00012300" w:rsidRDefault="0050403F">
      <w:pPr>
        <w:rPr>
          <w:noProof/>
        </w:rPr>
      </w:pPr>
      <w:r>
        <w:rPr>
          <w:noProof/>
        </w:rPr>
        <w:t xml:space="preserve">po postúpení návrhu </w:t>
      </w:r>
      <w:r>
        <w:rPr>
          <w:noProof/>
        </w:rPr>
        <w:t>legislatívneho aktu národným parlamentom,</w:t>
      </w:r>
    </w:p>
    <w:p w:rsidR="00012300" w:rsidRDefault="0050403F">
      <w:pPr>
        <w:rPr>
          <w:noProof/>
        </w:rPr>
      </w:pPr>
      <w:r>
        <w:rPr>
          <w:noProof/>
        </w:rPr>
        <w:t>so zreteľom na stanovisko Európskeho hospodárskeho a sociálneho výboru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, </w:t>
      </w:r>
    </w:p>
    <w:p w:rsidR="00012300" w:rsidRDefault="0050403F">
      <w:pPr>
        <w:rPr>
          <w:noProof/>
        </w:rPr>
      </w:pPr>
      <w:r>
        <w:rPr>
          <w:noProof/>
        </w:rPr>
        <w:t>so zreteľom na stanovisko Výboru regiónov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, </w:t>
      </w:r>
    </w:p>
    <w:p w:rsidR="00012300" w:rsidRDefault="0050403F">
      <w:pPr>
        <w:rPr>
          <w:noProof/>
        </w:rPr>
      </w:pPr>
      <w:r>
        <w:rPr>
          <w:noProof/>
        </w:rPr>
        <w:t>konajúc v súlade s riadnym legislatívnym postupom,</w:t>
      </w:r>
    </w:p>
    <w:p w:rsidR="00012300" w:rsidRDefault="0050403F">
      <w:pPr>
        <w:rPr>
          <w:noProof/>
        </w:rPr>
      </w:pPr>
      <w:r>
        <w:rPr>
          <w:noProof/>
        </w:rPr>
        <w:t>keďže:</w:t>
      </w:r>
    </w:p>
    <w:p w:rsidR="00012300" w:rsidRDefault="0050403F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Na formovanie bezpečného, efektív</w:t>
      </w:r>
      <w:r>
        <w:rPr>
          <w:noProof/>
        </w:rPr>
        <w:t xml:space="preserve">neho a sociálne zodpovedného odvetvia cestnej dopravy je potrebné zabezpečiť jednak primerané pracovné podmienky a sociálnu ochranu vodičov a jednak vhodné podnikateľské prostredie a spravodlivú hospodársku súťaž pre prevádzkovateľov. </w:t>
      </w:r>
    </w:p>
    <w:p w:rsidR="00012300" w:rsidRDefault="0050403F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Vysoká miera mob</w:t>
      </w:r>
      <w:r>
        <w:rPr>
          <w:noProof/>
        </w:rPr>
        <w:t>ility, ktorá je charakteristickou črtou služieb cestnej dopravy, si vyžaduje mimoriadnu pozornosť pri zabezpečovaní toho, aby vodiči mohli využívať práva, na ktoré majú nárok, a aby prevádzkovatelia nemuseli čeliť neprimeraným administratívnym prekážkam, k</w:t>
      </w:r>
      <w:r>
        <w:rPr>
          <w:noProof/>
        </w:rPr>
        <w:t>toré nenáležite obmedzujú ich slobodu poskytovať cezhraničné služby.</w:t>
      </w:r>
    </w:p>
    <w:p w:rsidR="00012300" w:rsidRDefault="0050403F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Rovnováha medzi zlepšením sociálnych a pracovných podmienok pre vodičov a uľahčením využívania slobody poskytovať služby cestnej dopravy na základe spravodlivej hospodárskej súťaže me</w:t>
      </w:r>
      <w:r>
        <w:rPr>
          <w:noProof/>
        </w:rPr>
        <w:t>dzi vnútroštátnymi a zahraničnými prevádzkovateľmi je kľúčovou podmienkou bezproblémového fungovania vnútorného trhu.</w:t>
      </w:r>
    </w:p>
    <w:p w:rsidR="00012300" w:rsidRDefault="0050403F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Pri posúdení účinnosti a efektívnosti súčasných právnych predpisov Únie v oblasti cestnej dopravy sa zistili určité medzery v existujú</w:t>
      </w:r>
      <w:r>
        <w:rPr>
          <w:noProof/>
        </w:rPr>
        <w:t>cich ustanoveniach a nedostatky pri ich dodržiavaní. Navyše medzi členskými štátmi existuje celý rad nezrovnalostí vo výklade, uplatňovaní a vykonávaní pravidiel. Dôsledkom je právna neistota a nerovnaké zaobchádzanie s vodičmi a prevádzkovateľmi, čo poško</w:t>
      </w:r>
      <w:r>
        <w:rPr>
          <w:noProof/>
        </w:rPr>
        <w:t xml:space="preserve">dzuje pracovné a sociálne podmienky, ako aj podmienky hospodárskej súťaže v odvetví. </w:t>
      </w:r>
    </w:p>
    <w:p w:rsidR="00012300" w:rsidRDefault="0050403F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Primerané, účinné a konzistentné dodržiavanie ustanovení o pracovnom čase je kľúčovým predpokladom ochrany pracovných podmienok vodičov a zabránenia narušeniu hospodá</w:t>
      </w:r>
      <w:r>
        <w:rPr>
          <w:noProof/>
        </w:rPr>
        <w:t xml:space="preserve">rskej súťaže v dôsledku neplnenia povinností. Preto je žiaduce rozšíriť platné jednotné požiadavky na dodržiavanie predpisov stanovené v smernici 2006/22/ES aj na kontrolu dodržiavania ustanovení o pracovnom čase v smernici 2002/15/EÚ. </w:t>
      </w:r>
    </w:p>
    <w:p w:rsidR="00012300" w:rsidRDefault="0050403F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Administratívna</w:t>
      </w:r>
      <w:r>
        <w:rPr>
          <w:noProof/>
        </w:rPr>
        <w:t xml:space="preserve"> spolupráca medzi členskými štátmi pri vykonávaní sociálnych pravidiel v cestnej doprave sa ukázala ako nedostatočná, v dôsledku čoho je cezhraničné dodržiavanie predpisov náročnejšie, neefektívne a nekonzistentné. Preto je potrebné stanoviť rámec účinnej </w:t>
      </w:r>
      <w:r>
        <w:rPr>
          <w:noProof/>
        </w:rPr>
        <w:t xml:space="preserve">komunikácie a vzájomnej pomoci vrátane výmeny údajov o porušeniach predpisov a informácií o osvedčených postupoch pri dodržiavaní predpisov. </w:t>
      </w:r>
    </w:p>
    <w:p w:rsidR="00012300" w:rsidRDefault="0050403F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S cieľom ďalej zlepšiť efektívnosť, účinnosť a konzistentnosť dodržiavania predpisov je žiaduce rozvinúť črty </w:t>
      </w:r>
      <w:r>
        <w:rPr>
          <w:noProof/>
        </w:rPr>
        <w:t>a využívanie existujúcich vnútroštátnych systémov hodnotenia rizikovosti. Prístup k údajom v systémoch hodnotenia rizikovosti by umožnil lepšie zameranie kontrol na prevádzkovateľov, ktorí nedodržiavajú pravidlá, a jednotný vzorec na posudzovanie rizika do</w:t>
      </w:r>
      <w:r>
        <w:rPr>
          <w:noProof/>
        </w:rPr>
        <w:t>pravného podniku by mal prispieť k spravodlivejšiemu zaobchádzaniu s prevádzkovateľmi počas kontrol.</w:t>
      </w:r>
    </w:p>
    <w:p w:rsidR="00012300" w:rsidRDefault="0050403F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 cieľom zabezpečiť jednotné podmienky vykonávania smernice 2006/22/ES by sa mali Komisii udeliť vykonávacie právomoci. Uvedené právomoci by sa mali vy</w:t>
      </w:r>
      <w:r>
        <w:rPr>
          <w:noProof/>
        </w:rPr>
        <w:t>konávať v súlade s nariadením (EÚ) č. 182/2011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 w:rsidR="00012300" w:rsidRDefault="0050403F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Ťažkosti sa zaznamenali aj pri uplatňovaní pravidiel vysielania pracovníkov uvedených v smernici Európskeho parlamentu a Rady 96/71/ES</w:t>
      </w:r>
      <w:r>
        <w:rPr>
          <w:rStyle w:val="FootnoteReference"/>
          <w:noProof/>
        </w:rPr>
        <w:footnoteReference w:id="15"/>
      </w:r>
      <w:r>
        <w:rPr>
          <w:noProof/>
        </w:rPr>
        <w:t>, ako aj pravidiel týkajúcich sa administratívnych požiadaviek stano</w:t>
      </w:r>
      <w:r>
        <w:rPr>
          <w:noProof/>
        </w:rPr>
        <w:t>vených v smernici Európskeho parlamentu a Rady 2014/67/EÚ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na odvetvie cestnej dopravy vyznačujúce sa vysokou mierou mobility. Nekoordinované vnútroštátne opatrenia na uplatňovanie a dodržiavanie ustanovení o vysielaní pracovníkov v odvetví cestnej dopravy</w:t>
      </w:r>
      <w:r>
        <w:rPr>
          <w:noProof/>
        </w:rPr>
        <w:t xml:space="preserve"> viedli k vysokej administratívnej záťaži pre prevádzkovateľov z iných krajín Európskej únie. Výsledkom sú nenáležité obmedzenia slobody poskytovať cezhraničné služby cestnej dopravy, ktoré majú aj negatívny vedľajší účinok na pracovné miesta.</w:t>
      </w:r>
    </w:p>
    <w:p w:rsidR="00012300" w:rsidRDefault="0050403F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Komisia</w:t>
      </w:r>
      <w:r>
        <w:rPr>
          <w:noProof/>
        </w:rPr>
        <w:t xml:space="preserve"> vo svojom návrhu z 8. marca 2016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na revíziu smernice 96/71/ES uznala, že vykonávanie uvedenej smernice sa spája s osobitnými právnymi otázkami a ťažkosťami v odvetví cestnej dopravy s vysokou mierou mobility, a vyjadrila sa, že tieto otázky by mali byť p</w:t>
      </w:r>
      <w:r>
        <w:rPr>
          <w:noProof/>
        </w:rPr>
        <w:t>redmetom špecifických právnych predpisov v oblasti cestnej dopravy.</w:t>
      </w:r>
    </w:p>
    <w:p w:rsidR="00012300" w:rsidRDefault="0050403F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S cieľom zabezpečiť účinné a primerané vykonávanie smernice 96/71/ES v odvetví cestnej dopravy je potrebné stanoviť pravidlá špecifické pre dané odvetvie, v ktorých sa zohľadní osobitosť vysoko mobilnej pracovnej sily v odvetví cestnej dopravy a vytvorí ro</w:t>
      </w:r>
      <w:r>
        <w:rPr>
          <w:noProof/>
        </w:rPr>
        <w:t xml:space="preserve">vnováha medzi sociálnou ochranou vodičov a slobodou prevádzkovateľov poskytovať cezhraničné služby. </w:t>
      </w:r>
    </w:p>
    <w:p w:rsidR="00012300" w:rsidRDefault="0050403F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Takéto vyrovnané kritériá by mali byť založené na koncepcii dostatočného prepojenia vodiča s územím hostiteľského členského štátu. Preto by sa mala st</w:t>
      </w:r>
      <w:r>
        <w:rPr>
          <w:noProof/>
        </w:rPr>
        <w:t>anoviť časová hranica a pri jej prekročení by sa mala uplatňovať minimálna mzda a minimálna ročná dĺžka platenej dovolenky hostiteľského členského štátu v prípade operácií medzinárodnej cestnej dopravy. Táto časová hranica by sa nemala uplatňovať na operác</w:t>
      </w:r>
      <w:r>
        <w:rPr>
          <w:noProof/>
        </w:rPr>
        <w:t>ie kabotáže podľa vymedzenia v nariadeniach 1072/2009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a 1073/2009</w:t>
      </w:r>
      <w:r>
        <w:rPr>
          <w:rStyle w:val="FootnoteReference"/>
          <w:noProof/>
        </w:rPr>
        <w:footnoteReference w:id="19"/>
      </w:r>
      <w:r>
        <w:rPr>
          <w:noProof/>
        </w:rPr>
        <w:t>, pretože celá dopravná operácia sa odohráva na území hostiteľského členského štátu. V dôsledku toho by sa v prípade kabotáže mala uplatňovať minimálna mzda a minimálna ročná dĺžka platenej</w:t>
      </w:r>
      <w:r>
        <w:rPr>
          <w:noProof/>
        </w:rPr>
        <w:t xml:space="preserve"> dovolenky hostiteľského členského štátu bez ohľadu na frekvenciu a trvanie operácií, ktoré vykonáva vodič.</w:t>
      </w:r>
    </w:p>
    <w:p w:rsidR="00012300" w:rsidRDefault="0050403F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 cieľom zabezpečiť účinné a efektívne dodržiavanie sektorových pravidiel o vysielaní pracovníkov a zabrániť neprimeranej administratívnej záťa</w:t>
      </w:r>
      <w:r>
        <w:rPr>
          <w:noProof/>
        </w:rPr>
        <w:t>ži pre prevádzkovateľov z iných krajín Európskej únie by sa mali stanoviť osobitné požiadavky na administratívu a kontrolu v odvetví cestnej dopravy s plným využitím výhod kontrolných nástrojov, ako je napríklad digitálny tachograf.</w:t>
      </w:r>
    </w:p>
    <w:p w:rsidR="00012300" w:rsidRDefault="0050403F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Smernica 2006/22/E</w:t>
      </w:r>
      <w:r>
        <w:rPr>
          <w:noProof/>
        </w:rPr>
        <w:t>S by sa preto mala zodpovedajúcim spôsobom zmeniť,</w:t>
      </w:r>
    </w:p>
    <w:p w:rsidR="00012300" w:rsidRDefault="00012300">
      <w:pPr>
        <w:rPr>
          <w:noProof/>
        </w:rPr>
      </w:pPr>
    </w:p>
    <w:p w:rsidR="00012300" w:rsidRDefault="0050403F">
      <w:pPr>
        <w:pStyle w:val="Formuledadoption"/>
        <w:rPr>
          <w:noProof/>
        </w:rPr>
      </w:pPr>
      <w:r>
        <w:rPr>
          <w:noProof/>
        </w:rPr>
        <w:t>PRIJALI TÚTO SMERNICU:</w:t>
      </w:r>
    </w:p>
    <w:p w:rsidR="00012300" w:rsidRDefault="0050403F">
      <w:pPr>
        <w:pStyle w:val="Titrearticle"/>
        <w:rPr>
          <w:noProof/>
        </w:rPr>
      </w:pPr>
      <w:r>
        <w:rPr>
          <w:noProof/>
        </w:rPr>
        <w:t>Článok 1</w:t>
      </w:r>
    </w:p>
    <w:p w:rsidR="00012300" w:rsidRDefault="0050403F">
      <w:pPr>
        <w:rPr>
          <w:noProof/>
        </w:rPr>
      </w:pPr>
      <w:r>
        <w:rPr>
          <w:noProof/>
        </w:rPr>
        <w:t>Smernica 2006/22/ES sa mení takto: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  <w:lang w:eastAsia="en-US" w:bidi="ar-SA"/>
        </w:rPr>
      </w:pPr>
      <w:r>
        <w:rPr>
          <w:noProof/>
          <w:lang w:eastAsia="en-US" w:bidi="ar-SA"/>
        </w:rPr>
        <w:t>názov sa nahrádza takto:</w:t>
      </w:r>
    </w:p>
    <w:p w:rsidR="00012300" w:rsidRDefault="0050403F">
      <w:pPr>
        <w:rPr>
          <w:noProof/>
        </w:rPr>
      </w:pPr>
      <w:r>
        <w:rPr>
          <w:noProof/>
        </w:rPr>
        <w:t>„Smernica Európskeho parlamentu a Rady 2006/22/ES z 15. marca 2006 o minimálnych podmienkach vykonávania nariade</w:t>
      </w:r>
      <w:r>
        <w:rPr>
          <w:noProof/>
        </w:rPr>
        <w:t>ní (ES) č. 561/2006 a (EÚ) č. 165/2014 a smernice Európskeho parlamentu a Rady 2002/15/ES, pokiaľ ide o právne predpisy v sociálnej oblasti, ktoré sa týkajú cestnej dopravy, a ktorou sa zrušuje smernica Rady 88/599/EHS“;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Článok 1 sa nahrádza takto:</w:t>
      </w:r>
    </w:p>
    <w:p w:rsidR="00012300" w:rsidRDefault="0050403F">
      <w:pPr>
        <w:rPr>
          <w:noProof/>
        </w:rPr>
      </w:pPr>
      <w:r>
        <w:rPr>
          <w:noProof/>
        </w:rPr>
        <w:t xml:space="preserve">„Touto </w:t>
      </w:r>
      <w:r>
        <w:rPr>
          <w:noProof/>
        </w:rPr>
        <w:t>smernicou sa stanovujú minimálne podmienky vykonávania nariadení (ES) č. 561/2006 a (EÚ) č. 165/2014* a smernice 2002/15/ES**.“</w:t>
      </w:r>
    </w:p>
    <w:p w:rsidR="00012300" w:rsidRDefault="0050403F">
      <w:pPr>
        <w:rPr>
          <w:noProof/>
        </w:rPr>
      </w:pPr>
      <w:r>
        <w:rPr>
          <w:noProof/>
        </w:rPr>
        <w:t>______________________</w:t>
      </w:r>
    </w:p>
    <w:p w:rsidR="00012300" w:rsidRDefault="0050403F">
      <w:pPr>
        <w:rPr>
          <w:noProof/>
        </w:rPr>
      </w:pPr>
      <w:r>
        <w:rPr>
          <w:noProof/>
        </w:rPr>
        <w:t>*Nariadenie Európskeho parlamentu a Rady (EÚ) č. 165/2014 zo 4. februára 2014 o tachografoch v cestnej do</w:t>
      </w:r>
      <w:r>
        <w:rPr>
          <w:noProof/>
        </w:rPr>
        <w:t>prave, ktorým sa ruší nariadenie Rady (EHS) č. 3821/85 o záznamovom zariadení v cestnej doprave a mení nariadenie Európskeho parlamentu a Rady (ES) č. 561/2006 o harmonizácii niektorých právnych predpisov v sociálnej oblasti, ktoré sa týkajú cestnej doprav</w:t>
      </w:r>
      <w:r>
        <w:rPr>
          <w:noProof/>
        </w:rPr>
        <w:t>y (Ú. v. EÚ L 60, 28.2.2014, s. 1).</w:t>
      </w:r>
    </w:p>
    <w:p w:rsidR="00012300" w:rsidRDefault="0050403F">
      <w:pPr>
        <w:rPr>
          <w:noProof/>
        </w:rPr>
      </w:pPr>
      <w:r>
        <w:rPr>
          <w:noProof/>
        </w:rPr>
        <w:t>**Smernica Európskeho parlamentu a Rady 2002/15/ES z 11. marca 2002 o organizácii pracovnej doby osôb vykonávajúcich mobilné činnosti v cestnej doprave (Ú. v. ES L 80, 23.3.2002, s. 35).“;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Článok 2 sa mení takto:</w:t>
      </w:r>
    </w:p>
    <w:p w:rsidR="00012300" w:rsidRDefault="0050403F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 od</w:t>
      </w:r>
      <w:r>
        <w:rPr>
          <w:noProof/>
        </w:rPr>
        <w:t>seku 1 sa druhý pododsek nahrádza takto:</w:t>
      </w:r>
    </w:p>
    <w:p w:rsidR="00012300" w:rsidRDefault="0050403F">
      <w:pPr>
        <w:rPr>
          <w:noProof/>
        </w:rPr>
      </w:pPr>
      <w:r>
        <w:rPr>
          <w:noProof/>
        </w:rPr>
        <w:t>„Tieto kontroly každý rok obsiahnu veľký a reprezentatívny podiel mobilných pracovníkov, vodičov, podnikov a vozidiel patriacich do rozsahu pôsobnosti nariadení (ES) č. 561/2006 a (EÚ) č. 165/2014, a mobilných praco</w:t>
      </w:r>
      <w:r>
        <w:rPr>
          <w:noProof/>
        </w:rPr>
        <w:t>vníkov a vodičov patriacich do rozsahu pôsobnosti smernice 2002/15/ES.“;</w:t>
      </w:r>
    </w:p>
    <w:p w:rsidR="00012300" w:rsidRDefault="0050403F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 odseku 3 sa prvý pododsek nahrádza takto:</w:t>
      </w:r>
    </w:p>
    <w:p w:rsidR="00012300" w:rsidRDefault="0050403F">
      <w:pPr>
        <w:rPr>
          <w:noProof/>
        </w:rPr>
      </w:pPr>
      <w:r>
        <w:rPr>
          <w:noProof/>
        </w:rPr>
        <w:t>„Každý členský štát zorganizuje kontroly tak, aby sa skontrolovali minimálne 3 % dní, ktoré odpracovali vodiči vozidiel patriacich do ro</w:t>
      </w:r>
      <w:r>
        <w:rPr>
          <w:noProof/>
        </w:rPr>
        <w:t>zsahu pôsobnosti nariadenia (ES) č. 561/2006, nariadenia (EÚ) č. 165/2014 a smernice 2002/15/ES.“</w:t>
      </w:r>
    </w:p>
    <w:p w:rsidR="00012300" w:rsidRDefault="0050403F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odsek 4 sa nahrádza takto:</w:t>
      </w:r>
    </w:p>
    <w:p w:rsidR="00012300" w:rsidRDefault="0050403F">
      <w:pPr>
        <w:rPr>
          <w:noProof/>
        </w:rPr>
      </w:pPr>
      <w:r>
        <w:rPr>
          <w:noProof/>
        </w:rPr>
        <w:t>„4.</w:t>
      </w:r>
      <w:r>
        <w:rPr>
          <w:noProof/>
        </w:rPr>
        <w:tab/>
        <w:t>„Informácie predkladané Komisii v súlade s článkom 17 nariadenia (ES) č. 561/2006 obsahujú počet vodičov skontrolovaných pri</w:t>
      </w:r>
      <w:r>
        <w:rPr>
          <w:noProof/>
        </w:rPr>
        <w:t xml:space="preserve"> cestnej kontrole, počet kontrol vykonaných v priestoroch podnikov, počet skontrolovaných pracovných dní a počet a druh hlásených porušení predpisov s poznámkou, či išlo o osobnú alebo nákladnú dopravu.“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V článku 6 sa odsek 1 nahrádza takto:</w:t>
      </w:r>
    </w:p>
    <w:p w:rsidR="00012300" w:rsidRDefault="0050403F">
      <w:pPr>
        <w:rPr>
          <w:noProof/>
        </w:rPr>
      </w:pPr>
      <w:r>
        <w:rPr>
          <w:noProof/>
        </w:rPr>
        <w:t>„1.</w:t>
      </w:r>
      <w:r>
        <w:rPr>
          <w:noProof/>
        </w:rPr>
        <w:tab/>
        <w:t>Kontroly v</w:t>
      </w:r>
      <w:r>
        <w:rPr>
          <w:noProof/>
        </w:rPr>
        <w:t xml:space="preserve"> priestoroch podnikov sa organizujú so zreteľom na predchádzajúce skúsenosti s rôznymi druhmi dopravy a podnikov. Vykonajú sa aj v prípade zistenia závažného porušenia nariadenia (ES) č. 561/2006 alebo nariadenia (EÚ) č. 165/2014 alebo smernice 2002/15/ES </w:t>
      </w:r>
      <w:r>
        <w:rPr>
          <w:noProof/>
        </w:rPr>
        <w:t>pri cestnej kontrole.“;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V článku 7 ods. 1 sa dopĺňa toto písmeno d):</w:t>
      </w:r>
    </w:p>
    <w:p w:rsidR="00012300" w:rsidRDefault="0050403F">
      <w:pPr>
        <w:rPr>
          <w:noProof/>
        </w:rPr>
      </w:pPr>
      <w:r>
        <w:rPr>
          <w:noProof/>
        </w:rPr>
        <w:t>„d)</w:t>
      </w:r>
      <w:r>
        <w:rPr>
          <w:noProof/>
        </w:rPr>
        <w:tab/>
        <w:t>zabezpečuje výmenu informácií s ostatnými členskými štátmi, pokiaľ ide o uplatňovanie vnútroštátnych ustanovení, ktorými sa transponuje táto smernica a smernica 2002/15/ES.“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 xml:space="preserve">Článok 8 </w:t>
      </w:r>
      <w:r>
        <w:rPr>
          <w:noProof/>
        </w:rPr>
        <w:t>sa mení takto:</w:t>
      </w:r>
    </w:p>
    <w:p w:rsidR="00012300" w:rsidRDefault="0050403F">
      <w:pPr>
        <w:pStyle w:val="Point1"/>
        <w:rPr>
          <w:noProof/>
          <w:lang w:eastAsia="en-US" w:bidi="ar-SA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  <w:lang w:eastAsia="en-US" w:bidi="ar-SA"/>
        </w:rPr>
        <w:t>v odseku 1 sa písmeno b) nahrádza takto:</w:t>
      </w:r>
    </w:p>
    <w:p w:rsidR="00012300" w:rsidRDefault="0050403F">
      <w:pPr>
        <w:pStyle w:val="Text2"/>
        <w:rPr>
          <w:noProof/>
        </w:rPr>
      </w:pPr>
      <w:r>
        <w:rPr>
          <w:noProof/>
        </w:rPr>
        <w:t>„b) na základe odôvodnenej žiadosti členského štátu v jednotlivých prípadoch.“</w:t>
      </w:r>
    </w:p>
    <w:p w:rsidR="00012300" w:rsidRDefault="0050403F">
      <w:pPr>
        <w:pStyle w:val="Point1"/>
        <w:rPr>
          <w:noProof/>
          <w:lang w:eastAsia="en-US" w:bidi="ar-SA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lang w:eastAsia="en-US" w:bidi="ar-SA"/>
        </w:rPr>
        <w:t>vkladá sa tento odsek 1a:</w:t>
      </w:r>
    </w:p>
    <w:p w:rsidR="00012300" w:rsidRDefault="0050403F">
      <w:pPr>
        <w:rPr>
          <w:noProof/>
        </w:rPr>
      </w:pPr>
      <w:r>
        <w:rPr>
          <w:noProof/>
        </w:rPr>
        <w:t>„1a.</w:t>
      </w:r>
      <w:r>
        <w:rPr>
          <w:noProof/>
        </w:rPr>
        <w:tab/>
        <w:t>Členský štát predkladá informácie, o ktoré ho požiadali iné členské štáty podľa odse</w:t>
      </w:r>
      <w:r>
        <w:rPr>
          <w:noProof/>
        </w:rPr>
        <w:t>ku 1 písm. b) tohto článku, do 25 pracovných dní od doručenia predmetnej žiadosti v prípadoch, ktoré si vyžadujú hĺbkové preskúmanie alebo zahŕňajú kontroly v priestoroch dotknutých podnikov. Členské štáty sa môžu vzájomne dohodnúť na kratšej lehote. V nal</w:t>
      </w:r>
      <w:r>
        <w:rPr>
          <w:noProof/>
        </w:rPr>
        <w:t>iehavých prípadoch alebo prípadoch, ktoré si vyžadujú jednoduchý náhľad do registrov, napríklad do systému hodnotenia rizikovosti, sa vyžiadaná informácia poskytne do troch pracovných dní.</w:t>
      </w:r>
    </w:p>
    <w:p w:rsidR="00012300" w:rsidRDefault="0050403F">
      <w:pPr>
        <w:rPr>
          <w:noProof/>
        </w:rPr>
      </w:pPr>
      <w:r>
        <w:rPr>
          <w:noProof/>
        </w:rPr>
        <w:t>Ak členský štát, ktorému je doručená žiadosť, usúdi, že žiadosť nie</w:t>
      </w:r>
      <w:r>
        <w:rPr>
          <w:noProof/>
        </w:rPr>
        <w:t xml:space="preserve"> je dostatočne odôvodnená, oznámi to žiadajúcemu členskému štátu do 10 pracovných dní. Žiadajúci členský štát doplní odôvodnenie žiadosti. Ak to nie je možné, členský štát môže danú žiadosť zamietnuť.</w:t>
      </w:r>
    </w:p>
    <w:p w:rsidR="00012300" w:rsidRDefault="0050403F">
      <w:pPr>
        <w:rPr>
          <w:noProof/>
        </w:rPr>
      </w:pPr>
      <w:r>
        <w:rPr>
          <w:noProof/>
        </w:rPr>
        <w:t>Ak je náročné alebo nemožné vyhovieť žiadosti o informá</w:t>
      </w:r>
      <w:r>
        <w:rPr>
          <w:noProof/>
        </w:rPr>
        <w:t>cie alebo vykonať kontroly, inšpekcie alebo vyšetrovanie, dotknutý členský štát o tom do 10 pracovných dní s udaním dôvodov informuje žiadajúci členský štát. Dotknuté členské štáty nadviažu diskusiu s cieľom nájsť riešenie každého spomenutého problému.“.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Č</w:t>
      </w:r>
      <w:r>
        <w:rPr>
          <w:noProof/>
        </w:rPr>
        <w:t>lánok 9 sa mení takto:</w:t>
      </w:r>
    </w:p>
    <w:p w:rsidR="00012300" w:rsidRDefault="0050403F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odsek 1 sa nahrádza takto:</w:t>
      </w:r>
    </w:p>
    <w:p w:rsidR="00012300" w:rsidRDefault="0050403F">
      <w:pPr>
        <w:rPr>
          <w:noProof/>
        </w:rPr>
      </w:pPr>
      <w:r>
        <w:rPr>
          <w:noProof/>
        </w:rPr>
        <w:t>„1.</w:t>
      </w:r>
      <w:r>
        <w:rPr>
          <w:noProof/>
        </w:rPr>
        <w:tab/>
        <w:t>Členské štáty zavedú systém hodnotenia rizikovosti podnikov na základe pomerného počtu a závažnosti porušení nariadenia (ES) č. 561/2006 alebo nariadenia (EÚ) č. 165/2014 alebo vnútroštátnych ustanov</w:t>
      </w:r>
      <w:r>
        <w:rPr>
          <w:noProof/>
        </w:rPr>
        <w:t>ení, ktorými sa transponuje smernica 2002/15/ES, ktorých sa jednotlivé podniky dopustili.</w:t>
      </w:r>
    </w:p>
    <w:p w:rsidR="00012300" w:rsidRDefault="0050403F">
      <w:pPr>
        <w:rPr>
          <w:noProof/>
        </w:rPr>
      </w:pPr>
      <w:r>
        <w:rPr>
          <w:noProof/>
        </w:rPr>
        <w:t>Komisia prostredníctvom vykonávacích aktov stanoví spoločný vzorec na výpočet rizikovosti podnikov, v ktorom sa zohľadní počet, závažnosť a frekvencia výskytu porušen</w:t>
      </w:r>
      <w:r>
        <w:rPr>
          <w:noProof/>
        </w:rPr>
        <w:t>í, ako aj výsledky kontrol, pri ktorých sa nezistilo žiadne porušenie, a takisto skutočnosť, či podnik pôsobiaci v cestnej doprave využíva inteligentný tachograf podľa kapitoly II nariadenia (EÚ) č. 165/2014 vo všetkých svojich vozidlách. Uvedené vykonávac</w:t>
      </w:r>
      <w:r>
        <w:rPr>
          <w:noProof/>
        </w:rPr>
        <w:t>ie akty sa prijímajú v súlade s postupom preskúmania uvedeným v článku 12 ods. 2 tejto smernice.“</w:t>
      </w:r>
    </w:p>
    <w:p w:rsidR="00012300" w:rsidRDefault="0050403F">
      <w:pPr>
        <w:pStyle w:val="Point1"/>
        <w:rPr>
          <w:noProof/>
          <w:lang w:eastAsia="en-US" w:bidi="ar-SA"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  <w:lang w:eastAsia="en-US" w:bidi="ar-SA"/>
        </w:rPr>
        <w:t>z odseku 2 sa vypúšťa druhá veta;</w:t>
      </w:r>
    </w:p>
    <w:p w:rsidR="00012300" w:rsidRDefault="0050403F">
      <w:pPr>
        <w:pStyle w:val="Point1"/>
        <w:rPr>
          <w:noProof/>
          <w:lang w:eastAsia="en-US" w:bidi="ar-SA"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  <w:lang w:eastAsia="en-US" w:bidi="ar-SA"/>
        </w:rPr>
        <w:t>dopĺňajú sa tieto odseky 4 a 5:</w:t>
      </w:r>
    </w:p>
    <w:p w:rsidR="00012300" w:rsidRDefault="0050403F">
      <w:pPr>
        <w:rPr>
          <w:noProof/>
        </w:rPr>
      </w:pPr>
      <w:r>
        <w:rPr>
          <w:noProof/>
        </w:rPr>
        <w:t>„4.</w:t>
      </w:r>
      <w:r>
        <w:rPr>
          <w:noProof/>
        </w:rPr>
        <w:tab/>
        <w:t xml:space="preserve">S cieľom uľahčiť cielené cestné kontroly sú údaje vo vnútroštátnom systéme </w:t>
      </w:r>
      <w:r>
        <w:rPr>
          <w:noProof/>
        </w:rPr>
        <w:t>hodnotenia rizikovosti v čase kontroly dostupné všetkým príslušným kontrolným orgánom dotknutého členského štátu.</w:t>
      </w:r>
    </w:p>
    <w:p w:rsidR="00012300" w:rsidRDefault="0050403F">
      <w:pPr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Členské štáty na požiadanie alebo priamo sprístupňujú informácie vo vnútroštátnom systéme hodnotenia rizikovosti všetkým príslušným orgáno</w:t>
      </w:r>
      <w:r>
        <w:rPr>
          <w:noProof/>
        </w:rPr>
        <w:t>m iných členských štátov v súlade s lehotami stanovenými v článku 8.“;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V článku 11 sa odsek 3 nahrádza takto:</w:t>
      </w:r>
    </w:p>
    <w:p w:rsidR="00012300" w:rsidRDefault="0050403F">
      <w:pPr>
        <w:rPr>
          <w:noProof/>
        </w:rPr>
      </w:pPr>
      <w:r>
        <w:rPr>
          <w:noProof/>
        </w:rPr>
        <w:t>„3.</w:t>
      </w:r>
      <w:r>
        <w:rPr>
          <w:noProof/>
        </w:rPr>
        <w:tab/>
        <w:t>Komisia prostredníctvom vykonávacích aktov určí spoločnú koncepciu zaznamenávania a kontrolovania období inej práce, ako sa vymedzuje v článku</w:t>
      </w:r>
      <w:r>
        <w:rPr>
          <w:noProof/>
        </w:rPr>
        <w:t xml:space="preserve"> 4 písm. e) nariadenia (ES) č. 561/2006, ako aj minimálne týždňových období, počas ktorých sa vodič nachádza mimo vozidla. Uvedené vykonávacie akty sa prijmú v súlade s postupom preskúmania uvedeným v článku 12 ods. 2.“;</w:t>
      </w:r>
    </w:p>
    <w:p w:rsidR="00012300" w:rsidRDefault="0050403F"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Príloha I sa mení takto:</w:t>
      </w:r>
    </w:p>
    <w:p w:rsidR="00012300" w:rsidRDefault="0050403F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V časti</w:t>
      </w:r>
      <w:r>
        <w:rPr>
          <w:noProof/>
        </w:rPr>
        <w:t xml:space="preserve"> A sa dopĺňa tento bod 6:</w:t>
      </w:r>
    </w:p>
    <w:p w:rsidR="00012300" w:rsidRDefault="0050403F">
      <w:pPr>
        <w:rPr>
          <w:noProof/>
        </w:rPr>
      </w:pPr>
      <w:r>
        <w:rPr>
          <w:noProof/>
        </w:rPr>
        <w:t>„6.</w:t>
      </w:r>
      <w:r>
        <w:rPr>
          <w:noProof/>
        </w:rPr>
        <w:tab/>
        <w:t>týždenný pracovný čas podľa článkov 4 a 5 smernice 2002/15/ES.“;</w:t>
      </w:r>
    </w:p>
    <w:p w:rsidR="00012300" w:rsidRDefault="0050403F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 časti B sa dopĺňa tento bod 4:</w:t>
      </w:r>
    </w:p>
    <w:p w:rsidR="00012300" w:rsidRDefault="0050403F">
      <w:pPr>
        <w:rPr>
          <w:noProof/>
        </w:rPr>
      </w:pPr>
      <w:r>
        <w:rPr>
          <w:noProof/>
        </w:rPr>
        <w:t>„4.</w:t>
      </w:r>
      <w:r>
        <w:rPr>
          <w:noProof/>
        </w:rPr>
        <w:tab/>
        <w:t>týždenný pracovný čas, prestávky a nočná práca podľa článkov 4, 5 a 7 smernice 2002/15/ES.“.</w:t>
      </w:r>
    </w:p>
    <w:p w:rsidR="00012300" w:rsidRDefault="0050403F">
      <w:pPr>
        <w:pStyle w:val="Titrearticle"/>
        <w:rPr>
          <w:noProof/>
        </w:rPr>
      </w:pPr>
      <w:r>
        <w:rPr>
          <w:noProof/>
        </w:rPr>
        <w:t>Článok 2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V tomto článku s</w:t>
      </w:r>
      <w:r>
        <w:rPr>
          <w:noProof/>
        </w:rPr>
        <w:t xml:space="preserve">a stanovujú špecifické pravidlá, pokiaľ ide o určité aspekty smernice 96/71/ES týkajúce sa vysielania vodičov v odvetví cestnej dopravy a smernice Európskeho parlamentu a Rady 2014/67/EÚ týkajúce sa administratívnych požiadaviek a kontrolných opatrení pri </w:t>
      </w:r>
      <w:r>
        <w:rPr>
          <w:noProof/>
        </w:rPr>
        <w:t>vysielaní dotknutých vodičov.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Členské štáty pri vykonávaní operácií medzinárodnej cestnej dopravy podľa vymedzenia v nariadeniach 1072/2009 a 1073/2009 neuplatňujú článok 3 ods. 1 prvý pododsek písm. b) a c) smernice 96/71/ES na vodičov v odvetví cestne</w:t>
      </w:r>
      <w:r>
        <w:rPr>
          <w:noProof/>
        </w:rPr>
        <w:t xml:space="preserve">j dopravy zamestnaných v podnikoch uvedených v článku 1 ods. 3 písm. a) uvedenej smernice, ak obdobie ich vyslania na ich územie sú 3 dni alebo menej počas jedného kalendárneho mesiaca. </w:t>
      </w:r>
    </w:p>
    <w:p w:rsidR="00012300" w:rsidRDefault="0050403F">
      <w:pPr>
        <w:rPr>
          <w:noProof/>
        </w:rPr>
      </w:pPr>
      <w:r>
        <w:rPr>
          <w:noProof/>
        </w:rPr>
        <w:t>Ak je obdobie vyslania dlhšie než 3 dni, členské štáty uplatňujú člán</w:t>
      </w:r>
      <w:r>
        <w:rPr>
          <w:noProof/>
        </w:rPr>
        <w:t xml:space="preserve">ok 3 ods. 1 prvý pododsek písm. b) a c) smernice 96/71/ES na celé obdobie vyslania vodičov na ich územie počas jedného kalendárneho mesiaca, ako sa uvádza v prvom pododseku. 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3. Na účely výpočtu období vyslania vodičov uvedených v odseku 2: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denný pracov</w:t>
      </w:r>
      <w:r>
        <w:rPr>
          <w:noProof/>
        </w:rPr>
        <w:t>ný čas kratší než šesť hodín strávený na území hostiteľského členského štátu sa považuje za pol pracovného dňa;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šesť- alebo viachodinový denný pracovný čas strávený na území hostiteľského členského štátu sa považuje za plný pracovný deň;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prestávky a </w:t>
      </w:r>
      <w:r>
        <w:rPr>
          <w:noProof/>
        </w:rPr>
        <w:t>čas odpočinku, ako aj čas pracovnej pohotovosti strávené na území hostiteľského členského štátu sa považujú za pracovný čas.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Členské štáty môžu stanoviť len tieto administratívne požiadavky a kontrolné opatrenia: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uložiť prevádzkovateľovi cestnej dopr</w:t>
      </w:r>
      <w:r>
        <w:rPr>
          <w:noProof/>
        </w:rPr>
        <w:t>avy so sídlom v inom členskom štátne povinnosť zaslať vnútroštátnemu príslušnému orgánu vyhlásenie o vyslaní pracovníkov najneskôr pri začiatku ich vyslania, a to v elektronickej podobe a úradnom jazyku predmetného hostiteľského členského štátu alebo v ang</w:t>
      </w:r>
      <w:r>
        <w:rPr>
          <w:noProof/>
        </w:rPr>
        <w:t>lickom jazyku len s týmito údajmi:</w:t>
      </w:r>
    </w:p>
    <w:p w:rsidR="00012300" w:rsidRDefault="0050403F">
      <w:pPr>
        <w:autoSpaceDE w:val="0"/>
        <w:autoSpaceDN w:val="0"/>
        <w:ind w:left="709"/>
        <w:rPr>
          <w:rFonts w:eastAsiaTheme="minorEastAsia"/>
          <w:noProof/>
          <w:szCs w:val="24"/>
        </w:rPr>
      </w:pPr>
      <w:r>
        <w:rPr>
          <w:noProof/>
        </w:rPr>
        <w:t>i)</w:t>
      </w:r>
      <w:r>
        <w:rPr>
          <w:noProof/>
        </w:rPr>
        <w:tab/>
        <w:t>totožnosť prevádzkovateľa cestnej dopravy;</w:t>
      </w:r>
    </w:p>
    <w:p w:rsidR="00012300" w:rsidRDefault="0050403F">
      <w:pPr>
        <w:autoSpaceDE w:val="0"/>
        <w:autoSpaceDN w:val="0"/>
        <w:ind w:left="1440" w:hanging="731"/>
        <w:rPr>
          <w:rFonts w:eastAsiaTheme="minorEastAsia"/>
          <w:noProof/>
          <w:szCs w:val="24"/>
        </w:rPr>
      </w:pPr>
      <w:r>
        <w:rPr>
          <w:noProof/>
        </w:rPr>
        <w:t>ii)</w:t>
      </w:r>
      <w:r>
        <w:rPr>
          <w:noProof/>
        </w:rPr>
        <w:tab/>
        <w:t>kontaktné údaje vedúceho dopravy alebo inej kontaktnej osoby (osôb) v členskom štáte, v ktorom má prevádzkovateľ sídlo, na nadviazanie kontaktu s príslušnými orgánmi hosti</w:t>
      </w:r>
      <w:r>
        <w:rPr>
          <w:noProof/>
        </w:rPr>
        <w:t>teľského členského štátu, v ktorom sa služby poskytujú, a na zasielanie a prijímanie dokumentov alebo oznámení;</w:t>
      </w:r>
    </w:p>
    <w:p w:rsidR="00012300" w:rsidRDefault="0050403F">
      <w:pPr>
        <w:autoSpaceDE w:val="0"/>
        <w:autoSpaceDN w:val="0"/>
        <w:ind w:left="709"/>
        <w:rPr>
          <w:rFonts w:eastAsiaTheme="minorEastAsia"/>
          <w:noProof/>
          <w:szCs w:val="24"/>
        </w:rPr>
      </w:pPr>
      <w:r>
        <w:rPr>
          <w:noProof/>
        </w:rPr>
        <w:t>iii)</w:t>
      </w:r>
      <w:r>
        <w:rPr>
          <w:noProof/>
        </w:rPr>
        <w:tab/>
        <w:t>predpokladaný počet a totožnosť vyslaných vodičov;</w:t>
      </w:r>
    </w:p>
    <w:p w:rsidR="00012300" w:rsidRDefault="0050403F">
      <w:pPr>
        <w:autoSpaceDE w:val="0"/>
        <w:autoSpaceDN w:val="0"/>
        <w:ind w:firstLine="720"/>
        <w:rPr>
          <w:rFonts w:eastAsiaTheme="minorEastAsia"/>
          <w:noProof/>
          <w:szCs w:val="24"/>
        </w:rPr>
      </w:pPr>
      <w:r>
        <w:rPr>
          <w:noProof/>
        </w:rPr>
        <w:t>iv)</w:t>
      </w:r>
      <w:r>
        <w:rPr>
          <w:noProof/>
        </w:rPr>
        <w:tab/>
        <w:t>predpokladané trvanie vyslania, jeho začiatok a koniec;</w:t>
      </w:r>
    </w:p>
    <w:p w:rsidR="00012300" w:rsidRDefault="0050403F">
      <w:pPr>
        <w:autoSpaceDE w:val="0"/>
        <w:autoSpaceDN w:val="0"/>
        <w:ind w:left="709"/>
        <w:rPr>
          <w:rFonts w:eastAsiaTheme="minorEastAsia"/>
          <w:noProof/>
          <w:szCs w:val="24"/>
        </w:rPr>
      </w:pPr>
      <w:r>
        <w:rPr>
          <w:noProof/>
        </w:rPr>
        <w:t>v)</w:t>
      </w:r>
      <w:r>
        <w:rPr>
          <w:noProof/>
        </w:rPr>
        <w:tab/>
        <w:t xml:space="preserve">evidenčné čísla vozidiel </w:t>
      </w:r>
      <w:r>
        <w:rPr>
          <w:noProof/>
        </w:rPr>
        <w:t>použitých pri vyslaní vodičov;</w:t>
      </w:r>
    </w:p>
    <w:p w:rsidR="00012300" w:rsidRDefault="0050403F">
      <w:pPr>
        <w:autoSpaceDE w:val="0"/>
        <w:autoSpaceDN w:val="0"/>
        <w:ind w:left="1440" w:hanging="720"/>
        <w:rPr>
          <w:rFonts w:eastAsiaTheme="minorEastAsia"/>
          <w:noProof/>
          <w:szCs w:val="24"/>
        </w:rPr>
      </w:pPr>
      <w:r>
        <w:rPr>
          <w:noProof/>
        </w:rPr>
        <w:t>vi)</w:t>
      </w:r>
      <w:r>
        <w:rPr>
          <w:noProof/>
        </w:rPr>
        <w:tab/>
        <w:t>typ dopravných služieb, teda doprava tovaru, doprava osôb, medzinárodná doprava, kabotáž;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 xml:space="preserve">uložiť vodičovi povinnosť uchovávať a na požiadanie pri cestnej kontrole poskytnúť v papierovej alebo elektronickej podobe kópiu vyhlásenia o vyslaní a dôkaz o tom, že prepravná operácia sa uskutočňuje v hostiteľskom členskom štáte, napríklad elektronický </w:t>
      </w:r>
      <w:r>
        <w:rPr>
          <w:noProof/>
        </w:rPr>
        <w:t xml:space="preserve">nákladný list (e-CMR) alebo dôkaz uvedený v článku 8 nariadenia Európskeho parlamentu a Rady (ES) č. 1072/2009; 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uložiť vodičovi povinnosť uchovávať a na požiadanie pri cestnej kontrole poskytnúť záznamy tachografu, a predovšetkým kódy členských štátov,</w:t>
      </w:r>
      <w:r>
        <w:rPr>
          <w:noProof/>
        </w:rPr>
        <w:t xml:space="preserve"> v ktorých sa vodič nachádzal pri vykonávaní operácií medzinárodnej cestnej dopravy alebo kabotáže; 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uložiť vodičovi povinnosť uchovávať a na požiadanie pri cestnej kontrole poskytnúť v papierovej alebo elektronickej podobe kópiu pracovnej zmluvy alebo </w:t>
      </w:r>
      <w:r>
        <w:rPr>
          <w:noProof/>
        </w:rPr>
        <w:t>rovnocenného dokladu v zmysle článku 3 smernice Rady 91/533/EHS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v preklade do jedného z úradných jazykov hostiteľského členského štátu alebo do anglického jazyka;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uložiť vodičovi povinnosť na požiadanie pri cestnej kontrole poskytnúť v papierovej alebo</w:t>
      </w:r>
      <w:r>
        <w:rPr>
          <w:noProof/>
        </w:rPr>
        <w:t xml:space="preserve"> elektronickej podobe kópiu výplatných pások z uplynulých dvoch mesiacov; počas cestnej kontroly sa môže vodič obrátiť na ústredie, vedúceho dopravy alebo inú osobu alebo subjekt, ktoré môžu poskytnúť túto kópiu;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uložiť prevádzkovateľovi cestnej dopravy</w:t>
      </w:r>
      <w:r>
        <w:rPr>
          <w:noProof/>
        </w:rPr>
        <w:t xml:space="preserve"> povinnosť na žiadosť orgánov hostiteľského členského štátu po období vyslania vodiča v primeranej lehote dodať v papierovej alebo elektronickej podobe kópie dokumentov uvedených v písmenách b), c) a e). 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Na účely odseku 4 písm. a) môže prevádzkovateľ c</w:t>
      </w:r>
      <w:r>
        <w:rPr>
          <w:noProof/>
        </w:rPr>
        <w:t xml:space="preserve">estnej dopravy poskytnúť vyhlásenie o vyslaní vodiča, ktoré sa vzťahuje na maximálne šesťmesačné obdobie. </w:t>
      </w:r>
    </w:p>
    <w:p w:rsidR="00012300" w:rsidRDefault="0050403F">
      <w:pPr>
        <w:spacing w:before="100" w:beforeAutospacing="1" w:after="100" w:afterAutospacing="1"/>
        <w:ind w:left="720"/>
        <w:jc w:val="center"/>
        <w:rPr>
          <w:iCs/>
          <w:noProof/>
          <w:color w:val="000000"/>
        </w:rPr>
      </w:pPr>
      <w:r>
        <w:rPr>
          <w:noProof/>
          <w:color w:val="000000"/>
        </w:rPr>
        <w:t>Článok 3</w:t>
      </w:r>
    </w:p>
    <w:p w:rsidR="00012300" w:rsidRDefault="0050403F">
      <w:pPr>
        <w:pStyle w:val="Point0"/>
        <w:ind w:left="0" w:firstLine="0"/>
        <w:rPr>
          <w:noProof/>
          <w:lang w:eastAsia="en-GB" w:bidi="ar-SA"/>
        </w:rPr>
      </w:pPr>
      <w:r>
        <w:rPr>
          <w:noProof/>
          <w:lang w:eastAsia="en-GB" w:bidi="ar-SA"/>
        </w:rPr>
        <w:t>1.</w:t>
      </w:r>
      <w:r>
        <w:rPr>
          <w:noProof/>
          <w:lang w:eastAsia="en-GB" w:bidi="ar-SA"/>
        </w:rPr>
        <w:tab/>
        <w:t>Komisia [do 3 rokov od dátumu transpozície tejto smernice] posúdi vykonávanie tejto smernice, predovšetkým vplyvu článku 2 a o uplatňovan</w:t>
      </w:r>
      <w:r>
        <w:rPr>
          <w:noProof/>
          <w:lang w:eastAsia="en-GB" w:bidi="ar-SA"/>
        </w:rPr>
        <w:t xml:space="preserve">í smernice podá správu Európskemu parlamentu a Rade. K správe Komisie sa podľa potreby pripojí legislatívny návrh. 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Komisia po predložení správy uvedenej v odseku 1 túto smernicu pravidelne posudzuje a výsledky posúdenia prekladá Európskemu parlamentu a</w:t>
      </w:r>
      <w:r>
        <w:rPr>
          <w:noProof/>
        </w:rPr>
        <w:t xml:space="preserve"> Rade. </w:t>
      </w:r>
    </w:p>
    <w:p w:rsidR="00012300" w:rsidRDefault="0050403F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K správam uvedeným v odsekoch 1 a 2 sa prípadne priložia príslušné návrhy.</w:t>
      </w:r>
    </w:p>
    <w:p w:rsidR="00012300" w:rsidRDefault="00012300">
      <w:pPr>
        <w:pStyle w:val="Point0"/>
        <w:rPr>
          <w:noProof/>
        </w:rPr>
      </w:pPr>
    </w:p>
    <w:p w:rsidR="00012300" w:rsidRDefault="0050403F">
      <w:pPr>
        <w:pStyle w:val="Titrearticle"/>
        <w:keepLines/>
        <w:rPr>
          <w:noProof/>
        </w:rPr>
      </w:pPr>
      <w:r>
        <w:rPr>
          <w:noProof/>
        </w:rPr>
        <w:t xml:space="preserve">Článok 4 </w:t>
      </w:r>
    </w:p>
    <w:p w:rsidR="00012300" w:rsidRDefault="0050403F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Členské štáty prijmú a uverejnia najneskôr do […] [lehota na transpozíciu bude čo najkratšia a vo všeobecnosti nie dlhšia než dva roky] zákony, iné právne </w:t>
      </w:r>
      <w:r>
        <w:rPr>
          <w:noProof/>
        </w:rPr>
        <w:t>predpisy a správne opatrenia potrebné na dosiahnutie súladu s touto smernicou. Komisii bezodkladne oznámia znenie týchto ustanovení.</w:t>
      </w:r>
    </w:p>
    <w:p w:rsidR="00012300" w:rsidRDefault="0050403F">
      <w:pPr>
        <w:pStyle w:val="Text1"/>
        <w:rPr>
          <w:noProof/>
        </w:rPr>
      </w:pPr>
      <w:r>
        <w:rPr>
          <w:noProof/>
        </w:rPr>
        <w:t>Tieto ustanovenia uplatňujú od […].</w:t>
      </w:r>
    </w:p>
    <w:p w:rsidR="00012300" w:rsidRDefault="0050403F">
      <w:pPr>
        <w:pStyle w:val="Text1"/>
        <w:rPr>
          <w:noProof/>
        </w:rPr>
      </w:pPr>
      <w:r>
        <w:rPr>
          <w:noProof/>
        </w:rPr>
        <w:t>Členské štáty uvedú priamo v prijatých ustanoveniach alebo pri ich úradnom uverejnení o</w:t>
      </w:r>
      <w:r>
        <w:rPr>
          <w:noProof/>
        </w:rPr>
        <w:t>dkaz na túto smernicu. Podrobnosti o odkaze upravia členské štáty.</w:t>
      </w:r>
    </w:p>
    <w:p w:rsidR="00012300" w:rsidRDefault="0050403F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Členské štáty oznámia Komisii znenie hlavných ustanovení vnútroštátnych právnych predpisov, ktoré prijmú v oblasti pôsobnosti tejto smernice.</w:t>
      </w:r>
    </w:p>
    <w:p w:rsidR="00012300" w:rsidRDefault="0050403F">
      <w:pPr>
        <w:pStyle w:val="Titrearticle"/>
        <w:rPr>
          <w:noProof/>
        </w:rPr>
      </w:pPr>
      <w:r>
        <w:rPr>
          <w:noProof/>
        </w:rPr>
        <w:t>Článok 5</w:t>
      </w:r>
    </w:p>
    <w:p w:rsidR="00012300" w:rsidRDefault="0050403F">
      <w:pPr>
        <w:rPr>
          <w:noProof/>
        </w:rPr>
      </w:pPr>
      <w:r>
        <w:rPr>
          <w:noProof/>
        </w:rPr>
        <w:t>Táto smernica nadobúda účinnosť  dň</w:t>
      </w:r>
      <w:r>
        <w:rPr>
          <w:noProof/>
        </w:rPr>
        <w:t xml:space="preserve">om po jej uverejnení v </w:t>
      </w:r>
      <w:r>
        <w:rPr>
          <w:i/>
          <w:noProof/>
        </w:rPr>
        <w:t>Úradnom vestníku Európskej únie</w:t>
      </w:r>
      <w:r>
        <w:rPr>
          <w:noProof/>
        </w:rPr>
        <w:t>.</w:t>
      </w:r>
    </w:p>
    <w:p w:rsidR="00012300" w:rsidRDefault="0050403F">
      <w:pPr>
        <w:pStyle w:val="Titrearticle"/>
        <w:rPr>
          <w:noProof/>
        </w:rPr>
      </w:pPr>
      <w:r>
        <w:rPr>
          <w:noProof/>
        </w:rPr>
        <w:t>Článok 6</w:t>
      </w:r>
    </w:p>
    <w:p w:rsidR="00012300" w:rsidRDefault="0050403F">
      <w:pPr>
        <w:keepNext/>
        <w:keepLines/>
        <w:rPr>
          <w:noProof/>
        </w:rPr>
      </w:pPr>
      <w:r>
        <w:rPr>
          <w:noProof/>
        </w:rPr>
        <w:t>Táto smernica je určená členským štátom.</w:t>
      </w:r>
    </w:p>
    <w:p w:rsidR="00012300" w:rsidRDefault="0050403F" w:rsidP="0050403F">
      <w:pPr>
        <w:pStyle w:val="Fait"/>
        <w:rPr>
          <w:noProof/>
        </w:rPr>
      </w:pPr>
      <w:r w:rsidRPr="0050403F">
        <w:t>V Bruseli</w:t>
      </w:r>
    </w:p>
    <w:p w:rsidR="00012300" w:rsidRDefault="0050403F"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 w:rsidR="00012300" w:rsidRPr="0050403F" w:rsidRDefault="0050403F"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sectPr w:rsidR="00012300" w:rsidRPr="0050403F" w:rsidSect="0050403F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735208" w15:done="0"/>
  <w15:commentEx w15:paraId="571EBF84" w15:done="0"/>
  <w15:commentEx w15:paraId="51A61726" w15:done="0"/>
  <w15:commentEx w15:paraId="52F854CC" w15:done="0"/>
  <w15:commentEx w15:paraId="1BD9F665" w15:done="0"/>
  <w15:commentEx w15:paraId="13CE4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00" w:rsidRDefault="0050403F">
      <w:pPr>
        <w:spacing w:before="0" w:after="0"/>
      </w:pPr>
      <w:r>
        <w:separator/>
      </w:r>
    </w:p>
  </w:endnote>
  <w:endnote w:type="continuationSeparator" w:id="0">
    <w:p w:rsidR="00012300" w:rsidRDefault="00504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00" w:rsidRPr="0050403F" w:rsidRDefault="0050403F" w:rsidP="0050403F">
    <w:pPr>
      <w:pStyle w:val="Footer"/>
      <w:rPr>
        <w:rFonts w:ascii="Arial" w:hAnsi="Arial" w:cs="Arial"/>
        <w:b/>
        <w:sz w:val="48"/>
      </w:rPr>
    </w:pPr>
    <w:r w:rsidRPr="0050403F">
      <w:rPr>
        <w:rFonts w:ascii="Arial" w:hAnsi="Arial" w:cs="Arial"/>
        <w:b/>
        <w:sz w:val="48"/>
      </w:rPr>
      <w:t>SK</w:t>
    </w:r>
    <w:r w:rsidRPr="0050403F">
      <w:rPr>
        <w:rFonts w:ascii="Arial" w:hAnsi="Arial" w:cs="Arial"/>
        <w:b/>
        <w:sz w:val="48"/>
      </w:rPr>
      <w:tab/>
    </w:r>
    <w:r w:rsidRPr="0050403F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50403F">
      <w:tab/>
    </w:r>
    <w:r w:rsidRPr="0050403F"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Footer"/>
      <w:rPr>
        <w:rFonts w:ascii="Arial" w:hAnsi="Arial" w:cs="Arial"/>
        <w:b/>
        <w:sz w:val="48"/>
      </w:rPr>
    </w:pPr>
    <w:r w:rsidRPr="0050403F">
      <w:rPr>
        <w:rFonts w:ascii="Arial" w:hAnsi="Arial" w:cs="Arial"/>
        <w:b/>
        <w:sz w:val="48"/>
      </w:rPr>
      <w:t>SK</w:t>
    </w:r>
    <w:r w:rsidRPr="0050403F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50403F">
      <w:tab/>
    </w:r>
    <w:r w:rsidRPr="0050403F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00" w:rsidRDefault="0050403F">
      <w:pPr>
        <w:spacing w:before="0" w:after="0"/>
      </w:pPr>
      <w:r>
        <w:separator/>
      </w:r>
    </w:p>
  </w:footnote>
  <w:footnote w:type="continuationSeparator" w:id="0">
    <w:p w:rsidR="00012300" w:rsidRDefault="0050403F">
      <w:pPr>
        <w:spacing w:before="0" w:after="0"/>
      </w:pPr>
      <w:r>
        <w:continuationSeparator/>
      </w:r>
    </w:p>
  </w:footnote>
  <w:footnote w:id="1">
    <w:p w:rsidR="00012300" w:rsidRDefault="0050403F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>
        <w:tab/>
        <w:t>KOM(2011) 144 v konečnom znení.</w:t>
      </w:r>
    </w:p>
  </w:footnote>
  <w:footnote w:id="2">
    <w:p w:rsidR="00012300" w:rsidRDefault="0050403F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>
        <w:tab/>
        <w:t>Ú. v. ES L 80, 23.3.2002, s. 35.</w:t>
      </w:r>
    </w:p>
  </w:footnote>
  <w:footnote w:id="3">
    <w:p w:rsidR="00012300" w:rsidRDefault="0050403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 xml:space="preserve">Ú. v. EÚ L 102, </w:t>
      </w:r>
      <w:r>
        <w:t>11.4.2006, s. 1.</w:t>
      </w:r>
    </w:p>
  </w:footnote>
  <w:footnote w:id="4">
    <w:p w:rsidR="00012300" w:rsidRDefault="0050403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 v. ES L 18, 21.1.1997, s. 1.</w:t>
      </w:r>
    </w:p>
  </w:footnote>
  <w:footnote w:id="5">
    <w:p w:rsidR="00012300" w:rsidRDefault="0050403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 v. EÚ L 159, 28.5.2014, s. 11.</w:t>
      </w:r>
    </w:p>
  </w:footnote>
  <w:footnote w:id="6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Hodnotenie ex post sa vzťahovalo na nariadenie (ES) č. 561/2006 o časoch jazdy, prestávkach a časoch odpočinku, smernicu 2006/22/ES o presadzovaní ustanovení nariadeni</w:t>
      </w:r>
      <w:r>
        <w:t>a a smernicu 2002/15/ES o organizácii pracovného času osôb vykonávajúcich mobilné činnosti v cestnej doprave.</w:t>
      </w:r>
    </w:p>
  </w:footnote>
  <w:footnote w:id="7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COM(2016) 128.</w:t>
      </w:r>
    </w:p>
  </w:footnote>
  <w:footnote w:id="8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Pozri poznámku pod čiarou č. 1.</w:t>
      </w:r>
    </w:p>
  </w:footnote>
  <w:footnote w:id="9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https://ec.europa.eu/transport/sites/transport/files/facts-fundings/evaluations/doc/2016-ex-post-eval-road-transport-social-legislation-final-report.pdf</w:t>
        </w:r>
      </w:hyperlink>
      <w:r>
        <w:rPr>
          <w:rStyle w:val="Hyperlink"/>
        </w:rPr>
        <w:t>.</w:t>
      </w:r>
    </w:p>
  </w:footnote>
  <w:footnote w:id="10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Zhrnutie zistení</w:t>
      </w:r>
      <w:hyperlink r:id="rId2">
        <w:r>
          <w:rPr>
            <w:rStyle w:val="Hyperlink"/>
          </w:rPr>
          <w:t>http://ec.europa.eu/transport/modes/road/consultations/2016-social-legislation-road_en</w:t>
        </w:r>
      </w:hyperlink>
      <w:r>
        <w:rPr>
          <w:rStyle w:val="Hyperlink"/>
        </w:rPr>
        <w:t>.</w:t>
      </w:r>
    </w:p>
  </w:footnote>
  <w:footnote w:id="11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 xml:space="preserve">Záverečná správa </w:t>
      </w:r>
      <w:hyperlink r:id="rId3">
        <w:r>
          <w:rPr>
            <w:rStyle w:val="Hyperlink"/>
          </w:rPr>
          <w:t>https://ec.europa.eu/transport/sites/transport/files/facts-fundings/evaluations/doc/2016-ex-post-eval-road-transport-social-legislat</w:t>
        </w:r>
        <w:r>
          <w:rPr>
            <w:rStyle w:val="Hyperlink"/>
          </w:rPr>
          <w:t>ion-final-report.pdf</w:t>
        </w:r>
      </w:hyperlink>
      <w:r>
        <w:rPr>
          <w:rStyle w:val="Hyperlink"/>
        </w:rPr>
        <w:t>.</w:t>
      </w:r>
    </w:p>
  </w:footnote>
  <w:footnote w:id="12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13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Ú. v. EÚ C , , s. .</w:t>
      </w:r>
    </w:p>
  </w:footnote>
  <w:footnote w:id="14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 xml:space="preserve">Nariadenie Európskeho parlamentu a Rady (EÚ) č. 182/2011 zo 16. februára 2011, ktorým sa ustanovujú pravidlá a všeobecné zásady mechanizmu, na základe ktorého členské štáty kontrolujú </w:t>
      </w:r>
      <w:r>
        <w:t>vykonávanie vykonávacích právomocí Komisie (Ú. v. EÚ L 55, 28.2.2011, s. 13).</w:t>
      </w:r>
    </w:p>
  </w:footnote>
  <w:footnote w:id="15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Smernica Európskeho parlamentu a Rady 96/71/ES zo 16. decembra 1996 o vysielaní pracovníkov v rámci poskytovania služieb (Ú. v. ES L 18, 21.1.97, s. 1).</w:t>
      </w:r>
    </w:p>
  </w:footnote>
  <w:footnote w:id="16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Smernica Európskeho p</w:t>
      </w:r>
      <w:r>
        <w:t>arlamentu a Rady 2014/67/EÚ z 15. mája 2014 o presadzovaní smernice 96/71/ES o vysielaní pracovníkov v rámci poskytovania služieb, ktorou sa mení nariadenie (EÚ) č. 1024/2012 o administratívnej spolupráci prostredníctvom informačného systému o vnútornom tr</w:t>
      </w:r>
      <w:r>
        <w:t>hu („nariadenie o IMI“) (Ú. v. EÚ L 159, 28.5.2014, s. 11).</w:t>
      </w:r>
    </w:p>
  </w:footnote>
  <w:footnote w:id="17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COM(2016) 128.</w:t>
      </w:r>
    </w:p>
  </w:footnote>
  <w:footnote w:id="18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 Rady (ES) č. 1072/2009 z 21. októbra 2009 o spoločných pravidlách prístupu nákladnej cestnej dopravy na medzinárodný trh (Ú. v. EÚ L 300, 14.1</w:t>
      </w:r>
      <w:r>
        <w:t>1.2009, s. 72).</w:t>
      </w:r>
    </w:p>
  </w:footnote>
  <w:footnote w:id="19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 Rady (ES) č. 1073/2009 z 21. októbra 2009 o spoločných pravidlách prístupu na medzinárodný trh autokarovej a autobusovej dopravy a o zmene a doplnení nariadenia (ES) č. 561/2006 (Ú. v. EÚ L 300, 14.11.20</w:t>
      </w:r>
      <w:r>
        <w:t>09, s. 88).</w:t>
      </w:r>
    </w:p>
  </w:footnote>
  <w:footnote w:id="20">
    <w:p w:rsidR="00012300" w:rsidRDefault="0050403F">
      <w:pPr>
        <w:pStyle w:val="FootnoteText"/>
      </w:pPr>
      <w:r>
        <w:rPr>
          <w:rStyle w:val="FootnoteReference"/>
        </w:rPr>
        <w:footnoteRef/>
      </w:r>
      <w:r>
        <w:tab/>
        <w:t>Smernica Rady 91/533/EHS zo 14. októbra 1991 o povinnosti zamestnávateľa informovať zamestnancov o podmienkach vzťahujúcich sa na zmluvu alebo na pracovno-právny vzťah (Ú. v. ES L 288, 18.10.1991, s. 32).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3F" w:rsidRPr="0050403F" w:rsidRDefault="0050403F" w:rsidP="00504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64AAE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CFC01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48AB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3BE73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7A74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747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1AD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7 09:40:0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/EU RESTRICTED"/>
    <w:docVar w:name="LW_CORRIGENDUM" w:val="&lt;UNUSED&gt;"/>
    <w:docVar w:name="LW_COVERPAGE_GUID" w:val="ED6A2A31D1A94DD2A7636A18994282D2"/>
    <w:docVar w:name="LW_CROSSREFERENCE" w:val="{SWD(2017) 184 final}_x000a_{SWD(2017) 185 final}_x000a_{SWD(2017) 186 final}_x000a_{SWD(2017) 187 final}"/>
    <w:docVar w:name="LW_DocType" w:val="COM"/>
    <w:docVar w:name="LW_EMISSION" w:val="31.5.2017"/>
    <w:docVar w:name="LW_EMISSION_ISODATE" w:val="2017-05-31"/>
    <w:docVar w:name="LW_EMISSION_LOCATION" w:val="BRX"/>
    <w:docVar w:name="LW_EMISSION_PREFIX" w:val="V Bruseli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STATUT" w:val="SJ-024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21"/>
    <w:docVar w:name="LW_REF.II.NEW.CP_YEAR" w:val="2017"/>
    <w:docVar w:name="LW_REF.INST.NEW" w:val="COM"/>
    <w:docVar w:name="LW_REF.INST.NEW_ADOPTED" w:val="final"/>
    <w:docVar w:name="LW_REF.INST.NEW_TEXT" w:val="(2017) 278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orou sa mení smernica 2006/22/ES, pokia\u318? ide o po\u382?iadavky týkajúce sa dodr\u382?iavania predpisov, a ktorou sa stanovujú konkrétne pravidlá vzh\u318?adom na smernicu 96/71/ES a smernicu 2014/67/EÚ v oblasti vysielania vodi\u269?ov v odvetví cestnej dopravy "/>
    <w:docVar w:name="LW_TYPE.DOC.CP" w:val="SMERNICA EURÓPSKEHO PARLAMENTU A RADY,"/>
  </w:docVars>
  <w:rsids>
    <w:rsidRoot w:val="00012300"/>
    <w:rsid w:val="00012300"/>
    <w:rsid w:val="0050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1209"/>
      </w:tabs>
      <w:ind w:left="1209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customStyle="1" w:styleId="italic1">
    <w:name w:val="italic1"/>
    <w:basedOn w:val="DefaultParagraphFont"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0403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403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0403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pPr>
      <w:numPr>
        <w:numId w:val="1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tabs>
        <w:tab w:val="clear" w:pos="926"/>
        <w:tab w:val="num" w:pos="1209"/>
      </w:tabs>
      <w:ind w:left="1209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customStyle="1" w:styleId="italic1">
    <w:name w:val="italic1"/>
    <w:basedOn w:val="DefaultParagraphFont"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0403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403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0403F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transport/sites/transport/files/facts-fundings/evaluations/doc/2016-ex-post-eval-road-transport-social-legislation-final-report.pdf" TargetMode="External"/><Relationship Id="rId2" Type="http://schemas.openxmlformats.org/officeDocument/2006/relationships/hyperlink" Target="http://ec.europa.eu/transport/modes/road/consultations/2016-social-legislation-road_en" TargetMode="External"/><Relationship Id="rId1" Type="http://schemas.openxmlformats.org/officeDocument/2006/relationships/hyperlink" Target="https://ec.europa.eu/transport/sites/transport/files/facts-fundings/evaluations/doc/2016-ex-post-eval-road-transport-social-legislation-final-repo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C90F-5186-4940-A613-D31714F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6269</Words>
  <Characters>38936</Characters>
  <Application>Microsoft Office Word</Application>
  <DocSecurity>0</DocSecurity>
  <Lines>648</Lines>
  <Paragraphs>252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19</cp:revision>
  <cp:lastPrinted>2017-05-28T07:40:00Z</cp:lastPrinted>
  <dcterms:created xsi:type="dcterms:W3CDTF">2017-06-01T15:00:00Z</dcterms:created>
  <dcterms:modified xsi:type="dcterms:W3CDTF">2017-06-07T08:59:00Z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SJ-024</vt:lpwstr>
  </property>
  <property fmtid="{D5CDD505-2E9C-101B-9397-08002B2CF9AE}" pid="10" name="DQCStatus">
    <vt:lpwstr>Yellow (DQC version 03)</vt:lpwstr>
  </property>
</Properties>
</file>