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4612D52E7C045F4A4FE4C4CFB4AC1F7" style="width:450.75pt;height:43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0" w:after="200" w:line="276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lastRenderedPageBreak/>
        <w:t>I priedas</w:t>
      </w:r>
      <w:r>
        <w:rPr>
          <w:b/>
          <w:noProof/>
          <w:sz w:val="28"/>
          <w:szCs w:val="28"/>
        </w:rPr>
        <w:br/>
      </w:r>
      <w:r>
        <w:rPr>
          <w:b/>
          <w:noProof/>
          <w:sz w:val="28"/>
        </w:rPr>
        <w:t>Duomenys, kurie turi būti stebimi ir teikiami</w:t>
      </w:r>
    </w:p>
    <w:p>
      <w:pPr>
        <w:pStyle w:val="ManualHeading1"/>
        <w:rPr>
          <w:noProof/>
        </w:rPr>
      </w:pPr>
      <w:r>
        <w:rPr>
          <w:noProof/>
        </w:rPr>
        <w:t xml:space="preserve">A dalis. </w:t>
      </w:r>
      <w:r>
        <w:rPr>
          <w:noProof/>
        </w:rPr>
        <w:tab/>
        <w:t>Duomenys, kuriuos turi stebėti ir teikti valstybės narės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visų valstybės narės teritorijoje užregistruotų naujų transporto priemonių, nurodytų 2 straipsnio a ir b punktuose, identifikavimo numeriai;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gamintojo pavadinimas;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markė (gamintojo prekės pavadinimas);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kėbulo kodas, nurodytas atitikties liudijimo 38 įraše, jei taikoma;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2 straipsnio a dalyje nurodytų transporto priemonių atveju – informacija apie variklį, kaip nurodyta atitikties liudijimo 23, 23.1 ir 26 įrašuose.</w:t>
      </w:r>
    </w:p>
    <w:p>
      <w:pPr>
        <w:pStyle w:val="ManualHeading1"/>
        <w:ind w:left="1440" w:hanging="1440"/>
        <w:rPr>
          <w:noProof/>
        </w:rPr>
      </w:pPr>
      <w:r>
        <w:rPr>
          <w:noProof/>
        </w:rPr>
        <w:t xml:space="preserve">B dalis. </w:t>
      </w:r>
      <w:r>
        <w:rPr>
          <w:noProof/>
        </w:rPr>
        <w:tab/>
        <w:t>Duomenys, kuriuos turi stebėti ir teikti sunkiųjų transporto priemonių gamintojai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661"/>
        <w:gridCol w:w="1725"/>
        <w:gridCol w:w="2216"/>
      </w:tblGrid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Nr.</w:t>
            </w:r>
          </w:p>
        </w:tc>
        <w:tc>
          <w:tcPr>
            <w:tcW w:w="4661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Stebimieji parametrai</w:t>
            </w:r>
          </w:p>
        </w:tc>
        <w:tc>
          <w:tcPr>
            <w:tcW w:w="1725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Šaltinis</w:t>
            </w:r>
            <w:r>
              <w:rPr>
                <w:noProof/>
                <w:color w:val="000000"/>
                <w:sz w:val="22"/>
              </w:rPr>
              <w:t xml:space="preserve"> Reglamento [.../...] I priedo 1 priedėlis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216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Aprašymas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transporto priemonės identifikavimo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1.1.1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  <w:color w:val="000000"/>
              </w:rPr>
              <w:t>Transporto priemonės ir sudedamųjų dalių identifikavimas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variklio sertifikavimo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1.2.1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CdxA (pasipriešinimo koeficiento, padauginto iš priekinės dalies ploto) sertifikavimo numeris (jei yra)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1.8.2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pavarų dėžės sertifikavimo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1.3.2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ašies sertifikavimo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1.7.2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1-os ašies padangų sertifikavimo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1.9.2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2-os ašies padangų sertifikavimo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3-os ašies padangų sertifikavimo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1.9.10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4-os ašies padangų sertifikavimo numeris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transporto priemonės kategorija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1.1.2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Transporto priemonės klasifikacija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ašių konfigūracija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didžiausia leidžiamoji transporto priemonės masė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transporto priemonių grupė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gamintojo pavadinimas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1.1.6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Transporto </w:t>
            </w:r>
            <w:r>
              <w:rPr>
                <w:noProof/>
              </w:rPr>
              <w:lastRenderedPageBreak/>
              <w:t>priemonės ir važiuoklės specifikacijos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15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markė (gamintojo prekės pavadinimas)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16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patikslinta faktinė transporto priemonės masė be krovinio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1.1.8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vardinė variklio galia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1.2.2.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Pagrindinės variklio specifikacijos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variklio sukimosi dažnis tuščiąja eiga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variklio vardinis sukimosi dažnis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variklio darbinis tūris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variklio etaloninių degalų tipas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1.2.6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sertifikavimo parinktis CdxA vertei gauti (numatytoji arba išmatuota vertė)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1.8.1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Aerodinamika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CdxA vertė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1.8.3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gamintojo pavadinimas ir adresas: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Pagrindinės pavaros specifikacijos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markė (gamintojo prekės pavadinimas)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sertifikavimo parinktis Transporto priemonės energijos sąnaudų skaičiavimo priemonės (VECTO) nuostolių erdviniam modeliui gauti (standartinės vertės, 1 metodas arba 2 metodas)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pavarų dėžės tipas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pavarų skaičius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pagrindinės pavaros perdavimo skaičius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lėtintuvas (taip / ne)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galios perdavimo įrenginys (taip / ne)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1.3.7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gamintojo pavadinimas ir adresas: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</w:p>
          <w:p>
            <w:pPr>
              <w:spacing w:before="100" w:beforeAutospacing="1" w:after="100" w:afterAutospacing="1" w:line="276" w:lineRule="auto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Pagrindinės ašies specifikacijos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markė (gamintojo prekės pavadinimas)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sertifikavimo parinktis Transporto priemonės energijos sąnaudų skaičiavimo priemonės (VECTO) nuostolių erdviniam modeliui gauti (standartinės arba išmatuotos vertės)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1.7.1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ašies tipas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1.7.3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varančiosios ašies perdavimo skaičius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1.7.4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sertifikavimo parinktis Transporto priemonės energijos sąnaudų skaičiavimo priemonės (VECTO) nuostolių erdviniam modeliui gauti (standartinės arba išmatuotos vertės)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1.6.1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Kampinės pavaros specifikacijos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kampinės pavaros perdavimo skaičius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1.6.2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39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gamintojo pavadinimas ir adresas: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Pagrindinės padangų specifikacijos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markė (gamintojo prekės pavadinimas)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1-os ašies padangų matmenys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visų 1-os ašies padangų (kairėje / dešinėje) savitasis riedėjimo varžos koeficientas (RRC)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2-os ašies padangų matmenys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2-a ašis sudvejinta (taip / ne)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visų 2-os ašies padangų (kairėje / dešinėje) RRC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3-os ašies padangų matmenys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1.9.8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3-a ašis sudvejinta (taip / ne)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1.9.9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visų 3-os ašies padangų (kairėje / dešinėje) RRC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1.9.11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4-os ašies padangų matmenys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4-a ašis sudvejinta (taip / ne)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4-os ašies RRC (kairėje / dešinėje) 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1.9.15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variklio aušinimo ventiliatorius (taip / ne; jei taip, nurodykite tipą)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Pagrindinės pagalbinės įrangos specifikacijos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vairo stiprintuvas (taip / ne; jei taip, nurodykite tipą)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elektros sistema (taip / ne; jei taip, nurodykite tipą)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pneumatinė sistema (taip / ne; jei taip, nurodykite tipą)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1.10.4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paskirtis (tolimojo susisiekimo, regioninio, miesto, statybų)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2.1.1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  <w:sz w:val="23"/>
              </w:rPr>
              <w:t>Modeliavimo parametrai (kiekvienam paskirties, krovinio ir degalų deriniui)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krovinys (kaip apibrėžta Transporto priemonės energijos sąnaudų skaičiavimo priemonėje VECTO)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2.1.2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Bendra modeliuojamos transporto priemonės masė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2.1.4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vidutinis greitis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Transporto priemonės vairavimo veiksmingumas (kiekvienam paskirties pobūdžio, krovinio ir degalų deriniui)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mažiausias akimirkinis greitis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didžiausias akimirkinis greitis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didžiausias lėtėjimas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didžiausias greitėjimas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2.2.5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važiavimo visa apkrova procentinė laiko dalis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2.2.6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65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bendras pavarų perjungimų skaičius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2.2.7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bendras nuvažiuotas atstumas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2.2.8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išmetamo CO</w:t>
            </w:r>
            <w:r>
              <w:rPr>
                <w:noProof/>
                <w:color w:val="000000"/>
                <w:sz w:val="22"/>
                <w:vertAlign w:val="subscript"/>
              </w:rPr>
              <w:t>2</w:t>
            </w:r>
            <w:r>
              <w:rPr>
                <w:noProof/>
                <w:color w:val="000000"/>
                <w:sz w:val="22"/>
              </w:rPr>
              <w:t xml:space="preserve"> kiekis 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(išreikštas g/km, g/t-km, g/p-km, g/m³-km)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2.3.13–2.3.16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išmetamo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kiekis ir degalų sąnaudos </w:t>
            </w:r>
            <w:r>
              <w:rPr>
                <w:noProof/>
                <w:sz w:val="23"/>
              </w:rPr>
              <w:t>(kiekvienam paskirties, krovinio ir degalų deriniui)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degalų sąnaudos 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(išreikštos l/100 km, l/t-km, l/p-km, l/m³-km, MJ/km, MJ/t-km, MJ/p-km, MJ/m³-km)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2.3.1–2.3.12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Transporto priemonės energijos sąnaudų skaičiavimo priemonės (VECTO) versija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3.1.1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Informacija apie programinę įrangą ir naudotoją</w:t>
            </w: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Modeliavimo Transporto priemonės energijos sąnaudų skaičiavimo priemone data ir laikas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3.1.2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Transporto priemonės energijos sąnaudų skaičiavimo priemonės naudotojo arba licencijos nuoroda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3.1.3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kriptografinės maišos kodas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3.1.4</w:t>
            </w:r>
          </w:p>
        </w:tc>
        <w:tc>
          <w:tcPr>
            <w:tcW w:w="2216" w:type="dxa"/>
            <w:vMerge/>
            <w:vAlign w:val="center"/>
          </w:tcPr>
          <w:p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>
        <w:tc>
          <w:tcPr>
            <w:tcW w:w="687" w:type="dxa"/>
            <w:vAlign w:val="center"/>
          </w:tcPr>
          <w:p>
            <w:pPr>
              <w:spacing w:before="100" w:beforeAutospacing="1" w:after="100" w:afterAutospacing="1" w:line="276" w:lineRule="auto"/>
              <w:jc w:val="lef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4661" w:type="dxa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Pažangiosios išmetamo CO</w:t>
            </w:r>
            <w:r>
              <w:rPr>
                <w:noProof/>
                <w:color w:val="000000"/>
                <w:sz w:val="22"/>
                <w:vertAlign w:val="subscript"/>
              </w:rPr>
              <w:t>2</w:t>
            </w:r>
            <w:r>
              <w:rPr>
                <w:noProof/>
                <w:color w:val="000000"/>
                <w:sz w:val="22"/>
              </w:rPr>
              <w:t xml:space="preserve"> kiekio mažinimo technologijos</w:t>
            </w:r>
          </w:p>
        </w:tc>
        <w:tc>
          <w:tcPr>
            <w:tcW w:w="1725" w:type="dxa"/>
            <w:vAlign w:val="center"/>
          </w:tcPr>
          <w:p>
            <w:pPr>
              <w:spacing w:before="60" w:after="60" w:line="276" w:lineRule="auto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16" w:type="dxa"/>
            <w:vAlign w:val="center"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Transporto priemonės išmetamo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kiekio mažinimo technologijos</w:t>
            </w:r>
          </w:p>
        </w:tc>
      </w:tr>
    </w:tbl>
    <w:p>
      <w:pPr>
        <w:spacing w:before="0" w:after="200" w:line="276" w:lineRule="auto"/>
        <w:jc w:val="left"/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2"/>
          <w:cols w:space="708"/>
          <w:docGrid w:linePitch="360"/>
        </w:sect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II PRIEDAS</w:t>
      </w:r>
    </w:p>
    <w:p>
      <w:pPr>
        <w:jc w:val="center"/>
        <w:rPr>
          <w:b/>
          <w:noProof/>
        </w:rPr>
      </w:pPr>
      <w:r>
        <w:rPr>
          <w:b/>
          <w:noProof/>
        </w:rPr>
        <w:t>Duomenų teikimas ir tvarkymas</w:t>
      </w:r>
    </w:p>
    <w:p>
      <w:pPr>
        <w:pStyle w:val="Heading1"/>
        <w:numPr>
          <w:ilvl w:val="0"/>
          <w:numId w:val="9"/>
        </w:numPr>
        <w:rPr>
          <w:noProof/>
        </w:rPr>
      </w:pPr>
      <w:r>
        <w:rPr>
          <w:noProof/>
        </w:rPr>
        <w:t>Valstybių narių vykdomas duomenų teikimas</w:t>
      </w:r>
    </w:p>
    <w:p>
      <w:pPr>
        <w:ind w:left="720" w:hanging="720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Nuo 2019 m. sausio 1 d. valstybės narės stebi I priedo A dalyje nurodytus kiekvienų kalendorinių metų duomenis. </w:t>
      </w:r>
    </w:p>
    <w:p>
      <w:pPr>
        <w:ind w:left="720" w:hanging="720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 xml:space="preserve">Šiuos duomenis pagal 4 straipsnį kompetentingos institucijos kontaktinis punktas elektroniniu būdu perduoda į EAA tvarkomą centrinę duomenų saugyklą. </w:t>
      </w:r>
    </w:p>
    <w:p>
      <w:pPr>
        <w:ind w:left="720"/>
        <w:jc w:val="left"/>
        <w:rPr>
          <w:noProof/>
        </w:rPr>
      </w:pPr>
      <w:r>
        <w:rPr>
          <w:noProof/>
        </w:rPr>
        <w:t>Kai duomenys perduodami, kontaktinis punktas apie tai e. paštu praneša Komisijai ir EAA šiais adresais:</w:t>
      </w:r>
      <w:r>
        <w:rPr>
          <w:noProof/>
        </w:rPr>
        <w:br/>
      </w:r>
    </w:p>
    <w:p>
      <w:pPr>
        <w:ind w:left="720"/>
        <w:jc w:val="left"/>
        <w:rPr>
          <w:noProof/>
        </w:rPr>
      </w:pPr>
      <w:r>
        <w:rPr>
          <w:noProof/>
        </w:rPr>
        <w:t>[</w:t>
      </w:r>
      <w:hyperlink r:id="rId18">
        <w:r>
          <w:rPr>
            <w:noProof/>
            <w:color w:val="0000FF" w:themeColor="hyperlink"/>
            <w:u w:val="single"/>
          </w:rPr>
          <w:t>EC-CO2-HDV-IMPLEMENTATION@ec.europa.eu</w:t>
        </w:r>
      </w:hyperlink>
      <w:r>
        <w:rPr>
          <w:noProof/>
        </w:rPr>
        <w:t>] ir</w:t>
      </w:r>
    </w:p>
    <w:p>
      <w:pPr>
        <w:ind w:left="720"/>
        <w:jc w:val="left"/>
        <w:rPr>
          <w:noProof/>
        </w:rPr>
      </w:pPr>
      <w:hyperlink r:id="rId19">
        <w:r>
          <w:rPr>
            <w:noProof/>
            <w:color w:val="0000FF" w:themeColor="hyperlink"/>
            <w:u w:val="single"/>
          </w:rPr>
          <w:t>HDV-monitoring@eea.europa.eu</w:t>
        </w:r>
      </w:hyperlink>
      <w:r>
        <w:rPr>
          <w:noProof/>
        </w:rPr>
        <w:t>.</w:t>
      </w:r>
    </w:p>
    <w:p>
      <w:pPr>
        <w:pStyle w:val="Heading1"/>
        <w:rPr>
          <w:noProof/>
        </w:rPr>
      </w:pPr>
      <w:r>
        <w:rPr>
          <w:noProof/>
        </w:rPr>
        <w:t>Gamintojų vykdomas duomenų teikimas</w:t>
      </w:r>
    </w:p>
    <w:p>
      <w:pPr>
        <w:ind w:left="850" w:hanging="850"/>
        <w:rPr>
          <w:noProof/>
        </w:rPr>
      </w:pPr>
      <w:r>
        <w:rPr>
          <w:noProof/>
        </w:rPr>
        <w:t>2.1.</w:t>
      </w:r>
      <w:r>
        <w:rPr>
          <w:noProof/>
        </w:rPr>
        <w:tab/>
        <w:t>Gamintojai nedelsdami, ne vėliau kaip iki [2018 m. gruodžio 31 d.] Komisijai pateikia šią informaciją: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atitikties liudijime arba individualaus patvirtinimo liudijime nurodytą gamintojo pavadinimą;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Komisijos reglamente (ES) Nr. 19/2011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apibrėžtą tarptautinio gamintojo identifikatoriaus (WMI) kodą, kuris bus naudojamas naujų rinkai pateikiamų sunkiųjų transporto priemonių identifikavimo numeriuose;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kontaktinį punktą, atsakingą už duomenų įkėlimą į EAA verslo duomenų saugyklą.</w:t>
      </w:r>
    </w:p>
    <w:p>
      <w:pPr>
        <w:ind w:left="850"/>
        <w:rPr>
          <w:noProof/>
        </w:rPr>
      </w:pPr>
      <w:r>
        <w:rPr>
          <w:noProof/>
        </w:rPr>
        <w:t xml:space="preserve">Jie nedelsdami praneša Komisijai apie visus minėtos informacijos pasikeitimus. </w:t>
      </w:r>
    </w:p>
    <w:p>
      <w:pPr>
        <w:ind w:left="850"/>
        <w:rPr>
          <w:noProof/>
        </w:rPr>
      </w:pPr>
      <w:r>
        <w:rPr>
          <w:noProof/>
        </w:rPr>
        <w:t xml:space="preserve">Pranešimas siunčiamas 1.2 punkte nurodytais adresais. </w:t>
      </w:r>
    </w:p>
    <w:p>
      <w:pPr>
        <w:ind w:left="850" w:hanging="850"/>
        <w:rPr>
          <w:noProof/>
        </w:rPr>
      </w:pPr>
      <w:r>
        <w:rPr>
          <w:noProof/>
        </w:rPr>
        <w:t>2.2.</w:t>
      </w:r>
      <w:r>
        <w:rPr>
          <w:noProof/>
        </w:rPr>
        <w:tab/>
        <w:t>Nauji rinkoje pradedantys veikti gamintojai 2.1 punkte nurodytą informaciją Komisijai pateikia nedelsdami.</w:t>
      </w:r>
    </w:p>
    <w:p>
      <w:pPr>
        <w:ind w:left="850" w:hanging="850"/>
        <w:rPr>
          <w:noProof/>
        </w:rPr>
      </w:pPr>
      <w:r>
        <w:rPr>
          <w:noProof/>
        </w:rPr>
        <w:t>2.3.</w:t>
      </w:r>
      <w:r>
        <w:rPr>
          <w:noProof/>
        </w:rPr>
        <w:tab/>
        <w:t>Nuo [2019 m. sausio 1 d.] ir kiekvienais vėlesniais kalendoriniais metais kiekvienas gamintojas registruoja I priedo B dalyje nurodytą informaciją apie kiekvieną naują pagamintą sunkiąją transporto priemonę.</w:t>
      </w:r>
    </w:p>
    <w:p>
      <w:pPr>
        <w:ind w:left="850" w:hanging="850"/>
        <w:rPr>
          <w:noProof/>
        </w:rPr>
      </w:pPr>
      <w:r>
        <w:rPr>
          <w:noProof/>
        </w:rPr>
        <w:t>2.4.</w:t>
      </w:r>
      <w:r>
        <w:rPr>
          <w:noProof/>
        </w:rPr>
        <w:tab/>
        <w:t>2.3 punkte nurodytus duomenis pagal 5 straipsnio 1 dalį gamintojo kontaktinis punktas elektroniniu būdu perduoda į EAA tvarkomą centrinę duomenų saugyklą.</w:t>
      </w:r>
    </w:p>
    <w:p>
      <w:pPr>
        <w:ind w:left="850"/>
        <w:rPr>
          <w:noProof/>
        </w:rPr>
      </w:pPr>
      <w:r>
        <w:rPr>
          <w:noProof/>
        </w:rPr>
        <w:lastRenderedPageBreak/>
        <w:t>Kai duomenys perduodami, kontaktinis punktas apie tai e. paštu praneša Komisijai ir EAA šio priedo 1.2 punkte nurodytais funkciniais e. pašto adresais.</w:t>
      </w:r>
    </w:p>
    <w:p>
      <w:pPr>
        <w:pStyle w:val="Heading1"/>
        <w:rPr>
          <w:noProof/>
        </w:rPr>
      </w:pPr>
      <w:r>
        <w:rPr>
          <w:noProof/>
        </w:rPr>
        <w:t xml:space="preserve">Duomenų apdorojimas </w:t>
      </w:r>
    </w:p>
    <w:p>
      <w:pPr>
        <w:pStyle w:val="Point1"/>
        <w:ind w:left="850" w:hanging="850"/>
        <w:rPr>
          <w:noProof/>
        </w:rPr>
      </w:pPr>
      <w:r>
        <w:rPr>
          <w:noProof/>
        </w:rPr>
        <w:t>3.1.</w:t>
      </w:r>
      <w:r>
        <w:rPr>
          <w:noProof/>
        </w:rPr>
        <w:tab/>
        <w:t>EAA apdoroja pagal 1.2 ir 2.4 punktus pateiktus duomenis ir apdorotus duomenis įrašo į centrinį sunkiųjų transporto priemonių duomenų registrą.</w:t>
      </w:r>
    </w:p>
    <w:p>
      <w:pPr>
        <w:pStyle w:val="Point0"/>
        <w:rPr>
          <w:noProof/>
        </w:rPr>
      </w:pPr>
      <w:r>
        <w:rPr>
          <w:noProof/>
        </w:rPr>
        <w:t>3.2.</w:t>
      </w:r>
      <w:r>
        <w:rPr>
          <w:noProof/>
        </w:rPr>
        <w:tab/>
        <w:t>Nuo [2020 m.] ankstesniais kalendoriniais metais užregistruotų transporto priemonių duomenys, įrašyti į registrą, paskelbiami viešai ne vėliau kaip kiekvienų metų [spalio 31 d.], išskyrus 6 straipsnio 1 dalyje nurodytus duomenų įrašus.</w:t>
      </w:r>
    </w:p>
    <w:p>
      <w:pPr>
        <w:pStyle w:val="Point0"/>
        <w:rPr>
          <w:noProof/>
        </w:rPr>
      </w:pPr>
      <w:r>
        <w:rPr>
          <w:noProof/>
        </w:rPr>
        <w:t>3.3.</w:t>
      </w:r>
      <w:r>
        <w:rPr>
          <w:noProof/>
        </w:rPr>
        <w:tab/>
        <w:t>Jei kompetentinga institucija arba gamintojai pastebi, kad pateiktuose duomenyse yra klaidų, jie nedelsdami apie jas praneša Komisijai ir EAA, pateikdami pranešimą apie klaidą į centrinę duomenų saugyklą arba verslo duomenų saugyklą ir nusiųsdami e. laišką 1.2 punkte nurodytais e. pašto funkciniais adresais.</w:t>
      </w:r>
    </w:p>
    <w:p>
      <w:pPr>
        <w:pStyle w:val="Point0"/>
        <w:rPr>
          <w:noProof/>
        </w:rPr>
      </w:pPr>
      <w:r>
        <w:rPr>
          <w:noProof/>
        </w:rPr>
        <w:t>3.4.</w:t>
      </w:r>
      <w:r>
        <w:rPr>
          <w:noProof/>
        </w:rPr>
        <w:tab/>
        <w:t>Komisija, padedama EAA, patikrina nurodytas klaidas ir prireikus pataiso registre esančius duomenis.</w:t>
      </w:r>
    </w:p>
    <w:p>
      <w:pPr>
        <w:pStyle w:val="Point0"/>
        <w:rPr>
          <w:noProof/>
        </w:rPr>
      </w:pPr>
      <w:r>
        <w:rPr>
          <w:noProof/>
        </w:rPr>
        <w:t>3.5</w:t>
      </w:r>
      <w:r>
        <w:rPr>
          <w:noProof/>
        </w:rPr>
        <w:tab/>
        <w:t>Komisija, padedama EAA, iš anksto prieš 1.2 ir 2.4 punktuose nurodyto duomenų pateikimo terminus pateikia elektronines duomenų pateikimo formas.</w:t>
      </w:r>
    </w:p>
    <w:p>
      <w:pPr>
        <w:pStyle w:val="Point0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2011 m. sausio 11 d. Komisijos reglamentas (ES) Nr. 19/2011 dėl variklinių transporto priemonių ir jų priekabų tipo patvirtinimo, atsižvelgiant į gamintojo identifikavimo plokštelę ir transporto priemonės identifikavimo numerį reikalavimų, kuriuo įgyvendinamas Europos Parlamento ir Tarybos reglamentas (EB) Nr. 661/2009 dėl variklinių transporto priemonių, jų priekabų ir joms skirtų sistemų, sudėtinių dalių bei atskirų techninių mazgų tipo patvirtinimo, atsižvelgiant į jų bendrąją saugą, reikalavimų (OL L 8, 2011 1 12, p.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B7ED6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4EA4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8C696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C224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7A17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7F213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D460F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5002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07 13:15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pridedami prie pasi\u363?lymo d\u279?l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4612D52E7C045F4A4FE4C4CFB4AC1F7"/>
    <w:docVar w:name="LW_CROSSREFERENCE" w:val="{SWD(2017) 188 final}_x000b_{SWD(2017) 189 final}"/>
    <w:docVar w:name="LW_DocType" w:val="ANNEX"/>
    <w:docVar w:name="LW_EMISSION" w:val="2017 05 31"/>
    <w:docVar w:name="LW_EMISSION_ISODATE" w:val="2017-05-31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MARKING" w:val="&lt;UNUSED&gt;"/>
    <w:docVar w:name="LW_NOM.INST" w:val="EUROPOS KOMISIJA"/>
    <w:docVar w:name="LW_NOM.INST_JOINTDOC" w:val="&lt;EMPTY&gt;"/>
    <w:docVar w:name="LW_OBJETACTEPRINCIPAL.CP" w:val="d\u279?l nauj\u371? sunki\u371?j\u371? transporto priemoni\u371? i\u353?metamo CO2 kiekio ir degal\u371? s\u261?naud\u371? steb\u279?senos bei duomen\u371? teikimo_x000b_"/>
    <w:docVar w:name="LW_OBJETACTEPRINCIPAL_CONTENT_FMTD" w:val="d\u279?l nauj\u371? sunki\u371?j\u371? transporto priemoni\u371? i\u353?metamo CO2 kiekio ir degal\u371? s\u261?naud\u371? steb\u279?senos bei duomen\u371? teikimo_x000b_"/>
    <w:docVar w:name="LW_OBJETACTEPRINCIPAL_USEMAINTEXTFORCP" w:val="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279"/>
    <w:docVar w:name="LW_REF.INTERNE" w:val="&lt;UNUSED&gt;"/>
    <w:docVar w:name="LW_SUPERTITRE" w:val="&lt;UNUSED&gt;"/>
    <w:docVar w:name="LW_TITRE.OBJ.CP" w:val="&lt;UNUSED&gt;"/>
    <w:docVar w:name="LW_TYPE.DOC.CP" w:val="PRIEDAI"/>
    <w:docVar w:name="LW_TYPEACTEPRINCIPAL.CP" w:val="Europos Parlamento ir Tarybos reglament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customStyle="1" w:styleId="ManualHa">
    <w:name w:val="Manual Ha"/>
    <w:basedOn w:val="Normal"/>
    <w:pPr>
      <w:keepNext/>
      <w:tabs>
        <w:tab w:val="num" w:pos="850"/>
      </w:tabs>
      <w:spacing w:before="360"/>
      <w:ind w:left="850" w:hanging="850"/>
      <w:outlineLvl w:val="0"/>
    </w:pPr>
    <w:rPr>
      <w:rFonts w:eastAsiaTheme="majorEastAsia"/>
      <w:b/>
      <w:bCs/>
      <w:smallCaps/>
      <w:szCs w:val="28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customStyle="1" w:styleId="ManualHa">
    <w:name w:val="Manual Ha"/>
    <w:basedOn w:val="Normal"/>
    <w:pPr>
      <w:keepNext/>
      <w:tabs>
        <w:tab w:val="num" w:pos="850"/>
      </w:tabs>
      <w:spacing w:before="360"/>
      <w:ind w:left="850" w:hanging="850"/>
      <w:outlineLvl w:val="0"/>
    </w:pPr>
    <w:rPr>
      <w:rFonts w:eastAsiaTheme="majorEastAsia"/>
      <w:b/>
      <w:bCs/>
      <w:smallCaps/>
      <w:szCs w:val="28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EC-CO2-HDV-IMPLEMENTATION@ec.europ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CO2-monitoring@eea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80BE6FF-16B8-456F-BF46-DF004AB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1144</Words>
  <Characters>7545</Characters>
  <Application>Microsoft Office Word</Application>
  <DocSecurity>0</DocSecurity>
  <Lines>471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LINDVALL Susanna (CLIMA)</dc:creator>
  <cp:lastModifiedBy>DIGIT/A3</cp:lastModifiedBy>
  <cp:revision>8</cp:revision>
  <cp:lastPrinted>2017-05-22T11:29:00Z</cp:lastPrinted>
  <dcterms:created xsi:type="dcterms:W3CDTF">2017-06-02T11:46:00Z</dcterms:created>
  <dcterms:modified xsi:type="dcterms:W3CDTF">2017-06-07T11:15:00Z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