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98" w:rsidRDefault="0086299A" w:rsidP="0086299A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F4D982AD6904404493811A0F58543623" style="width:450.6pt;height:334.15pt">
            <v:imagedata r:id="rId8" o:title=""/>
          </v:shape>
        </w:pict>
      </w:r>
    </w:p>
    <w:bookmarkEnd w:id="0"/>
    <w:p w:rsidR="00A01298" w:rsidRDefault="00A01298">
      <w:pPr>
        <w:rPr>
          <w:noProof/>
        </w:rPr>
        <w:sectPr w:rsidR="00A01298" w:rsidSect="008629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A01298" w:rsidRDefault="0086299A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lastRenderedPageBreak/>
        <w:t>Dokument otwierający debatę na temat przyszłości europejskiej obronności (2025 r.)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Wstęp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86299A">
      <w:pPr>
        <w:pStyle w:val="s2"/>
        <w:spacing w:before="0" w:beforeAutospacing="0" w:after="0" w:afterAutospacing="0"/>
        <w:jc w:val="both"/>
        <w:rPr>
          <w:noProof/>
        </w:rPr>
      </w:pPr>
      <w:r>
        <w:rPr>
          <w:noProof/>
        </w:rPr>
        <w:t>W dniu 1</w:t>
      </w:r>
      <w:r>
        <w:rPr>
          <w:noProof/>
        </w:rPr>
        <w:t xml:space="preserve"> marca 2017 r. Komisja Europejska przedstawiła białą księgę w sprawie przyszłości Europy. Następnie opublikowano szereg dokumentów otwierających debatę poświęconą kluczowym tematom dotyczącym przyszłości Unii Europejskiej obejmującej 27 państw członkowskic</w:t>
      </w:r>
      <w:r>
        <w:rPr>
          <w:noProof/>
        </w:rPr>
        <w:t>h.</w:t>
      </w:r>
    </w:p>
    <w:p w:rsidR="00A01298" w:rsidRDefault="00A01298">
      <w:pPr>
        <w:pStyle w:val="s2"/>
        <w:spacing w:before="0" w:beforeAutospacing="0" w:after="0" w:afterAutospacing="0"/>
        <w:jc w:val="both"/>
        <w:rPr>
          <w:noProof/>
        </w:rPr>
      </w:pPr>
    </w:p>
    <w:p w:rsidR="00A01298" w:rsidRDefault="0086299A">
      <w:pPr>
        <w:pStyle w:val="s2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Dokument otwierający debatę na temat przyszłości europejskiej obronności jest czwartym z tej serii. Przedstawiono w nim w ogólnym zarysie główne tendencje i wyzwania, które będą wpływać na przyszły kształt naszego bezpieczeństwa i obronności, a na tej </w:t>
      </w:r>
      <w:r>
        <w:rPr>
          <w:noProof/>
        </w:rPr>
        <w:t>podstawie, w ramach trzech różnych scenariuszy, określono warianty dążenia do realizacji Unii Bezpieczeństwa i Obrony. Scenariusze te, mimo że nie wykluczają się wzajemnie, są odzwierciedleniem różnego stopnia zaangażowania UE we wspólne działania na rzecz</w:t>
      </w:r>
      <w:r>
        <w:rPr>
          <w:noProof/>
        </w:rPr>
        <w:t xml:space="preserve"> bezpieczeństwa i obronności.</w:t>
      </w:r>
    </w:p>
    <w:p w:rsidR="00A01298" w:rsidRDefault="00A01298">
      <w:pPr>
        <w:pStyle w:val="s2"/>
        <w:spacing w:before="0" w:beforeAutospacing="0" w:after="0" w:afterAutospacing="0"/>
        <w:jc w:val="both"/>
        <w:rPr>
          <w:noProof/>
        </w:rPr>
      </w:pPr>
    </w:p>
    <w:p w:rsidR="00A01298" w:rsidRDefault="0086299A">
      <w:pPr>
        <w:pStyle w:val="s2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Dzięki Unii Europejskiej na naszym kontynencie trwa bezprecedensowy okres pokoju. Jednakże coraz wyraźniejszy brak stabilności w sąsiedztwie Europy, jak również globalne i nowo powstające zagrożenia dla bezpieczeństwa </w:t>
      </w:r>
      <w:r>
        <w:rPr>
          <w:noProof/>
        </w:rPr>
        <w:t>spowodowane czynnikami ekonomicznymi, środowiskowymi i technologicznymi stanowią poważne wyzwania dla naszego bezpieczeństwa. Wśród obywateli narastają obawy związane z bezpieczeństwem i oczekują oni ochrony ze strony Unii. Jeśli chcemy spełnić ich oczekiw</w:t>
      </w:r>
      <w:r>
        <w:rPr>
          <w:noProof/>
        </w:rPr>
        <w:t>ania, bezpieczeństwo i obrona muszą w przyszłości odgrywać ważniejszą rolę w europejskim projekcie. Zostało to potwierdzone w deklaracji rzymskiej, w której przedstawiono wizję bezpiecznej i chronionej Unii zaangażowanej w umacnianie wspólnego bezpieczeńst</w:t>
      </w:r>
      <w:r>
        <w:rPr>
          <w:noProof/>
        </w:rPr>
        <w:t>wa i obrony.</w:t>
      </w:r>
    </w:p>
    <w:p w:rsidR="00A01298" w:rsidRDefault="00A01298">
      <w:pPr>
        <w:pStyle w:val="s2"/>
        <w:spacing w:before="0" w:beforeAutospacing="0" w:after="0" w:afterAutospacing="0"/>
        <w:jc w:val="both"/>
        <w:rPr>
          <w:noProof/>
        </w:rPr>
      </w:pPr>
    </w:p>
    <w:p w:rsidR="00A01298" w:rsidRDefault="0086299A">
      <w:pPr>
        <w:pStyle w:val="s2"/>
        <w:spacing w:before="0" w:beforeAutospacing="0" w:after="0" w:afterAutospacing="0"/>
        <w:jc w:val="both"/>
        <w:rPr>
          <w:noProof/>
        </w:rPr>
      </w:pPr>
      <w:r>
        <w:rPr>
          <w:noProof/>
        </w:rPr>
        <w:t>Zrealizowano już pierwsze ambitne działania na rzecz Unii Bezpieczeństwa i Obrony. Niniejszy dokument otwierający debatę stanowi uzupełnienie trwających prac nad pakietem dotyczącym obronności zatwierdzonym przez Radę Europejską w grudniu 201</w:t>
      </w:r>
      <w:r>
        <w:rPr>
          <w:noProof/>
        </w:rPr>
        <w:t>6 r., na który składają się realizacja globalnej strategii UE w dziedzinie bezpieczeństwa i obrony, europejski plan działań w sektorze obrony oraz nasza współpraca z NATO. Te trzy elementy składowe są obecnie przekładane na bardzo konkretne działania: refo</w:t>
      </w:r>
      <w:r>
        <w:rPr>
          <w:noProof/>
        </w:rPr>
        <w:t>rmujemy nasze struktury wspólnej polityki bezpieczeństwa i obrony, rozwijamy cywilne i wojskowe zdolności i instrumenty, pogłębiamy europejską współpracę w dziedzinie obronności i zacieśniamy nasze partnerstwa z państwami partnerskimi i organizacjami partn</w:t>
      </w:r>
      <w:r>
        <w:rPr>
          <w:noProof/>
        </w:rPr>
        <w:t>erskimi, takimi jak ONZ i NATO. Niemniej jednak trzeba zrobić więcej, jeśli Unia ma wziąć na siebie większą odpowiedzialność za bezpieczeństwo europejskie.</w:t>
      </w:r>
    </w:p>
    <w:p w:rsidR="00A01298" w:rsidRDefault="00A01298">
      <w:pPr>
        <w:pStyle w:val="s2"/>
        <w:spacing w:before="0" w:beforeAutospacing="0" w:after="0" w:afterAutospacing="0"/>
        <w:jc w:val="both"/>
        <w:rPr>
          <w:noProof/>
        </w:rPr>
      </w:pPr>
    </w:p>
    <w:p w:rsidR="00A01298" w:rsidRDefault="0086299A">
      <w:pPr>
        <w:pStyle w:val="s2"/>
        <w:spacing w:before="0" w:beforeAutospacing="0" w:after="0" w:afterAutospacing="0"/>
        <w:jc w:val="both"/>
        <w:rPr>
          <w:noProof/>
        </w:rPr>
      </w:pPr>
      <w:r>
        <w:rPr>
          <w:noProof/>
        </w:rPr>
        <w:t>Nadszedł czas, aby w oparciu o poczynione już postępy rozważyć konkretne plany odnoszące się do prz</w:t>
      </w:r>
      <w:r>
        <w:rPr>
          <w:noProof/>
        </w:rPr>
        <w:t>yszłej roli Unii w zakresie bezpieczeństwa i obrony. Niniejszy dokument stanowi wkład Komisji Europejskiej w tę debatę, która będzie się toczyć we wszystkich 27 państwach członkowskich.</w:t>
      </w:r>
    </w:p>
    <w:p w:rsidR="00A01298" w:rsidRDefault="00A01298">
      <w:pPr>
        <w:pStyle w:val="s2"/>
        <w:spacing w:before="0" w:beforeAutospacing="0" w:after="0" w:afterAutospacing="0"/>
        <w:jc w:val="both"/>
        <w:rPr>
          <w:noProof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Stawka jest bardzo wysoka, tak dla Europy, jak i dla naszych obywatel</w:t>
      </w:r>
      <w:r>
        <w:rPr>
          <w:rFonts w:ascii="Times New Roman" w:hAnsi="Times New Roman"/>
          <w:noProof/>
          <w:sz w:val="24"/>
        </w:rPr>
        <w:t>i. Odpowiadamy za to, aby spełnić obietnicę utrzymania pokoju dla obecnych i przyszłych pokoleń.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Pr="0086299A" w:rsidRDefault="0086299A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86299A">
        <w:rPr>
          <w:rFonts w:ascii="Times New Roman" w:eastAsia="Calibri" w:hAnsi="Times New Roman" w:cs="Times New Roman"/>
          <w:noProof/>
          <w:sz w:val="24"/>
          <w:szCs w:val="24"/>
        </w:rPr>
        <w:br w:type="page"/>
      </w: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b/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ABE0C" wp14:editId="6B498F46">
                <wp:simplePos x="0" y="0"/>
                <wp:positionH relativeFrom="column">
                  <wp:posOffset>281774</wp:posOffset>
                </wp:positionH>
                <wp:positionV relativeFrom="paragraph">
                  <wp:posOffset>66427</wp:posOffset>
                </wp:positionV>
                <wp:extent cx="5276850" cy="2115046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115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298" w:rsidRDefault="0086299A">
                            <w:pPr>
                              <w:spacing w:afterLines="200" w:after="480"/>
                              <w:contextualSpacing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„W obecnych czasach zmian, świadomi obaw wyrażanych przez naszych obywateli, zobowiązujemy się podjąć program rzymski i pracować nad urzeczywistnieniem </w:t>
                            </w:r>
                            <w:r>
                              <w:rPr>
                                <w:i/>
                              </w:rPr>
                              <w:t>następujących celów:</w:t>
                            </w:r>
                          </w:p>
                          <w:p w:rsidR="00A01298" w:rsidRDefault="0086299A">
                            <w:pPr>
                              <w:spacing w:afterLines="200" w:after="480"/>
                              <w:contextualSpacing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[...] Unia gotowa wziąć na siebie więcej obowiązków i wspierać tworzenie bardziej konkurencyjnego i zintegrowanego przemysłu obronnego; Unia zaangażowana we wzmocnienie swego wspólnego bezpieczeństwa i obrony, także we współpracy z Org</w:t>
                            </w:r>
                            <w:r>
                              <w:rPr>
                                <w:i/>
                              </w:rPr>
                              <w:t>anizacją Traktatu Północnoatlantyckiego i w uzupełnieniu jej działań, z uwzględnieniem krajowych warunków i zobowiązań prawnych [...].”</w:t>
                            </w:r>
                          </w:p>
                          <w:p w:rsidR="00A01298" w:rsidRDefault="00A01298">
                            <w:pPr>
                              <w:spacing w:afterLines="200" w:after="480"/>
                              <w:ind w:left="3540" w:firstLine="708"/>
                              <w:contextualSpacing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A01298" w:rsidRDefault="0086299A">
                            <w:pPr>
                              <w:spacing w:afterLines="200" w:after="480"/>
                              <w:ind w:left="3540" w:firstLine="708"/>
                              <w:contextualSpacing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Deklaracja rzymska, 25 marca 2017 r.</w:t>
                            </w:r>
                          </w:p>
                          <w:p w:rsidR="00A01298" w:rsidRDefault="00A01298">
                            <w:pPr>
                              <w:spacing w:afterLines="200" w:after="48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01298" w:rsidRDefault="00A0129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2.2pt;margin-top:5.25pt;width:415.5pt;height:16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">
                <v:textbox>
                  <w:txbxContent>
                    <w:p w:rsidR="00A01298" w:rsidRDefault="0086299A">
                      <w:pPr>
                        <w:spacing w:afterLines="200" w:after="480"/>
                        <w:contextualSpacing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„W obecnych czasach zmian, świadomi obaw wyrażanych przez naszych obywateli, zobowiązujemy się podjąć program rzymski i pracować nad urzeczywistnieniem </w:t>
                      </w:r>
                      <w:r>
                        <w:rPr>
                          <w:i/>
                        </w:rPr>
                        <w:t>następujących celów:</w:t>
                      </w:r>
                    </w:p>
                    <w:p w:rsidR="00A01298" w:rsidRDefault="0086299A">
                      <w:pPr>
                        <w:spacing w:afterLines="200" w:after="480"/>
                        <w:contextualSpacing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[...] Unia gotowa wziąć na siebie więcej obowiązków i wspierać tworzenie bardziej konkurencyjnego i zintegrowanego przemysłu obronnego; Unia zaangażowana we wzmocnienie swego wspólnego bezpieczeństwa i obrony, także we współpracy z Org</w:t>
                      </w:r>
                      <w:r>
                        <w:rPr>
                          <w:i/>
                        </w:rPr>
                        <w:t>anizacją Traktatu Północnoatlantyckiego i w uzupełnieniu jej działań, z uwzględnieniem krajowych warunków i zobowiązań prawnych [...].”</w:t>
                      </w:r>
                    </w:p>
                    <w:p w:rsidR="00A01298" w:rsidRDefault="00A01298">
                      <w:pPr>
                        <w:spacing w:afterLines="200" w:after="480"/>
                        <w:ind w:left="3540" w:firstLine="708"/>
                        <w:contextualSpacing/>
                        <w:jc w:val="both"/>
                        <w:rPr>
                          <w:i/>
                        </w:rPr>
                      </w:pPr>
                    </w:p>
                    <w:p w:rsidR="00A01298" w:rsidRDefault="0086299A">
                      <w:pPr>
                        <w:spacing w:afterLines="200" w:after="480"/>
                        <w:ind w:left="3540" w:firstLine="708"/>
                        <w:contextualSpacing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Deklaracja rzymska, 25 marca 2017 r.</w:t>
                      </w:r>
                    </w:p>
                    <w:p w:rsidR="00A01298" w:rsidRDefault="00A01298">
                      <w:pPr>
                        <w:spacing w:afterLines="200" w:after="480"/>
                        <w:contextualSpacing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</w:pPr>
                    </w:p>
                    <w:p w:rsidR="00A01298" w:rsidRDefault="00A0129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01298" w:rsidRDefault="00A01298">
      <w:pPr>
        <w:spacing w:afterLines="200" w:after="480" w:line="240" w:lineRule="auto"/>
        <w:contextualSpacing/>
        <w:jc w:val="both"/>
        <w:rPr>
          <w:b/>
          <w:noProof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TableGrid"/>
        <w:tblW w:w="0" w:type="auto"/>
        <w:tblInd w:w="588" w:type="dxa"/>
        <w:tblLook w:val="04A0" w:firstRow="1" w:lastRow="0" w:firstColumn="1" w:lastColumn="0" w:noHBand="0" w:noVBand="1"/>
      </w:tblPr>
      <w:tblGrid>
        <w:gridCol w:w="8280"/>
      </w:tblGrid>
      <w:tr w:rsidR="00A01298">
        <w:tc>
          <w:tcPr>
            <w:tcW w:w="8280" w:type="dxa"/>
          </w:tcPr>
          <w:p w:rsidR="00A01298" w:rsidRDefault="0086299A">
            <w:pPr>
              <w:spacing w:afterLines="200" w:after="480"/>
              <w:contextualSpacing/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 xml:space="preserve">„Jestem przekonany także, że musimy pracować nad wzmocnieniem </w:t>
            </w:r>
            <w:r>
              <w:rPr>
                <w:i/>
                <w:noProof/>
              </w:rPr>
              <w:t>Europy, jeśli chodzi o kwestie bezpieczeństwa i obrony. Tak, Europa jest przede wszystkim „miękką siłą”. Ale nawet najsilniejsza „miękka siła” nie przetrwa próby czasu, jeśli nie dysponuje choć pewnymi zintegrowanymi zdolnościami obronnymi.”</w:t>
            </w:r>
          </w:p>
          <w:p w:rsidR="00A01298" w:rsidRDefault="00A01298">
            <w:pPr>
              <w:spacing w:afterLines="200" w:after="480"/>
              <w:contextualSpacing/>
              <w:jc w:val="both"/>
              <w:rPr>
                <w:i/>
                <w:noProof/>
              </w:rPr>
            </w:pPr>
          </w:p>
          <w:p w:rsidR="00A01298" w:rsidRDefault="0086299A">
            <w:pPr>
              <w:spacing w:afterLines="200" w:after="480"/>
              <w:contextualSpacing/>
              <w:jc w:val="right"/>
              <w:rPr>
                <w:i/>
                <w:noProof/>
              </w:rPr>
            </w:pPr>
            <w:r>
              <w:rPr>
                <w:i/>
                <w:noProof/>
              </w:rPr>
              <w:t>Jean-Claude J</w:t>
            </w:r>
            <w:r>
              <w:rPr>
                <w:i/>
                <w:noProof/>
              </w:rPr>
              <w:t xml:space="preserve">uncker </w:t>
            </w:r>
          </w:p>
          <w:p w:rsidR="00A01298" w:rsidRDefault="0086299A">
            <w:pPr>
              <w:spacing w:afterLines="200" w:after="480"/>
              <w:contextualSpacing/>
              <w:jc w:val="right"/>
              <w:rPr>
                <w:i/>
                <w:noProof/>
              </w:rPr>
            </w:pPr>
            <w:r>
              <w:rPr>
                <w:i/>
                <w:noProof/>
              </w:rPr>
              <w:t>Przewodniczący Komisji Europejskiej</w:t>
            </w:r>
          </w:p>
          <w:p w:rsidR="00A01298" w:rsidRDefault="0086299A">
            <w:pPr>
              <w:spacing w:afterLines="200" w:after="480"/>
              <w:contextualSpacing/>
              <w:jc w:val="right"/>
              <w:rPr>
                <w:i/>
                <w:noProof/>
              </w:rPr>
            </w:pPr>
            <w:r>
              <w:rPr>
                <w:i/>
                <w:noProof/>
              </w:rPr>
              <w:t xml:space="preserve">Wytyczne polityczne dla Komisji Europejskiej, 15 lipca 2014 r. </w:t>
            </w:r>
          </w:p>
        </w:tc>
      </w:tr>
    </w:tbl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86299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Wprowadzenie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Wizja trwałego pokoju na kontynencie europejskim była inspiracją dla naszej Unii, powstałej na popiołach dwóch wojen światowych, </w:t>
      </w:r>
      <w:r>
        <w:rPr>
          <w:rFonts w:ascii="Times New Roman" w:hAnsi="Times New Roman"/>
          <w:noProof/>
          <w:sz w:val="24"/>
        </w:rPr>
        <w:t>które kosztowały życie 80 milionów ludzi. Od ponad sześćdziesięciu lat większość Europejczyków cieszy się pokojem trwającym od trzech pokoleń i siedmiu dziesięcioleci, co stanowi najdłuższy okres w burzliwej historii Europy (zob. rysunek 1).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Świat, w któr</w:t>
      </w:r>
      <w:r>
        <w:rPr>
          <w:rFonts w:ascii="Times New Roman" w:hAnsi="Times New Roman"/>
          <w:noProof/>
          <w:sz w:val="24"/>
        </w:rPr>
        <w:t>ym żyjemy, przeszedł w tym czasie głębokie zmiany, jednak nasze zaangażowanie na rzecz pokoju pozostaje niezachwiane. W naszym codziennym życiu korzystamy obecnie z bezprecedensowych możliwości, lecz również stoimy w obliczu nowych zagrożeń i wyzwań. Pokój</w:t>
      </w:r>
      <w:r>
        <w:rPr>
          <w:rFonts w:ascii="Times New Roman" w:hAnsi="Times New Roman"/>
          <w:noProof/>
          <w:sz w:val="24"/>
        </w:rPr>
        <w:t xml:space="preserve"> i bezpieczeństwo we własnym kraju nie są już oczywistością w świecie, w którym globalne i regionalne mocarstwa ponownie się zbroją, terroryści atakują w samym środku europejskich miast i na całym świecie, a cyberataki przybierają na sile.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takich okoli</w:t>
      </w:r>
      <w:r>
        <w:rPr>
          <w:rFonts w:ascii="Times New Roman" w:hAnsi="Times New Roman"/>
          <w:noProof/>
          <w:sz w:val="24"/>
        </w:rPr>
        <w:t xml:space="preserve">cznościach Unia Europejska i jej państwa członkowskie mają obowiązek chronić obywateli oraz propagować europejskie interesy i wartości i są za to odpowiedzialne. Bezpieczeństwo stało się jedną z kwestii, które najbardziej niepokoją Europejczyków. Oczekują </w:t>
      </w:r>
      <w:r>
        <w:rPr>
          <w:rFonts w:ascii="Times New Roman" w:hAnsi="Times New Roman"/>
          <w:noProof/>
          <w:sz w:val="24"/>
        </w:rPr>
        <w:t xml:space="preserve">oni ochrony ze strony Unii. Chcą czuć się w Europie bezpieczni i chronieni, zasługują na to i muszą być w stanie to uzyskać.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Ochrona naszych społeczeństw i wolności stanowi wspólny obowiązek. Jeśli mamy spełnić obietnicę utrzymania pokoju wobec przyszłyc</w:t>
      </w:r>
      <w:r>
        <w:rPr>
          <w:rFonts w:ascii="Times New Roman" w:hAnsi="Times New Roman"/>
          <w:noProof/>
          <w:sz w:val="24"/>
        </w:rPr>
        <w:t>h pokoleń w ten sam sposób, w jaki uczyniono to dla nas, bezpieczeństwo i obrona muszą odgrywać ważniejszą rolę w europejskim projekcie. Nasza Unia ma najlepsze możliwości zapewnienia wyjątkowej wartości dodanej, jeśli chodzi o przyszłość europejskiego bez</w:t>
      </w:r>
      <w:r>
        <w:rPr>
          <w:rFonts w:ascii="Times New Roman" w:hAnsi="Times New Roman"/>
          <w:noProof/>
          <w:sz w:val="24"/>
        </w:rPr>
        <w:t>pieczeństwa i obrony.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Dla wielu zagrożeń, z którymi mamy dziś do czynienia, granice państw nie stanowią problemu. Wprawdzie to państwa członkowskie wciąż znajdują się na linii frontu i odpowiadają za rozmieszczenie sił bezpieczeństwa i sił zbrojnych w raz</w:t>
      </w:r>
      <w:r>
        <w:rPr>
          <w:rFonts w:ascii="Times New Roman" w:hAnsi="Times New Roman"/>
          <w:noProof/>
          <w:sz w:val="24"/>
        </w:rPr>
        <w:t xml:space="preserve">ie potrzeby, jednak najlepszą metodą zapobiegania tym nowym rodzajom zagrożeń i ich opanowywania jest współpraca.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UE może uruchamiać, ułatwiać i zacieśniać tę współpracę oraz sprawiać, by działania zbiorowe były skuteczniejsze. Unia może zapewnić państwo</w:t>
      </w:r>
      <w:r>
        <w:rPr>
          <w:rFonts w:ascii="Times New Roman" w:hAnsi="Times New Roman"/>
          <w:noProof/>
          <w:sz w:val="24"/>
        </w:rPr>
        <w:t>m UE ramy i zachęty na rzecz rozwoju i utrzymania większych i lepszych zdolności obronnych. Można to osiągnąć poprzez bardziej systematyczną współpracę oraz wspólne opracowywanie technologii i budowę zdolności niezbędnych do zachowania bezpieczeństwa Europ</w:t>
      </w:r>
      <w:r>
        <w:rPr>
          <w:rFonts w:ascii="Times New Roman" w:hAnsi="Times New Roman"/>
          <w:noProof/>
          <w:sz w:val="24"/>
        </w:rPr>
        <w:t xml:space="preserve">y.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Jednym z głównych atutów podejścia unijnego jest przewidziane w nim połączenie „miękkiej” i „twardej” siły. W ramach tej koncepcji instrumenty bezpieczeństwa i obrony stosowane są równolegle ze środkami dyplomacji, sankcjami, współpracą na rzecz rozwo</w:t>
      </w:r>
      <w:r>
        <w:rPr>
          <w:rFonts w:ascii="Times New Roman" w:hAnsi="Times New Roman"/>
          <w:noProof/>
          <w:sz w:val="24"/>
        </w:rPr>
        <w:t>ju i środkami handlowymi służącymi zapobieganiu konfliktom. Propagowane są pokój, wzrost sprzyjający włączeniu społecznemu, prawa człowieka, praworządność i ochrona środowiska, zarówno w Unii, jak i poza jej granicami. Sama miękka siła może okazać się niew</w:t>
      </w:r>
      <w:r>
        <w:rPr>
          <w:rFonts w:ascii="Times New Roman" w:hAnsi="Times New Roman"/>
          <w:noProof/>
          <w:sz w:val="24"/>
        </w:rPr>
        <w:t xml:space="preserve">ystarczająca w niestabilnym świecie, jednak to zintegrowane podejście leży u podstaw trwałego bezpieczeństwa.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Nasza Unia stanowi również jedyną w swoim rodzaju platformę umożliwiającą koordynację polityki bezpieczeństwa i obrony z głównymi partnerami, ta</w:t>
      </w:r>
      <w:r>
        <w:rPr>
          <w:rFonts w:ascii="Times New Roman" w:hAnsi="Times New Roman"/>
          <w:noProof/>
          <w:sz w:val="24"/>
        </w:rPr>
        <w:t xml:space="preserve">kimi jak Organizacja Traktatu Północnoatlantyckiego i Organizacja Narodów Zjednoczonych. Zbliżenie między UE i NATO nabiera obecnie bezprecedensowego rozmachu. </w:t>
      </w:r>
    </w:p>
    <w:p w:rsidR="00A01298" w:rsidRDefault="00A0129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orędziu o stanie Unii z 2016 r. przewodniczący Juncker apelował o „Europę, która chroni i kt</w:t>
      </w:r>
      <w:r>
        <w:rPr>
          <w:rFonts w:ascii="Times New Roman" w:hAnsi="Times New Roman"/>
          <w:noProof/>
          <w:sz w:val="24"/>
        </w:rPr>
        <w:t xml:space="preserve">óra broni, zarówno na swoim terytorium, jak i poza nim”. W niniejszym dokumencie otwierającym debatę bierze się pod uwagę kwestie mające znaczenie dla przyszłości naszego bezpieczeństwa i obrony. Czyni się to, wykraczając poza obecne dyskusje i decyzje. W </w:t>
      </w:r>
      <w:r>
        <w:rPr>
          <w:rFonts w:ascii="Times New Roman" w:hAnsi="Times New Roman"/>
          <w:noProof/>
          <w:sz w:val="24"/>
        </w:rPr>
        <w:t>ich miejsce analizuje się wyjściowe tendencje strukturalne, przedstawia różne scenariusze możliwej przyszłości europejskiego bezpieczeństwa i obrony do 2025 r. i opisuje ewentualne warianty naszych przyszłych działań.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Rysunek 1: Wojna i pokój w historii e</w:t>
      </w:r>
      <w:r>
        <w:rPr>
          <w:rFonts w:ascii="Times New Roman" w:hAnsi="Times New Roman"/>
          <w:b/>
          <w:noProof/>
          <w:sz w:val="24"/>
        </w:rPr>
        <w:t>uropejskiej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A6420" wp14:editId="29AFD50D">
                <wp:simplePos x="0" y="0"/>
                <wp:positionH relativeFrom="column">
                  <wp:posOffset>1632585</wp:posOffset>
                </wp:positionH>
                <wp:positionV relativeFrom="paragraph">
                  <wp:posOffset>1862455</wp:posOffset>
                </wp:positionV>
                <wp:extent cx="3554095" cy="276860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1298" w:rsidRDefault="0086299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F5494"/>
                                <w:kern w:val="24"/>
                              </w:rPr>
                              <w:t xml:space="preserve">Źródło: Europejski Ośrodek Strategii Politycznej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4" o:spid="_x0000_s1027" type="#_x0000_t202" style="position:absolute;left:0;text-align:left;margin-left:128.55pt;margin-top:146.65pt;width:279.85pt;height:21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" filled="f" stroked="f">
                <v:textbox style="mso-fit-shape-to-text:t">
                  <w:txbxContent>
                    <w:p w:rsidR="00A01298" w:rsidRDefault="0086299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color w:val="0F5494"/>
                          <w:kern w:val="24"/>
                        </w:rPr>
                        <w:t xml:space="preserve">Źródło: Europejski Ośrodek Strategii Politycznej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w:drawing>
          <wp:inline distT="0" distB="0" distL="0" distR="0" wp14:anchorId="598D1AC1" wp14:editId="15484D16">
            <wp:extent cx="4731774" cy="1905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1774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298" w:rsidRDefault="00A0129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01298" w:rsidRDefault="00A0129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01298" w:rsidRDefault="0086299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Główne tendencje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Szereg tendencji strategicznych, politycznych, ekonomicznych i technologicznych wskazuje na to, że sytuacja dojrzała do tego, by Europa dokonała zdecydowanej zmiany w </w:t>
      </w:r>
      <w:r>
        <w:rPr>
          <w:rFonts w:ascii="Times New Roman" w:hAnsi="Times New Roman"/>
          <w:noProof/>
          <w:sz w:val="24"/>
        </w:rPr>
        <w:t>dziedzinie bezpieczeństwa i obrony.</w:t>
      </w:r>
    </w:p>
    <w:p w:rsidR="00A01298" w:rsidRDefault="00A012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</w:rPr>
        <w:t>Czynniki strategiczne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 dziesięcioleciach pokoju w Europie rysuje się nowa rzeczywistość, zarówno wewnątrz naszych granic, jak i poza nimi. Państwa położone na wschód od Unii stoją w obliczu zagrożeń wojskowych, </w:t>
      </w:r>
      <w:r>
        <w:rPr>
          <w:rFonts w:ascii="Times New Roman" w:hAnsi="Times New Roman"/>
          <w:noProof/>
          <w:sz w:val="24"/>
        </w:rPr>
        <w:t>gospodarczych, politycznych i związanych z bezpieczeństwem energetycznym i są podatne na wynikające z tych zagrożeń problemy. W basenie Morza Śródziemnego i w niektórych rejonach Afryki Subsaharyjskiej rozprzestrzenianie się obszarów wyłączonych spod kontr</w:t>
      </w:r>
      <w:r>
        <w:rPr>
          <w:rFonts w:ascii="Times New Roman" w:hAnsi="Times New Roman"/>
          <w:noProof/>
          <w:sz w:val="24"/>
        </w:rPr>
        <w:t>oli rządowej i narastanie konfliktów wytworzyły próżnię, w</w:t>
      </w:r>
      <w:r>
        <w:rPr>
          <w:noProof/>
        </w:rPr>
        <w:t> </w:t>
      </w:r>
      <w:r>
        <w:rPr>
          <w:rFonts w:ascii="Times New Roman" w:hAnsi="Times New Roman"/>
          <w:noProof/>
          <w:sz w:val="24"/>
        </w:rPr>
        <w:t>której prosperują terroryści i przestępcy. Regionalne rywalizacje przybierają na sile i jesteśmy świadkami dramatycznego wzrostu liczby ofiar cywilnych i uchodźców na całym świecie – liczba wysiedl</w:t>
      </w:r>
      <w:r>
        <w:rPr>
          <w:rFonts w:ascii="Times New Roman" w:hAnsi="Times New Roman"/>
          <w:noProof/>
          <w:sz w:val="24"/>
        </w:rPr>
        <w:t>eńców przekroczyła 60 milionów. Istnienie coraz lepszej sieci połączeń zaciera granice między bezpieczeństwem wewnętrznym i zewnętrznym. Z kolei zmiana klimatu i niedobór zasobów w połączeniu ze wzrostem demograficznym i osłabieniem struktur państwowych mo</w:t>
      </w:r>
      <w:r>
        <w:rPr>
          <w:rFonts w:ascii="Times New Roman" w:hAnsi="Times New Roman"/>
          <w:noProof/>
          <w:sz w:val="24"/>
        </w:rPr>
        <w:t xml:space="preserve">gą również napędzać konflikty i wywoływać niestabilność na całym świecie.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Jednocześnie relacje transatlantyckie podlegają ewolucji. Obowiązek poprawy bezpieczeństwa europejskiego spoczywa przede wszystkim w rękach samych Europejczyków. Są środki, aby to </w:t>
      </w:r>
      <w:r>
        <w:rPr>
          <w:rFonts w:ascii="Times New Roman" w:hAnsi="Times New Roman"/>
          <w:noProof/>
          <w:sz w:val="24"/>
        </w:rPr>
        <w:t>osiągnąć: w łącznym ujęciu państwa europejskie zajmują drugie miejsce na świecie pod względem wydatków na cele wojskowe. Wraz ze Stanami Zjednoczonymi i innymi państwami Europa odpowiada za światowy pokój i bezpieczeństwo. Działanie wspólnie z naszymi part</w:t>
      </w:r>
      <w:r>
        <w:rPr>
          <w:rFonts w:ascii="Times New Roman" w:hAnsi="Times New Roman"/>
          <w:noProof/>
          <w:sz w:val="24"/>
        </w:rPr>
        <w:t>nerami pozostanie dla UE normą i preferowanym wyborem, jednak powinniśmy być w stanie działać samodzielnie w razie potrzeby.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2016 r. rządy krajowe reagowały bardziej zdecydowanie na naglące zagrożenia dla bezpieczeństwa i obawy swoich obywateli. Budżety</w:t>
      </w:r>
      <w:r>
        <w:rPr>
          <w:rFonts w:ascii="Times New Roman" w:hAnsi="Times New Roman"/>
          <w:noProof/>
          <w:sz w:val="24"/>
        </w:rPr>
        <w:t xml:space="preserve"> na obronę zostały odpowiednio zwiększone. Mamy jednak jeszcze dużo do zrobienia. Dążenie do europejskiej autonomii strategicznej wymaga zarówno większych wydatków na naszą obronę, jak i efektywniejszego i wspólnego dokonywania wydatków (zob. rysunek 2). S</w:t>
      </w:r>
      <w:r>
        <w:rPr>
          <w:rFonts w:ascii="Times New Roman" w:hAnsi="Times New Roman"/>
          <w:noProof/>
          <w:sz w:val="24"/>
        </w:rPr>
        <w:t>tany Zjednoczone już teraz inwestują ponad dwa razy więcej w obronę niż wszystkie państwa członkowskie UE razem wzięte i zwiększą swój budżet o prawie 10 % w 2018 r. Chiny w ostatnim dziesięcioleciu zwiększyły swój budżet obronny o 150 %, a w 2017 r. należ</w:t>
      </w:r>
      <w:r>
        <w:rPr>
          <w:rFonts w:ascii="Times New Roman" w:hAnsi="Times New Roman"/>
          <w:noProof/>
          <w:sz w:val="24"/>
        </w:rPr>
        <w:t>y się spodziewać dalszego wzrostu o 7 %, natomiast Rosja w ostatnim roku zainwestowała w obronę 5,4 % swojego PKB.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/>
          <w:b/>
          <w:noProof/>
          <w:sz w:val="24"/>
        </w:rPr>
      </w:pPr>
    </w:p>
    <w:p w:rsidR="00A01298" w:rsidRDefault="0086299A" w:rsidP="0086299A">
      <w:pPr>
        <w:keepNext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Rysunek 2: Europejskie wydatki na obronę w ujęciu porównawczym</w:t>
      </w:r>
    </w:p>
    <w:p w:rsidR="00A01298" w:rsidRDefault="00A01298" w:rsidP="0086299A">
      <w:pPr>
        <w:keepNext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 wp14:anchorId="11C1F8D9" wp14:editId="5974449E">
            <wp:extent cx="308610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94C8B" wp14:editId="347A66F5">
                <wp:simplePos x="0" y="0"/>
                <wp:positionH relativeFrom="column">
                  <wp:posOffset>2737485</wp:posOffset>
                </wp:positionH>
                <wp:positionV relativeFrom="paragraph">
                  <wp:posOffset>18415</wp:posOffset>
                </wp:positionV>
                <wp:extent cx="3669030" cy="645795"/>
                <wp:effectExtent l="0" t="0" r="0" b="0"/>
                <wp:wrapNone/>
                <wp:docPr id="6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03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1298" w:rsidRDefault="0086299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F5494"/>
                                <w:kern w:val="24"/>
                              </w:rPr>
                              <w:t xml:space="preserve">Źródło: Sztokholmski Międzynarodowy Instytut Badań nad Pokojem (dane z 2016 r.), Janes, Europejski Ośrodek Strategii Politycznej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15.55pt;margin-top:1.45pt;width:288.9pt;height:5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" filled="f" stroked="f">
                <v:textbox style="mso-fit-shape-to-text:t">
                  <w:txbxContent>
                    <w:p w:rsidR="00A01298" w:rsidRDefault="0086299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color w:val="0F5494"/>
                          <w:kern w:val="24"/>
                        </w:rPr>
                        <w:t xml:space="preserve">Źródło: Sztokholmski Międzynarodowy Instytut Badań nad Pokojem (dane z 2016 r.), Janes, Europejski Ośrodek Strategii Politycznej </w:t>
                      </w:r>
                    </w:p>
                  </w:txbxContent>
                </v:textbox>
              </v:shape>
            </w:pict>
          </mc:Fallback>
        </mc:AlternateConten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</w:rPr>
        <w:t>Czynniki polityczne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Przywódcy UE zobowiązali się wzmocnić europejskie bezpieczeństwo i obronę. Tego żądają i oczekują od </w:t>
      </w:r>
      <w:r>
        <w:rPr>
          <w:rFonts w:ascii="Times New Roman" w:hAnsi="Times New Roman"/>
          <w:noProof/>
          <w:sz w:val="24"/>
        </w:rPr>
        <w:t>nich obywatele. Sondaże opinii publicznej jasno pokazują, że kwestia bezpieczeństwa stała się problemem numer jeden dla większości obywateli Europy (zob. rysunek 3), choć przyczyny poczucia braku bezpieczeństwa są różne w poszczególnych państwach członkows</w:t>
      </w:r>
      <w:r>
        <w:rPr>
          <w:rFonts w:ascii="Times New Roman" w:hAnsi="Times New Roman"/>
          <w:noProof/>
          <w:sz w:val="24"/>
        </w:rPr>
        <w:t>kich.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Europejczycy są również zgodni, że wspólne działania państw UE są nieodzowne dla ich bezpieczeństwa. Znaczna większość we wszystkich państwach członkowskich chciałaby zwiększenia aktywności Europy w dziedzinie bezpieczeństwa i obrony (rys. 3). Na ob</w:t>
      </w:r>
      <w:r>
        <w:rPr>
          <w:rFonts w:ascii="Times New Roman" w:hAnsi="Times New Roman"/>
          <w:noProof/>
          <w:sz w:val="24"/>
        </w:rPr>
        <w:t>szarze, w którym towary, usługi, kapitał i osoby mogą swobodnie przepływać, odpowiedzialności za bezpieczeństwo nie da się podzielić ani też bezpieczeństwa nie można w pełni zagwarantować poprzez odrębne działania poszczególnych państw członkowskich. Przes</w:t>
      </w:r>
      <w:r>
        <w:rPr>
          <w:rFonts w:ascii="Times New Roman" w:hAnsi="Times New Roman"/>
          <w:noProof/>
          <w:sz w:val="24"/>
        </w:rPr>
        <w:t xml:space="preserve">łanie wyrażone przez Europejczyków nie pozostawia wątpliwości: bezpieczeństwo i obrona powinny stanowić integralną część działań naszej Unii.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column"/>
      </w: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Rysunek 3: Obawy i żądania obywateli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 wp14:anchorId="56CCA583" wp14:editId="03F66AA2">
            <wp:extent cx="5760720" cy="6093894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9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58CBD" wp14:editId="15D4F7DE">
                <wp:simplePos x="0" y="0"/>
                <wp:positionH relativeFrom="column">
                  <wp:posOffset>3721281</wp:posOffset>
                </wp:positionH>
                <wp:positionV relativeFrom="paragraph">
                  <wp:posOffset>52730</wp:posOffset>
                </wp:positionV>
                <wp:extent cx="2041534" cy="645795"/>
                <wp:effectExtent l="0" t="0" r="0" b="0"/>
                <wp:wrapNone/>
                <wp:docPr id="3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34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1298" w:rsidRDefault="0086299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F5494"/>
                                <w:kern w:val="24"/>
                              </w:rPr>
                              <w:t xml:space="preserve">Źródło: Eurobarometr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293pt;margin-top:4.15pt;width:160.75pt;height:50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" filled="f" stroked="f">
                <v:textbox style="mso-fit-shape-to-text:t">
                  <w:txbxContent>
                    <w:p w:rsidR="00A01298" w:rsidRDefault="0086299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color w:val="0F5494"/>
                          <w:kern w:val="24"/>
                        </w:rPr>
                        <w:t xml:space="preserve">Źródło: Eurobarometr </w:t>
                      </w:r>
                    </w:p>
                  </w:txbxContent>
                </v:textbox>
              </v:shape>
            </w:pict>
          </mc:Fallback>
        </mc:AlternateConten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</w:rPr>
        <w:t>Czynniki ekonomiczne i technologiczne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Rynki obrony są obecnie bardzo rozdrobnione, co powoduje brak interoperacyjności i generuje koszty utraconych korzyści rzędu co najmniej 30 mld EUR. W zestawieniu z wysokością wydatków uzyskane zdolności obronne pozostają dramatycznie nikłe (zob. rysunek</w:t>
      </w:r>
      <w:r>
        <w:rPr>
          <w:rFonts w:ascii="Times New Roman" w:hAnsi="Times New Roman"/>
          <w:noProof/>
          <w:sz w:val="24"/>
        </w:rPr>
        <w:t xml:space="preserve"> 4), a wkład poszczególnych państw członkowskich w obronę europejską jest różny.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We wzajemnie połączonym, rywalizującym i złożonym świecie państwa członkowskie są po prostu za małe, aby samodzielnie osiągać pożądane rezultaty. Mocarstwa o skali kontynent</w:t>
      </w:r>
      <w:r>
        <w:rPr>
          <w:rFonts w:ascii="Times New Roman" w:hAnsi="Times New Roman"/>
          <w:noProof/>
          <w:sz w:val="24"/>
        </w:rPr>
        <w:t>alnej są do tego dużo lepiej predysponowane niż państwa małej i średniej wielkości. Korzyści ekonomii skali mają większe niż kiedykolwiek znaczenie dla poprawy skuteczności i wydajności.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Jest to w dwójnasób ważne, jako że wciąż silna jest presja wywierana</w:t>
      </w:r>
      <w:r>
        <w:rPr>
          <w:rFonts w:ascii="Times New Roman" w:hAnsi="Times New Roman"/>
          <w:noProof/>
          <w:sz w:val="24"/>
        </w:rPr>
        <w:t xml:space="preserve"> na budżety krajowe. Napięcia, jakie powoduje rozdźwięk między ograniczeniami budżetowymi a konkurencyjnymi priorytetami polityki publicznej, pozostaną charakterystyczną cechą polityki gospodarczej wielu państw członkowskich. Jednocześnie nasili się konkur</w:t>
      </w:r>
      <w:r>
        <w:rPr>
          <w:rFonts w:ascii="Times New Roman" w:hAnsi="Times New Roman"/>
          <w:noProof/>
          <w:sz w:val="24"/>
        </w:rPr>
        <w:t>encja pomiędzy światowymi potęgami przemysłowymi, co spowoduje, że konieczne stanie się bardziej efektywne wykorzystanie zasobów (gospodarka o obiegu zamkniętym). Jeśli Europa chce być konkurencyjna w skali ogólnoświatowej, będzie musiała połączyć i zinteg</w:t>
      </w:r>
      <w:r>
        <w:rPr>
          <w:rFonts w:ascii="Times New Roman" w:hAnsi="Times New Roman"/>
          <w:noProof/>
          <w:sz w:val="24"/>
        </w:rPr>
        <w:t xml:space="preserve">rować swój najlepszy potencjał przemysłowo-technologiczny.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Zmiany technologiczne również radykalnie przekształcają charakter i oblicze obrony i bezpieczeństwa. Duże zbiory danych, technologia chmury obliczeniowej, jak również pojazdy bezzałogowe i sztucz</w:t>
      </w:r>
      <w:r>
        <w:rPr>
          <w:rFonts w:ascii="Times New Roman" w:hAnsi="Times New Roman"/>
          <w:noProof/>
          <w:sz w:val="24"/>
        </w:rPr>
        <w:t>na inteligencja rewolucjonizują sektor obrony. Zwiększają one także przewagę technologiczną sektora cywilnego w dziedzinie obronności. Względna dostępność tego typu technologii umożliwia jednak również gwałtowne nasilenie niekonwencjonalnych, ponadnarodowy</w:t>
      </w:r>
      <w:r>
        <w:rPr>
          <w:rFonts w:ascii="Times New Roman" w:hAnsi="Times New Roman"/>
          <w:noProof/>
          <w:sz w:val="24"/>
        </w:rPr>
        <w:t>ch i asymetrycznych zagrożeń, takich jak ataki hybrydowe, terrorystyczne, cyberataki oraz ataki chemiczne, biologiczne i radiologiczne. Gwałtowny wzrost liczby użytkowników internetu spowodował, że cyberprzestępczość i wykorzystywanie sieci do celów terror</w:t>
      </w:r>
      <w:r>
        <w:rPr>
          <w:rFonts w:ascii="Times New Roman" w:hAnsi="Times New Roman"/>
          <w:noProof/>
          <w:sz w:val="24"/>
        </w:rPr>
        <w:t xml:space="preserve">ystycznych stały się nowym frontem działań wojennych w XXI wieku.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Sięgając dalej w przyszłość, efektywne europejskie bezpieczeństwo i obrona zależeć będą od skutecznej koordynacji głównych inwestycji UE i jej państw członkowskich w badania i rozwój. Pomo</w:t>
      </w:r>
      <w:r>
        <w:rPr>
          <w:rFonts w:ascii="Times New Roman" w:hAnsi="Times New Roman"/>
          <w:noProof/>
          <w:sz w:val="24"/>
        </w:rPr>
        <w:t xml:space="preserve">że to dotrzymać kroku nowym tendencjom i wytworzyć potencjał technologiczno-przemysłowy, którego Europa potrzebuje do zapewnienia sobie autonomii strategicznej.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86299A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Rysunek 4: Powielanie wydatków na obronę europejską</w:t>
      </w:r>
    </w:p>
    <w:p w:rsidR="00A01298" w:rsidRDefault="00A0129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napToGrid w:val="0"/>
          <w:color w:val="000000"/>
          <w:w w:val="0"/>
          <w:sz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en-GB" w:eastAsia="en-GB" w:bidi="ar-SA"/>
        </w:rPr>
        <w:drawing>
          <wp:inline distT="0" distB="0" distL="0" distR="0" wp14:anchorId="2635C4E2" wp14:editId="77CEE5A5">
            <wp:extent cx="5760720" cy="675105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298" w:rsidRDefault="0086299A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CD916" wp14:editId="3A30FB48">
                <wp:simplePos x="0" y="0"/>
                <wp:positionH relativeFrom="column">
                  <wp:posOffset>2856865</wp:posOffset>
                </wp:positionH>
                <wp:positionV relativeFrom="paragraph">
                  <wp:posOffset>154940</wp:posOffset>
                </wp:positionV>
                <wp:extent cx="3176270" cy="1200150"/>
                <wp:effectExtent l="0" t="0" r="0" b="0"/>
                <wp:wrapNone/>
                <wp:docPr id="181" name="Text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27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1298" w:rsidRDefault="0086299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F5494"/>
                                <w:kern w:val="24"/>
                              </w:rPr>
                              <w:t xml:space="preserve">Źródło: Sztokholmski </w:t>
                            </w:r>
                            <w:r>
                              <w:rPr>
                                <w:rFonts w:ascii="Verdana" w:hAnsi="Verdana" w:cstheme="minorBidi"/>
                                <w:color w:val="0F5494"/>
                                <w:kern w:val="24"/>
                              </w:rPr>
                              <w:t>Międzynarodowy Instytut Badań nad Pokojem (dane z 2016 r.), Międzynarodowy Instytut Badań Strategicznych („Military Balance”, 2017 r.), Europejski Ośrodek Strategii Politycznej</w:t>
                            </w:r>
                          </w:p>
                          <w:p w:rsidR="00A01298" w:rsidRDefault="0086299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F5494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0" o:spid="_x0000_s1030" type="#_x0000_t202" style="position:absolute;left:0;text-align:left;margin-left:224.95pt;margin-top:12.2pt;width:250.1pt;height:9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" filled="f" stroked="f">
                <v:textbox style="mso-fit-shape-to-text:t">
                  <w:txbxContent>
                    <w:p w:rsidR="00A01298" w:rsidRDefault="0086299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color w:val="0F5494"/>
                          <w:kern w:val="24"/>
                        </w:rPr>
                        <w:t xml:space="preserve">Źródło: Sztokholmski </w:t>
                      </w:r>
                      <w:r>
                        <w:rPr>
                          <w:rFonts w:ascii="Verdana" w:hAnsi="Verdana" w:cstheme="minorBidi"/>
                          <w:color w:val="0F5494"/>
                          <w:kern w:val="24"/>
                        </w:rPr>
                        <w:t>Międzynarodowy Instytut Badań nad Pokojem (dane z 2016 r.), Międzynarodowy Instytut Badań Strategicznych („Military Balance”, 2017 r.), Europejski Ośrodek Strategii Politycznej</w:t>
                      </w:r>
                    </w:p>
                    <w:p w:rsidR="00A01298" w:rsidRDefault="0086299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color w:val="0F5494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1298" w:rsidRDefault="00A0129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A0129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6299A" w:rsidRDefault="0086299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86299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Europa w 2025 r. – ku Unii Bezpieczeństwa i Obrony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Zagrożenia dla </w:t>
      </w:r>
      <w:r>
        <w:rPr>
          <w:rFonts w:ascii="Times New Roman" w:hAnsi="Times New Roman"/>
          <w:noProof/>
          <w:sz w:val="24"/>
        </w:rPr>
        <w:t>bezpieczeństwa są niedaleko od naszych granic i obywateli. Przywódcy polityczni zaczęli już reagować na te tendencje. Podjęto szereg inicjatyw w celu wdrożenia globalnej strategii w dziedzinie bezpieczeństwa i obrony, zacieśnienia stosunków między UE i NAT</w:t>
      </w:r>
      <w:r>
        <w:rPr>
          <w:rFonts w:ascii="Times New Roman" w:hAnsi="Times New Roman"/>
          <w:noProof/>
          <w:sz w:val="24"/>
        </w:rPr>
        <w:t xml:space="preserve">O oraz umożliwienia państwom członkowskim zaangażowania się w badania w dziedzinie obronności i wspólnego budowania potencjału obronnego.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Stopniowo powstają fundamenty Europejskiej Unii Bezpieczeństwa i Obrony. Jedynie zdecydowane dążenie tą drogą sprawi</w:t>
      </w:r>
      <w:r>
        <w:rPr>
          <w:rFonts w:ascii="Times New Roman" w:hAnsi="Times New Roman"/>
          <w:noProof/>
          <w:sz w:val="24"/>
        </w:rPr>
        <w:t>, że nasi obywatele poczują się bezpieczni i będą bezpieczni. Osiągnięcie tego celu będzie wymagało postępów w szeregu obszarów.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 pierwsze, aby państwa członkowskie były silniejsze i bardziej suwerenne w zglobalizowanym świecie, potrzebna jest szersza </w:t>
      </w:r>
      <w:r>
        <w:rPr>
          <w:rFonts w:ascii="Times New Roman" w:hAnsi="Times New Roman"/>
          <w:noProof/>
          <w:sz w:val="24"/>
        </w:rPr>
        <w:t>współpraca w ramach Unii Europejskiej, również w kwestiach obronności. Będzie się ona odbywać z pełnym poszanowaniem konstytucyjnych praw i obowiązków każdego kraju. Systematyczna współpraca w dziedzinie obrony i stopniowa integracja przyczynią się w istoc</w:t>
      </w:r>
      <w:r>
        <w:rPr>
          <w:rFonts w:ascii="Times New Roman" w:hAnsi="Times New Roman"/>
          <w:noProof/>
          <w:sz w:val="24"/>
        </w:rPr>
        <w:t>ie do zachowania suwerenności państw.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 drugie, istnieją historyczne różnice w postrzeganiu zagrożeń i podejściach do strategii. Charakter zagrożeń również z czasem się zmienił. Stoimy obecnie w obliczu zagrożeń hybrydowych i ponadnarodowych oraz musimy </w:t>
      </w:r>
      <w:r>
        <w:rPr>
          <w:rFonts w:ascii="Times New Roman" w:hAnsi="Times New Roman"/>
          <w:noProof/>
          <w:sz w:val="24"/>
        </w:rPr>
        <w:t>uwzględniać znaczny wpływ konfliktów w otaczających regionach. Unia Bezpieczeństwa i Obrony powinna stanowić bodziec do ściślejszego dostosowania podejść do strategii oraz wspólnego rozumienia zagrożeń i odpowiedniej reakcji na nie. Wymagać ona będzie wspó</w:t>
      </w:r>
      <w:r>
        <w:rPr>
          <w:rFonts w:ascii="Times New Roman" w:hAnsi="Times New Roman"/>
          <w:noProof/>
          <w:sz w:val="24"/>
        </w:rPr>
        <w:t xml:space="preserve">lnego podejmowania decyzji i działania, jak również większej solidarności finansowej na poziomie europejskim.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 trzecie, charakter relacji transatlantyckich podlega ewolucji. Bardziej niż kiedykolwiek Europejczycy muszą wziąć większą odpowiedzialność za</w:t>
      </w:r>
      <w:r>
        <w:rPr>
          <w:rFonts w:ascii="Times New Roman" w:hAnsi="Times New Roman"/>
          <w:noProof/>
          <w:sz w:val="24"/>
        </w:rPr>
        <w:t xml:space="preserve"> własne bezpieczeństwo. Tak jak to ma obecnie miejsce, UE i NATO będą nadal koordynować swoje działania zarówno w zakresie „twardego”, jak i „miękkiego” bezpieczeństwa. Jednocześnie UE zapewni ramy, w obrębie których – po wyjściu Wielkiej Brytanii z UE – 2</w:t>
      </w:r>
      <w:r>
        <w:rPr>
          <w:rFonts w:ascii="Times New Roman" w:hAnsi="Times New Roman"/>
          <w:noProof/>
          <w:sz w:val="24"/>
        </w:rPr>
        <w:t>7 państw członkowskich, z których 21 jest państwami sojuszniczymi NATO (zob. rysunek 5), będzie wspólnie wzmacniać obronność i naprawiać istniejące niedociągnięcia. Pozwoli to UE-27 wziąć w większym stopniu odpowiedzialność za własne bezpieczeństwo i zrobi</w:t>
      </w:r>
      <w:r>
        <w:rPr>
          <w:rFonts w:ascii="Times New Roman" w:hAnsi="Times New Roman"/>
          <w:noProof/>
          <w:sz w:val="24"/>
        </w:rPr>
        <w:t xml:space="preserve">ć faktyczny krok naprzód, jeśli chodzi o wkład w międzynarodowy pokój i bezpieczeństwo. </w:t>
      </w:r>
    </w:p>
    <w:p w:rsidR="00A01298" w:rsidRDefault="00A01298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 czwarte, musimy zwiększyć zakres i efektywność wydatków na obronę. Powielanie działań przez państwa członkowskie może negatywnie wpływać na interoperacyjność ich s</w:t>
      </w:r>
      <w:r>
        <w:rPr>
          <w:rFonts w:ascii="Times New Roman" w:hAnsi="Times New Roman"/>
          <w:noProof/>
          <w:sz w:val="24"/>
        </w:rPr>
        <w:t>przętu wojskowego. Może również prowadzić do braku przygotowania i gotowości sił zbrojnych oraz luk w zdolnościach obronnych. Aby temu zaradzić, państwa członkowskie powinny lepiej koordynować swoje wydatki na obronę. Przeważająca część środków finansowych</w:t>
      </w:r>
      <w:r>
        <w:rPr>
          <w:rFonts w:ascii="Times New Roman" w:hAnsi="Times New Roman"/>
          <w:noProof/>
          <w:sz w:val="24"/>
        </w:rPr>
        <w:t xml:space="preserve"> przeznaczonych na obronę będzie nadal pochodzić ze źródeł krajowych. Jednakże budżet UE odzwierciedlający nowe ambicje w zakresie obronności, w połączeniu z zakrojonym na wielką skalę Europejskim Funduszem Obronnym, powinny umożliwić Europejczykom skutecz</w:t>
      </w:r>
      <w:r>
        <w:rPr>
          <w:rFonts w:ascii="Times New Roman" w:hAnsi="Times New Roman"/>
          <w:noProof/>
          <w:sz w:val="24"/>
        </w:rPr>
        <w:t xml:space="preserve">niejsze wydawanie i optymalne wykorzystanie środków finansowych. Rada Europejska mogłaby rozważyć, w jaki sposób pokonać obecne ograniczenia we wspólnym finansowaniu aspektów wojskowych UE, postępując w kierunku wspólnej obrony.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Ponadto systematyczna wsp</w:t>
      </w:r>
      <w:r>
        <w:rPr>
          <w:rFonts w:ascii="Times New Roman" w:hAnsi="Times New Roman"/>
          <w:noProof/>
          <w:sz w:val="24"/>
        </w:rPr>
        <w:t>ółpraca i integracja w zakresie obronności wymaga z kolei prawdziwego jednolitego rynku na użytek obronności. Oznacza to stymulowanie konkurencji przemysłowej, dostęp transgraniczny do łańcucha dostaw dla mniejszych gałęzi przemysłu, specjalizację, korzyśc</w:t>
      </w:r>
      <w:r>
        <w:rPr>
          <w:rFonts w:ascii="Times New Roman" w:hAnsi="Times New Roman"/>
          <w:noProof/>
          <w:sz w:val="24"/>
        </w:rPr>
        <w:t>i skali dla dostawców, optymalizację zdolności produkcyjnych, niższe koszty produkcji i bezpieczeństwo dostaw. Jednolity rynek na użytek obronności ułatwiłby również prowadzenie badań o krytycznym znaczeniu i powstawanie nowych przedsiębiorstw, co umożliwi</w:t>
      </w:r>
      <w:r>
        <w:rPr>
          <w:rFonts w:ascii="Times New Roman" w:hAnsi="Times New Roman"/>
          <w:noProof/>
          <w:sz w:val="24"/>
        </w:rPr>
        <w:t>ałoby opracowywanie kluczowych technologii, których Europa potrzebuje, aby sprostać zagrożeniom dla jej bezpieczeństwa. Zmiany pociągną jednak za sobą również koszty i uzasadnione obawy, którymi trzeba będzie się zająć, stosując odpowiednie środki i zapewn</w:t>
      </w:r>
      <w:r>
        <w:rPr>
          <w:rFonts w:ascii="Times New Roman" w:hAnsi="Times New Roman"/>
          <w:noProof/>
          <w:sz w:val="24"/>
        </w:rPr>
        <w:t xml:space="preserve">iając ochronę interesów bezpieczeństwa narodowego.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Rysunek 5: Członkowie UE i członkowie NATO (2017 r.)</w:t>
      </w:r>
    </w:p>
    <w:p w:rsidR="00A01298" w:rsidRDefault="008629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 wp14:anchorId="0424CE47" wp14:editId="130A3A76">
            <wp:extent cx="4867275" cy="44653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46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16AFB" wp14:editId="3C21D5CF">
                <wp:simplePos x="0" y="0"/>
                <wp:positionH relativeFrom="column">
                  <wp:posOffset>2289810</wp:posOffset>
                </wp:positionH>
                <wp:positionV relativeFrom="paragraph">
                  <wp:posOffset>-635</wp:posOffset>
                </wp:positionV>
                <wp:extent cx="3554095" cy="27686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1298" w:rsidRDefault="0086299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F5494"/>
                                <w:kern w:val="24"/>
                              </w:rPr>
                              <w:t xml:space="preserve">Źródło: Europejski Ośrodek Strategii Politycznej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1" type="#_x0000_t202" style="position:absolute;left:0;text-align:left;margin-left:180.3pt;margin-top:-.05pt;width:279.85pt;height:21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" filled="f" stroked="f">
                <v:textbox style="mso-fit-shape-to-text:t">
                  <w:txbxContent>
                    <w:p w:rsidR="00A01298" w:rsidRDefault="0086299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color w:val="0F5494"/>
                          <w:kern w:val="24"/>
                        </w:rPr>
                        <w:t xml:space="preserve">Źródło: Europejski Ośrodek Strategii Politycznej </w:t>
                      </w:r>
                    </w:p>
                  </w:txbxContent>
                </v:textbox>
              </v:shape>
            </w:pict>
          </mc:Fallback>
        </mc:AlternateConten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W zależności od woli politycznej państw członkowskich do czynienia postępów we wspomnianych kwestiach można przewidzieć trzy scenariusze rozwoju sytuacji do roku 2025.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Wszystkie te scenariusze są stopniowymi krokami w tym samym kierunku. Wszystkie one uw</w:t>
      </w:r>
      <w:r>
        <w:rPr>
          <w:rFonts w:ascii="Times New Roman" w:hAnsi="Times New Roman"/>
          <w:noProof/>
          <w:sz w:val="24"/>
        </w:rPr>
        <w:t>zględniają wymienione powyżej różne tendencje i czynniki strategiczne. Elementy poszczególnych scenariuszy nie są wyczerpujące ani nie wykluczają się wzajemnie. Kładzie się w nich raczej nacisk na inne elementy, jeżeli chodzi o solidarność, operacje, zdoln</w:t>
      </w:r>
      <w:r>
        <w:rPr>
          <w:rFonts w:ascii="Times New Roman" w:hAnsi="Times New Roman"/>
          <w:noProof/>
          <w:sz w:val="24"/>
        </w:rPr>
        <w:t>ości, przemysł i wykorzystanie środków finansowych, w zależności od stopnia zaangażowania w Unię Bezpieczeństwa i Obrony. W scenariuszach tych opisano, do jakiego stopnia można uwolnić potencjalną unijną wartość dodaną w zależności od chęci państw członkow</w:t>
      </w:r>
      <w:r>
        <w:rPr>
          <w:rFonts w:ascii="Times New Roman" w:hAnsi="Times New Roman"/>
          <w:noProof/>
          <w:sz w:val="24"/>
        </w:rPr>
        <w:t>skich. Niektóre z elementów wymienionych w scenariuszach są już obecnie badane lub wdrażane. Wspomniane trzy scenariusze mają charakter opisowy i nie przesądzają ostatecznego stanowiska prawnego i politycznego Komisji.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</w:rPr>
        <w:t>a) Współpraca w zakresie bezpieczeńs</w:t>
      </w:r>
      <w:r>
        <w:rPr>
          <w:rFonts w:ascii="Times New Roman" w:hAnsi="Times New Roman"/>
          <w:b/>
          <w:i/>
          <w:noProof/>
          <w:sz w:val="24"/>
        </w:rPr>
        <w:t>twa i obrony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</w:p>
    <w:p w:rsidR="00A01298" w:rsidRDefault="0086299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ramach tego scenariusza 27 państw członkowskich UE będzie współpracować w sprawach bezpieczeństwa i obrony częściej niż w przeszłości.</w:t>
      </w:r>
    </w:p>
    <w:p w:rsidR="00A01298" w:rsidRDefault="00A0129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Współpraca ta pozostanie w głównej mierze dobrowolna i będzie zależeć od doraźnych decyzji podejmowanych</w:t>
      </w:r>
      <w:r>
        <w:rPr>
          <w:rFonts w:ascii="Times New Roman" w:hAnsi="Times New Roman"/>
          <w:noProof/>
          <w:sz w:val="24"/>
        </w:rPr>
        <w:t xml:space="preserve"> wtedy, gdy wynikną nowe zagrożenia lub kryzysy – i o ile takowe wynikną. Coraz bardziej złożony i niestabilny świat będzie dawać podstawy do ściślejszej współpracy niż w minionych dziesięcioleciach, jednakże państwa członkowskie nie będą związane – polity</w:t>
      </w:r>
      <w:r>
        <w:rPr>
          <w:rFonts w:ascii="Times New Roman" w:hAnsi="Times New Roman"/>
          <w:noProof/>
          <w:sz w:val="24"/>
        </w:rPr>
        <w:t>cznie ani prawnie – do podążania we wspólnym kierunku w kwestiach bezpieczeństwa i obrony. Solidarność będzie interpretowana i manifestowana przez każde państwo członkowskie w zależności od poszczególnych przypadków.</w:t>
      </w:r>
    </w:p>
    <w:p w:rsidR="00A01298" w:rsidRDefault="00A0129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Unia Europejska będzie nadal mogła uru</w:t>
      </w:r>
      <w:r>
        <w:rPr>
          <w:rFonts w:ascii="Times New Roman" w:hAnsi="Times New Roman"/>
          <w:noProof/>
          <w:sz w:val="24"/>
        </w:rPr>
        <w:t>chamiać misje cywilne oraz misje i operacje wojskowe na stosunkowo niewielką skalę, mające na celu zarządzanie kryzysami. Będzie się głównie angażować w misje mające na celu budowanie potencjału, aby umacniać i reformować aparaty bezpieczeństwa i obrony kr</w:t>
      </w:r>
      <w:r>
        <w:rPr>
          <w:rFonts w:ascii="Times New Roman" w:hAnsi="Times New Roman"/>
          <w:noProof/>
          <w:sz w:val="24"/>
        </w:rPr>
        <w:t>ajów partnerskich, wzmacniając również przez to własną odporność UE. Bardziej skomplikowane operacje na większą skalę będą inicjowane przez państwa członkowskie dysponujące największymi możliwościami. W każdym przypadku strategiczny margines manewru Unii z</w:t>
      </w:r>
      <w:r>
        <w:rPr>
          <w:rFonts w:ascii="Times New Roman" w:hAnsi="Times New Roman"/>
          <w:noProof/>
          <w:sz w:val="24"/>
        </w:rPr>
        <w:t xml:space="preserve">ależeć będzie od stopnia, w jakim państwa członkowskie będą w stanie się porozumieć. </w:t>
      </w:r>
    </w:p>
    <w:p w:rsidR="00A01298" w:rsidRDefault="00A0129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UE będzie uzupełniać starania poszczególnych państw członkowskich i naszych głównych partnerów. W szczególności zacieśniana będzie współpraca z NATO w obszarach takich j</w:t>
      </w:r>
      <w:r>
        <w:rPr>
          <w:rFonts w:ascii="Times New Roman" w:hAnsi="Times New Roman"/>
          <w:noProof/>
          <w:sz w:val="24"/>
        </w:rPr>
        <w:t>ak zagrożenia hybrydowe oraz bezpieczeństwo cybernetyczne i morskie, gdzie skuteczna reakcja wymaga połączenia twardej i miękkiej siły. Jednakże tam gdzie UE i NATO są jednocześnie obecne, NATO będzie nadal polegać na większych zdolnościach wojskowych, któ</w:t>
      </w:r>
      <w:r>
        <w:rPr>
          <w:rFonts w:ascii="Times New Roman" w:hAnsi="Times New Roman"/>
          <w:noProof/>
          <w:sz w:val="24"/>
        </w:rPr>
        <w:t xml:space="preserve">rymi dysponuje, natomiast UE będzie korzystać z szerszego wachlarza środków i łączyć „miękkie” narzędzia, instrumenty i działania z ukierunkowanymi misjami i operacjami wojskowymi. </w:t>
      </w:r>
    </w:p>
    <w:p w:rsidR="00A01298" w:rsidRDefault="00A0129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Reakcja na zagrożenia niekonwencjonalne, które wymykają się podziałowi na</w:t>
      </w:r>
      <w:r>
        <w:rPr>
          <w:rFonts w:ascii="Times New Roman" w:hAnsi="Times New Roman"/>
          <w:noProof/>
          <w:sz w:val="24"/>
        </w:rPr>
        <w:t xml:space="preserve"> politykę wewnętrzną i zewnętrzną, takie jak terroryzm, zagrożenia hybrydowe lub cybernetyczne, w głównej mierze zachowa charakter krajowy, lecz stanie się skuteczniejsza dzięki większemu wsparciu na poziomie UE. Unia Europejska będzie ułatwiać szerszą wym</w:t>
      </w:r>
      <w:r>
        <w:rPr>
          <w:rFonts w:ascii="Times New Roman" w:hAnsi="Times New Roman"/>
          <w:noProof/>
          <w:sz w:val="24"/>
        </w:rPr>
        <w:t>ianę informacji służącą poszerzeniu wiedzy i wzmocnieniu odporności państw członkowskich. Krajowe służby bezpieczeństwa i wywiadu będą systematyczniej wymieniać informacje w celu lepszego i wspólnego rozpoznawania zagrożeń zewnętrznych. Państwa członkowski</w:t>
      </w:r>
      <w:r>
        <w:rPr>
          <w:rFonts w:ascii="Times New Roman" w:hAnsi="Times New Roman"/>
          <w:noProof/>
          <w:sz w:val="24"/>
        </w:rPr>
        <w:t>e nasilą wymianę informacji o zagrożeniach cybernetycznych i cyberatakach, co umożliwi im wypracowanie skuteczniejszych krajowych strategii, zdolności i reakcji. Unia będzie się również bezpośrednio przyczyniać do wzmacniania odporności infrastruktur kryty</w:t>
      </w:r>
      <w:r>
        <w:rPr>
          <w:rFonts w:ascii="Times New Roman" w:hAnsi="Times New Roman"/>
          <w:noProof/>
          <w:sz w:val="24"/>
        </w:rPr>
        <w:t xml:space="preserve">cznych, łańcuchów dostaw oraz społeczeństw, w dziedzinach takich jak energetyka i przestrzeń kosmiczna. Europejska Straż Graniczna i Przybrzeżna pomoże monitorować i chronić granice zewnętrzne UE. </w:t>
      </w:r>
    </w:p>
    <w:p w:rsidR="00A01298" w:rsidRDefault="00A0129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A01298" w:rsidRDefault="0086299A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Współpraca w zakresie obronności pozostanie celem </w:t>
      </w:r>
      <w:r>
        <w:rPr>
          <w:rFonts w:ascii="Times New Roman" w:hAnsi="Times New Roman"/>
          <w:noProof/>
          <w:sz w:val="24"/>
        </w:rPr>
        <w:t>politycznym. Będzie więcej wspólnej pracy, zwłaszcza przy opracowywaniu wybranych technologii o krytycznym znaczeniu lub w związku z elementami umożliwiającymi operacje wojskowe od strony logistycznej. Poszerzanie współpracy będzie inicjowane głównie oddol</w:t>
      </w:r>
      <w:r>
        <w:rPr>
          <w:rFonts w:ascii="Times New Roman" w:hAnsi="Times New Roman"/>
          <w:noProof/>
          <w:sz w:val="24"/>
        </w:rPr>
        <w:t>nie, wskutek omówionych powyżej czynników ekonomicznych i technologicznych. Będzie ono również wiązać się ze staraniami na rzecz zwiększenia przejrzystości planowania obronnego państw członkowskich, z utworzeniem unijnego programu badań w zakresie obronnoś</w:t>
      </w:r>
      <w:r>
        <w:rPr>
          <w:rFonts w:ascii="Times New Roman" w:hAnsi="Times New Roman"/>
          <w:noProof/>
          <w:sz w:val="24"/>
        </w:rPr>
        <w:t>ci oraz ustanowieniem Europejskiego Funduszu Obronnego w celu wspólnego wypracowywania nowych zdolności. Te inicjatywy będą wspierać europejską autonomię strategiczną w zakresie technologii o krytycznym znaczeniu i sprawią, że wydatki na obronę będą skutec</w:t>
      </w:r>
      <w:r>
        <w:rPr>
          <w:rFonts w:ascii="Times New Roman" w:hAnsi="Times New Roman"/>
          <w:noProof/>
          <w:sz w:val="24"/>
        </w:rPr>
        <w:t>zniej wykorzystywane.</w:t>
      </w:r>
    </w:p>
    <w:p w:rsidR="00A01298" w:rsidRDefault="00A0129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Europejski przemysł obronny będzie jednak nadal rozdrobniony. Przeważająca część zdolności obronnych, a w szczególności złożone platformy, będzie nadal opracowywana i zamawiana na szczeblu krajowym. Niewielki wzrost wydatków państw c</w:t>
      </w:r>
      <w:r>
        <w:rPr>
          <w:rFonts w:ascii="Times New Roman" w:hAnsi="Times New Roman"/>
          <w:noProof/>
          <w:sz w:val="24"/>
        </w:rPr>
        <w:t>złonkowskich na obronę nie będzie na ogół zagospodarowywany wspólnie. W rezultacie tylko nieliczne państwa UE będą utrzymywać wszystkie rodzaje sił zbrojnych, o ile w ogóle takie państwa będą. Działania UE w zakresie bezpieczeństwa i obrony będą nadal zale</w:t>
      </w:r>
      <w:r>
        <w:rPr>
          <w:rFonts w:ascii="Times New Roman" w:hAnsi="Times New Roman"/>
          <w:noProof/>
          <w:sz w:val="24"/>
        </w:rPr>
        <w:t xml:space="preserve">żeć od dobrowolnych wkładów krajowych, co będzie prowadzić do niedostatecznej współpracy w krytycznych obszarach, takich jak najbardziej zaawansowane zdolności. Ograniczy to możliwość angażowania się UE w najtrudniejsze misje. </w:t>
      </w:r>
    </w:p>
    <w:p w:rsidR="00A01298" w:rsidRDefault="00A0129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</w:rPr>
        <w:t>b) Podział zadań w zakresie</w:t>
      </w:r>
      <w:r>
        <w:rPr>
          <w:rFonts w:ascii="Times New Roman" w:hAnsi="Times New Roman"/>
          <w:b/>
          <w:i/>
          <w:noProof/>
          <w:sz w:val="24"/>
        </w:rPr>
        <w:t xml:space="preserve"> bezpieczeństwa i obrony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ramach tego scenariusza 27 państw członkowskich UE podążać będzie w kierunku dzielenia się zadaniami w zakresie bezpieczeństwa i obrony. Wykazywać one będą znacznie większą solidarność finansową i operacyjną w dziedzinie obrony,</w:t>
      </w:r>
      <w:r>
        <w:rPr>
          <w:rFonts w:ascii="Times New Roman" w:hAnsi="Times New Roman"/>
          <w:noProof/>
          <w:sz w:val="24"/>
        </w:rPr>
        <w:t xml:space="preserve"> opierając się na szerszym i dogłębniejszym postrzeganiu poszczególnych zagrożeń oraz ujednoliceniu podejść do strategii.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rezultacie UE zwiększy swoją zdolność przerzucania sił zbrojnych oraz pełnego zaangażowania w zarządzanie kryzysami zewnętrznymi i</w:t>
      </w:r>
      <w:r>
        <w:rPr>
          <w:rFonts w:ascii="Times New Roman" w:hAnsi="Times New Roman"/>
          <w:noProof/>
          <w:sz w:val="24"/>
        </w:rPr>
        <w:t xml:space="preserve"> budowanie potencjału partnerów w zakresie bezpieczeństwa i obrony. Poprawi również swoją zdolność ochrony Europy w obszarach, które wymykają się podziałowi na sferę wewnętrzną i zewnętrzną, takich jak walka z terroryzmem, zwalczanie zagrożeń hybrydowych i</w:t>
      </w:r>
      <w:r>
        <w:rPr>
          <w:rFonts w:ascii="Times New Roman" w:hAnsi="Times New Roman"/>
          <w:noProof/>
          <w:sz w:val="24"/>
        </w:rPr>
        <w:t xml:space="preserve"> cybernetycznych, kontrola graniczna oraz bezpieczeństwo morskie i energetyczne.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Współpraca UE z NATO zostanie jeszcze bardziej zacieśniona. UE i NATO będą systematycznie współpracować i koordynować uruchamianie pełnego zakresu swoich odpowiednich narzęd</w:t>
      </w:r>
      <w:r>
        <w:rPr>
          <w:rFonts w:ascii="Times New Roman" w:hAnsi="Times New Roman"/>
          <w:noProof/>
          <w:sz w:val="24"/>
        </w:rPr>
        <w:t>zi i instrumentów. Na zewnątrz UE i NATO wzmocnią koordynację swoich działań w zakresie zarządzania kryzysowego i budowania potencjału, na przykład poprzez skoordynowane operacje nadzoru, interwencje przeciwko grupom terrorystycznym lub misje na rzecz bezp</w:t>
      </w:r>
      <w:r>
        <w:rPr>
          <w:rFonts w:ascii="Times New Roman" w:hAnsi="Times New Roman"/>
          <w:noProof/>
          <w:sz w:val="24"/>
        </w:rPr>
        <w:t>ieczeństwa morskiego i ochrony granic. Tam gdzie zazębiają się kwestie bezpieczeństwa wewnętrznego i zewnętrznego, UE podejmie bardziej zdecydowane działania na rzecz opanowania tych zagrożeń i wyzwań, które sytuują się poniżej progu wyznaczonego przez kla</w:t>
      </w:r>
      <w:r>
        <w:rPr>
          <w:rFonts w:ascii="Times New Roman" w:hAnsi="Times New Roman"/>
          <w:noProof/>
          <w:sz w:val="24"/>
        </w:rPr>
        <w:t xml:space="preserve">uzulę obrony zbiorowej w traktacie waszyngtońskim.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Jeżeli chodzi o zarządzanie kryzysowe, UE znacznie zwiększy swoją zdolność przerzucania na zewnątrz sił zbrojnych, co umożliwi jej prowadzenie intensywnych operacji zwalczania terroryzmu i zagrożeń hybry</w:t>
      </w:r>
      <w:r>
        <w:rPr>
          <w:rFonts w:ascii="Times New Roman" w:hAnsi="Times New Roman"/>
          <w:noProof/>
          <w:sz w:val="24"/>
        </w:rPr>
        <w:t>dowych. Więcej będzie unijnych misji – cywilnych i wojskowych – na rzecz budowania potencjału, co pomoże zwiększyć odporność krajów położonych w regionach otaczających Unię i bardziej odległych. Stanie się to łatwiejsze dzięki skuteczniejszym i solidniejsz</w:t>
      </w:r>
      <w:r>
        <w:rPr>
          <w:rFonts w:ascii="Times New Roman" w:hAnsi="Times New Roman"/>
          <w:noProof/>
          <w:sz w:val="24"/>
        </w:rPr>
        <w:t>ym strukturom zarządzania kryzysowego. Będzie to również wymagać większej gotowości ze strony państw członkowskich posiadających najsilniejsze siły zbrojne do wspólnego przeprowadzania trudnych misji i operacji zarządzania kryzysowego w imieniu Unii zgodni</w:t>
      </w:r>
      <w:r>
        <w:rPr>
          <w:rFonts w:ascii="Times New Roman" w:hAnsi="Times New Roman"/>
          <w:noProof/>
          <w:sz w:val="24"/>
        </w:rPr>
        <w:t>e z art. 44 Traktatu o Unii Europejskiej. Większej zdolności do działania odpowiadać będzie wola polityczna ich prowadzenia. Podejmowanie decyzji stanie się szybsze i dorówna gwałtownej prędkości, z jaką zmienia się kontekst strategiczny. UE stanie się ost</w:t>
      </w:r>
      <w:r>
        <w:rPr>
          <w:rFonts w:ascii="Times New Roman" w:hAnsi="Times New Roman"/>
          <w:noProof/>
          <w:sz w:val="24"/>
        </w:rPr>
        <w:t>atecznie silniejszym i energiczniej reagującym dostarczycielem bezpieczeństwa o strategicznej autonomii pozwalającej działać samodzielnie lub wspólnie z głównymi partnerami.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W ramach tego scenariusza UE będzie bardziej bezpośrednio zaangażowana w ochronę </w:t>
      </w:r>
      <w:r>
        <w:rPr>
          <w:rFonts w:ascii="Times New Roman" w:hAnsi="Times New Roman"/>
          <w:noProof/>
          <w:sz w:val="24"/>
        </w:rPr>
        <w:t>państw członkowskich i ich obywateli w przypadku poważnych ataków lub zakłóceń wymierzonych w dany kraj lub jego infrastruktury krytyczne. UE umożliwi współpracę między państwami członkowskimi dotyczącą systematycznego zgłaszania cyberataków. Pomoże ona po</w:t>
      </w:r>
      <w:r>
        <w:rPr>
          <w:rFonts w:ascii="Times New Roman" w:hAnsi="Times New Roman"/>
          <w:noProof/>
          <w:sz w:val="24"/>
        </w:rPr>
        <w:t>dnieść odporność, zwiększyć częstotliwość ćwiczeń w dziedzinie bezpieczeństwa cybernetycznego i nadać im wymiar związany z obronnością. Ściślejsza współpraca i skuteczne ściganie zwiększą zdolność namierzania i karania przestępców i w ten sposób będą skute</w:t>
      </w:r>
      <w:r>
        <w:rPr>
          <w:rFonts w:ascii="Times New Roman" w:hAnsi="Times New Roman"/>
          <w:noProof/>
          <w:sz w:val="24"/>
        </w:rPr>
        <w:t>czniej odstraszać od przeprowadzania cyberataków. Dane wywiadowcze państw członkowskich (analizy i oceny zagrożeń) będą systematycznie wymieniane i łączone, a Unia będzie nadal kłaść szczególny nacisk na zwalczanie finansowania terroryzmu, zorganizowanej p</w:t>
      </w:r>
      <w:r>
        <w:rPr>
          <w:rFonts w:ascii="Times New Roman" w:hAnsi="Times New Roman"/>
          <w:noProof/>
          <w:sz w:val="24"/>
        </w:rPr>
        <w:t>rzestępczości i prania pieniędzy. Dodatkowo wzmocniona i wykorzystywana do maksimum Europejska Straż Graniczna i Przybrzeżna będzie monitorować i chronić granice zewnętrzne UE, działając w synergii z siłami obrony. Unia zintensyfikuje również prace na rzec</w:t>
      </w:r>
      <w:r>
        <w:rPr>
          <w:rFonts w:ascii="Times New Roman" w:hAnsi="Times New Roman"/>
          <w:noProof/>
          <w:sz w:val="24"/>
        </w:rPr>
        <w:t>z dywersyfikacji źródeł energii, opracowania i propagowania norm bezpieczeństwa energetycznego, koordynacji gotowości na wypadek zagrożeń zdrowotnych i usprawnienia zarządzania ryzykiem celnym. Ponadto Unia będzie nadal rozwijać swoje programy kosmiczne, z</w:t>
      </w:r>
      <w:r>
        <w:rPr>
          <w:rFonts w:ascii="Times New Roman" w:hAnsi="Times New Roman"/>
          <w:noProof/>
          <w:sz w:val="24"/>
        </w:rPr>
        <w:t>apewniając dodatkowe usługi w dziedzinie bezpieczeństwa i obrony, w tym w zakresie nadzorowania granic i nadzoru morskiego, funkcji poszukiwawczo-ratowniczych lub bezpiecznych kanałów komunikacji rządowej. Zakres ram wsparcia obserwacji i śledzenia może zo</w:t>
      </w:r>
      <w:r>
        <w:rPr>
          <w:rFonts w:ascii="Times New Roman" w:hAnsi="Times New Roman"/>
          <w:noProof/>
          <w:sz w:val="24"/>
        </w:rPr>
        <w:t>stać rozszerzony, aby przeciwdziałać zagrożeniom cybernetycznym lub innym zagrożeniom dla satelitów lub obiektów infrastruktury naziemnej.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dziedzinie obrony współpraca między państwami członkowskimi stanie się raczej normą, a nie wyjątkiem. Krajowe plan</w:t>
      </w:r>
      <w:r>
        <w:rPr>
          <w:rFonts w:ascii="Times New Roman" w:hAnsi="Times New Roman"/>
          <w:noProof/>
          <w:sz w:val="24"/>
        </w:rPr>
        <w:t>owanie obronne zostanie znacznie bardziej dopasowane, ułatwiając państwom członkowskim współpracę przy nabywaniu i utrzymywaniu zdolności, co poprawi interoperacyjność. Powielanie działań przez państwa członkowskie zostanie radykalnie ograniczone. Opracowy</w:t>
      </w:r>
      <w:r>
        <w:rPr>
          <w:rFonts w:ascii="Times New Roman" w:hAnsi="Times New Roman"/>
          <w:noProof/>
          <w:sz w:val="24"/>
        </w:rPr>
        <w:t>wanie i zamawianie złożonych platform prowadzone będzie w ramach współpracy. Mając przed sobą ambitne cele Europejskiego Funduszu Obronnego, państwa członkowskie będą bardziej systematycznie rozwijać zdolności wielonarodowe w wielu obszarach, w tym w dzied</w:t>
      </w:r>
      <w:r>
        <w:rPr>
          <w:rFonts w:ascii="Times New Roman" w:hAnsi="Times New Roman"/>
          <w:noProof/>
          <w:sz w:val="24"/>
        </w:rPr>
        <w:t>zinie transportu strategicznego, systemów zdalnie sterowanych statków powietrznych, nadzoru morskiego i komunikacji satelitarnej, jak również w zakresie zdolności ofensywnych. Wsparcie dla tych zdolności wielonarodowych stanowić będą wspólne planowanie i s</w:t>
      </w:r>
      <w:r>
        <w:rPr>
          <w:rFonts w:ascii="Times New Roman" w:hAnsi="Times New Roman"/>
          <w:noProof/>
          <w:sz w:val="24"/>
        </w:rPr>
        <w:t xml:space="preserve">truktury dowodzenia na poziomie UE oraz logistyka. W szczególności elementy awaryjnych sił wielonarodowych oraz dowództwo medyczne i ogólnounijne dowództwo transportu powietrznego stanowić będą skuteczne wsparcie dla misji i operacji UE, natomiast wspólna </w:t>
      </w:r>
      <w:r>
        <w:rPr>
          <w:rFonts w:ascii="Times New Roman" w:hAnsi="Times New Roman"/>
          <w:noProof/>
          <w:sz w:val="24"/>
        </w:rPr>
        <w:t>europejska kultura wojskowa będzie się rozwijać dzięki wspólnemu kształceniu, szkoleniom i manewrom na wielką skalę. Oprócz tego w ramach programów europejskich opracowywane będą technologie o krytycznym znaczeniu, zwłaszcza w dziedzinie sztucznej intelige</w:t>
      </w:r>
      <w:r>
        <w:rPr>
          <w:rFonts w:ascii="Times New Roman" w:hAnsi="Times New Roman"/>
          <w:noProof/>
          <w:sz w:val="24"/>
        </w:rPr>
        <w:t>ncji, biotechnologii i systemów komputerowych o dużej wydajności. Możliwe będzie utworzone europejskiego centrum monitorowania, którego zadaniem byłoby śledzenie bezpośrednich inwestycji zagranicznych w te krytyczne technologie i analizowanie ich ewentualn</w:t>
      </w:r>
      <w:r>
        <w:rPr>
          <w:rFonts w:ascii="Times New Roman" w:hAnsi="Times New Roman"/>
          <w:noProof/>
          <w:sz w:val="24"/>
        </w:rPr>
        <w:t>ych skutków. Europa będzie sprawniej działać dzięki interoperacyjnym obronnym zdolnościom lądowym, powietrznym, kosmicznym i morskim. Ponadto zasoby będą wykorzystywane w bardziej racjonalny sposób dzięki korzyściom skali, jakie uzyska skonsolidowany przem</w:t>
      </w:r>
      <w:r>
        <w:rPr>
          <w:rFonts w:ascii="Times New Roman" w:hAnsi="Times New Roman"/>
          <w:noProof/>
          <w:sz w:val="24"/>
        </w:rPr>
        <w:t xml:space="preserve">ysł obronny działający na ogólnounijnym rynku wyposażenia obronnego, oraz dzięki korzystnym warunkom finansowania w całych łańcuchach dostaw obejmujących małe i średnie przedsiębiorstwa.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</w:rPr>
        <w:t>c) Wspólna obrona i bezpieczeństwo</w:t>
      </w:r>
    </w:p>
    <w:p w:rsidR="00A01298" w:rsidRDefault="0086299A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ramach tego scenariusza państw</w:t>
      </w:r>
      <w:r>
        <w:rPr>
          <w:rFonts w:ascii="Times New Roman" w:hAnsi="Times New Roman"/>
          <w:noProof/>
          <w:sz w:val="24"/>
        </w:rPr>
        <w:t>a członkowskie jeszcze bardziej pogłębią współpracę i integrację, dążąc do wspólnej obrony i bezpieczeństwa. Przesłanki, na jakich będzie się opierać taka Unia Bezpieczeństwa i Obrony, stanowić będą globalne czynniki strategiczne, ekonomiczne i technologic</w:t>
      </w:r>
      <w:r>
        <w:rPr>
          <w:rFonts w:ascii="Times New Roman" w:hAnsi="Times New Roman"/>
          <w:noProof/>
          <w:sz w:val="24"/>
        </w:rPr>
        <w:t xml:space="preserve">zne oraz impuls polityczny ze strony obywateli europejskich na rzecz wspólnej europejskiej obrony i bezpieczeństwa. </w:t>
      </w:r>
    </w:p>
    <w:p w:rsidR="00A01298" w:rsidRDefault="0086299A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Solidarność i wzajemna pomoc, jakiej będą sobie udzielać państwa członkowskie w sferze bezpieczeństwa i obrony, stanie się normą w oparciu </w:t>
      </w:r>
      <w:r>
        <w:rPr>
          <w:rFonts w:ascii="Times New Roman" w:hAnsi="Times New Roman"/>
          <w:noProof/>
          <w:sz w:val="24"/>
        </w:rPr>
        <w:t>o pełne wykorzystanie art. 42 Traktatu o Unii Europejskiej, który obejmuje stopniowe kształtowanie wspólnej unijnej polityki obronnej prowadzące do wspólnej obrony.</w:t>
      </w:r>
    </w:p>
    <w:p w:rsidR="00A01298" w:rsidRDefault="0086299A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Przy pełnym poszanowaniu zobowiązań państw członkowskich, które realizacji swojej wspólnej </w:t>
      </w:r>
      <w:r>
        <w:rPr>
          <w:rFonts w:ascii="Times New Roman" w:hAnsi="Times New Roman"/>
          <w:noProof/>
          <w:sz w:val="24"/>
        </w:rPr>
        <w:t>obrony upatrują w ramach Organizacji Traktatu Północnoatlantyckiego, ochrona Europy stanie się wzajemnie wzmacniającym się obowiązkiem UE i NATO. Wspólne europejskie bezpieczeństwo i obrona, stanowiące uzupełnienie NATO, wzmocni odporność Europy i będzie c</w:t>
      </w:r>
      <w:r>
        <w:rPr>
          <w:rFonts w:ascii="Times New Roman" w:hAnsi="Times New Roman"/>
          <w:noProof/>
          <w:sz w:val="24"/>
        </w:rPr>
        <w:t xml:space="preserve">hronić Unię przed różnymi formami agresji oraz zapewni naszym obywatelom oczekiwane poczucie bezpieczeństwa. </w:t>
      </w: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UE będzie w stanie prowadzić zaawansowane operacje w celu lepszej ochrony Europy, w tym ewentualnie operacje przeciwko grupom terrorystycznym, ope</w:t>
      </w:r>
      <w:r>
        <w:rPr>
          <w:rFonts w:ascii="Times New Roman" w:hAnsi="Times New Roman"/>
          <w:noProof/>
          <w:sz w:val="24"/>
        </w:rPr>
        <w:t xml:space="preserve">racje morskie we wrogim otoczeniu lub akcje cyberobrony.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Zagrożenia dla bezpieczeństwa będą systematycznie monitorowane i wspólnie oceniane, w ścisłej współpracy z krajowymi służbami bezpieczeństwa i wywiadu. Planowanie awaryjne będzie prowadzone na pozi</w:t>
      </w:r>
      <w:r>
        <w:rPr>
          <w:rFonts w:ascii="Times New Roman" w:hAnsi="Times New Roman"/>
          <w:noProof/>
          <w:sz w:val="24"/>
        </w:rPr>
        <w:t>omie europejskim, łącząc ze sobą bliżej kwestie bezpieczeństwa wewnętrznego i zewnętrznego. Wzajemne połączenie interesów bezpieczeństwa narodowego doprowadzi do powstania autentycznych europejskich interesów w sferze bezpieczeństwa.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Podstawę zwiększonej </w:t>
      </w:r>
      <w:r>
        <w:rPr>
          <w:rFonts w:ascii="Times New Roman" w:hAnsi="Times New Roman"/>
          <w:noProof/>
          <w:sz w:val="24"/>
        </w:rPr>
        <w:t>zdolności do działania na poziomie UE stanowić będzie większy stopień integracji sił obronnych państw członkowskich, co dodatkowo pogłębi solidarność państw członkowskich. Siły te zostaną rozlokowane i będą stale dostępne na potrzeby błyskawicznego rozmies</w:t>
      </w:r>
      <w:r>
        <w:rPr>
          <w:rFonts w:ascii="Times New Roman" w:hAnsi="Times New Roman"/>
          <w:noProof/>
          <w:sz w:val="24"/>
        </w:rPr>
        <w:t>zczenia w imieniu Unii. Będą one uczestniczyć w regularnych wspólnych manewrach wojskowych oraz w regularnych szkoleniach w Europejskich Kolegiach Obrony, aby ułatwić ujednolicenie podejść do strategii.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Na arenie wewnętrznej UE zwiększy odporność własną i</w:t>
      </w:r>
      <w:r>
        <w:rPr>
          <w:rFonts w:ascii="Times New Roman" w:hAnsi="Times New Roman"/>
          <w:noProof/>
          <w:sz w:val="24"/>
        </w:rPr>
        <w:t xml:space="preserve"> odporność państw członkowskich dzięki polityce sektorowej w takich obszarach jak bezpieczeństwo cybernetyczne, ochrona infrastruktury krytycznej czy przeciwdziałanie brutalnemu ekstremizmowi. Jeśli chodzi o bezpieczeństwo cybernetyczne, UE będzie koordyno</w:t>
      </w:r>
      <w:r>
        <w:rPr>
          <w:rFonts w:ascii="Times New Roman" w:hAnsi="Times New Roman"/>
          <w:noProof/>
          <w:sz w:val="24"/>
        </w:rPr>
        <w:t>wać scenariusze reakcji i działania w przypadku cyberataków lub zewnętrznej ingerencji w demokratyczne procedury państw członkowskich, w tym poprzez systematyczną wymianę informacji, współpracę technologiczną i wspólne doktryny. Działania Europejskiej Stra</w:t>
      </w:r>
      <w:r>
        <w:rPr>
          <w:rFonts w:ascii="Times New Roman" w:hAnsi="Times New Roman"/>
          <w:noProof/>
          <w:sz w:val="24"/>
        </w:rPr>
        <w:t>ży Granicznej i Przybrzeżnej będą prowadzone w oparciu o stałe europejskie siły morskie oraz europejskie źródła danych wywiadowczych, takie jak systemy zdalnie sterowanych statków powietrznych lub satelity. Zostaną utworzone europejskie siły ochrony ludnoś</w:t>
      </w:r>
      <w:r>
        <w:rPr>
          <w:rFonts w:ascii="Times New Roman" w:hAnsi="Times New Roman"/>
          <w:noProof/>
          <w:sz w:val="24"/>
        </w:rPr>
        <w:t>ci, które będą szybko reagować w przypadkach klęsk żywiołowych lub katastrof spowodowanych przez człowieka. Stałe porozumienia między państwami członkowskimi umożliwią szybkie przemieszczanie wyposażenia wojskowego w całej Europie.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Planowanie obronne pańs</w:t>
      </w:r>
      <w:r>
        <w:rPr>
          <w:rFonts w:ascii="Times New Roman" w:hAnsi="Times New Roman"/>
          <w:noProof/>
          <w:sz w:val="24"/>
        </w:rPr>
        <w:t>tw członkowskich zostanie w pełni zsynchronizowane, a krajowe priorytety w zakresie rozwoju zdolności stanowić będą odbicie uzgodnionych priorytetów europejskich. Zdolności te będą następnie rozwijane w oparciu o ścisłą współpracę, a nawet integrację lub s</w:t>
      </w:r>
      <w:r>
        <w:rPr>
          <w:rFonts w:ascii="Times New Roman" w:hAnsi="Times New Roman"/>
          <w:noProof/>
          <w:sz w:val="24"/>
        </w:rPr>
        <w:t xml:space="preserve">pecjalizację. 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:rsidR="00A01298" w:rsidRDefault="0086299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Zdolności w takich obszarach jak nadzór nad przestrzenią kosmiczną i powietrzną oraz nadzór morski, komunikacja, strategiczny transport powietrzny i cybernetyka będą przedmiotem wspólnych zamówień składanych przez państwa członkowskie przy </w:t>
      </w:r>
      <w:r>
        <w:rPr>
          <w:rFonts w:ascii="Times New Roman" w:hAnsi="Times New Roman"/>
          <w:noProof/>
          <w:sz w:val="24"/>
        </w:rPr>
        <w:t>wsparciu Europejskiego Funduszu Obronnego w celu zapewnienia natychmiastowej reakcji. Europa będzie w stanie aktywować cybernetyczne zdolności wykrywające i ofensywne. Zostaną znacznie rozbudowane oparte na współpracy wielonarodowe programy w zakresie rozw</w:t>
      </w:r>
      <w:r>
        <w:rPr>
          <w:rFonts w:ascii="Times New Roman" w:hAnsi="Times New Roman"/>
          <w:noProof/>
          <w:sz w:val="24"/>
        </w:rPr>
        <w:t>oju i zamówień, w takich obszarach jak samoloty transportowe, śmigłowce, środki rozpoznania czy zdolności obronne w zakresie CBRJ. Wszystkie te działania bazować będą na rzeczywistym europejskim rynku obrony obejmującym europejski mechanizm monitorowania i</w:t>
      </w:r>
      <w:r>
        <w:rPr>
          <w:rFonts w:ascii="Times New Roman" w:hAnsi="Times New Roman"/>
          <w:noProof/>
          <w:sz w:val="24"/>
        </w:rPr>
        <w:t xml:space="preserve"> ochrony kluczowych obszarów działalności strategicznej przed wrogimi przejęciami zewnętrznymi. Specjalna europejska agencja badań nad obronnością będzie wspierać dalekosiężne innowacje w dziedzinie obronności i pomoże przełożyć je na przyszłe zdolności wo</w:t>
      </w:r>
      <w:r>
        <w:rPr>
          <w:rFonts w:ascii="Times New Roman" w:hAnsi="Times New Roman"/>
          <w:noProof/>
          <w:sz w:val="24"/>
        </w:rPr>
        <w:t xml:space="preserve">jskowe. Najnowsza wiedza będzie wspólnie gromadzona, co umożliwi podmiotom prowadzącym prace badawcze o krytycznym znaczeniu i przedsiębiorstwom typu start-up opracowanie kluczowych technologii, które pozwolą opanować zagrożenia dla bezpieczeństwa Europy. </w:t>
      </w:r>
      <w:r>
        <w:rPr>
          <w:rFonts w:ascii="Times New Roman" w:hAnsi="Times New Roman"/>
          <w:noProof/>
          <w:sz w:val="24"/>
        </w:rPr>
        <w:t>Dzięki właściwemu połączeniu kompetencji i konsolidacji, specjalizacji, korzyściom skali, wspólnemu korzystaniu z drogiego sprzętu wojskowego i innowacjom technologicznym zostanie osiągnięta efektywność wydatków na obronę oraz większa ilość i lepsza jakość</w:t>
      </w:r>
      <w:r>
        <w:rPr>
          <w:rFonts w:ascii="Times New Roman" w:hAnsi="Times New Roman"/>
          <w:noProof/>
          <w:sz w:val="24"/>
        </w:rPr>
        <w:t xml:space="preserve"> rezultatów uzyskanych w dziedzinie obronności.</w:t>
      </w:r>
    </w:p>
    <w:p w:rsidR="00A01298" w:rsidRDefault="00A012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35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985"/>
        <w:gridCol w:w="1701"/>
        <w:gridCol w:w="1842"/>
        <w:gridCol w:w="2410"/>
      </w:tblGrid>
      <w:tr w:rsidR="00A01298">
        <w:trPr>
          <w:trHeight w:val="63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298" w:rsidRDefault="00A012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kern w:val="24"/>
                <w:sz w:val="20"/>
              </w:rPr>
              <w:t>Zasady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kern w:val="24"/>
                <w:sz w:val="20"/>
              </w:rPr>
              <w:t>Działania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kern w:val="24"/>
                <w:sz w:val="20"/>
              </w:rPr>
              <w:t>Zdolności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</w:tcPr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kern w:val="24"/>
                <w:sz w:val="20"/>
              </w:rPr>
              <w:t>Efektywność</w:t>
            </w:r>
          </w:p>
        </w:tc>
      </w:tr>
      <w:tr w:rsidR="00A01298">
        <w:trPr>
          <w:trHeight w:val="931"/>
        </w:trPr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4"/>
                <w:sz w:val="20"/>
              </w:rPr>
              <w:t>Scenariusz a)</w:t>
            </w:r>
          </w:p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4"/>
                <w:sz w:val="20"/>
              </w:rPr>
              <w:t>Współpraca w zakresie bezpieczeństwa i obrony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4"/>
                <w:sz w:val="20"/>
              </w:rPr>
              <w:t xml:space="preserve">UE uzupełnia wysiłki państw członkowskich, solidarność jest nadal doraźna i indywidualnie interpretowana </w:t>
            </w:r>
            <w:r>
              <w:rPr>
                <w:rFonts w:ascii="Times New Roman" w:hAnsi="Times New Roman"/>
                <w:noProof/>
                <w:color w:val="000000"/>
                <w:kern w:val="24"/>
                <w:sz w:val="20"/>
              </w:rPr>
              <w:t>przez państwa członkowskie.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4"/>
                <w:sz w:val="20"/>
              </w:rPr>
              <w:t>Misje na rzecz budowania potencjału, małe operacje zarządzania kryzysami, szersza wymiana danych wywiadowczych, wsparcie UE na rzecz odporności państw członkowskich. Kontynuacja współpracy UE-NATO na dotychczasowych zasadach.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4"/>
                <w:sz w:val="20"/>
              </w:rPr>
              <w:t>Op</w:t>
            </w:r>
            <w:r>
              <w:rPr>
                <w:rFonts w:ascii="Times New Roman" w:hAnsi="Times New Roman"/>
                <w:noProof/>
                <w:color w:val="000000"/>
                <w:kern w:val="24"/>
                <w:sz w:val="20"/>
              </w:rPr>
              <w:t>racowywanie wybranych kluczowych technologii na poziomie UE przy jednoczesnych trudnościach w zachowaniu pełnego zakresu zdolności; ograniczone wykorzystanie Europejskiego Funduszu Obronnego.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</w:tcPr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4"/>
                <w:sz w:val="20"/>
              </w:rPr>
              <w:t xml:space="preserve">Początkowe korzyści skali. </w:t>
            </w:r>
          </w:p>
        </w:tc>
      </w:tr>
      <w:tr w:rsidR="00A01298">
        <w:trPr>
          <w:trHeight w:val="1242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4"/>
                <w:sz w:val="20"/>
              </w:rPr>
              <w:t>Scenariusz b)</w:t>
            </w:r>
          </w:p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4"/>
                <w:sz w:val="20"/>
              </w:rPr>
              <w:t xml:space="preserve">Podział zadań </w:t>
            </w:r>
            <w:r>
              <w:rPr>
                <w:rFonts w:ascii="Times New Roman" w:hAnsi="Times New Roman"/>
                <w:b/>
                <w:noProof/>
                <w:color w:val="000000"/>
                <w:kern w:val="24"/>
                <w:sz w:val="20"/>
              </w:rPr>
              <w:t>w zakresie bezpieczeństwa i obrony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4"/>
                <w:sz w:val="20"/>
              </w:rPr>
              <w:t>UE uzupełnia wysiłki państw członkowskich, solidarność operacyjna i finansowa państw członkowskich staje się normą.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4"/>
                <w:sz w:val="20"/>
              </w:rPr>
              <w:t>Zarządzanie kryzysowe, budowanie potencjału i ochrona na styku polityki wewnętrznej i zewnętrznej. Państw</w:t>
            </w:r>
            <w:r>
              <w:rPr>
                <w:rFonts w:ascii="Times New Roman" w:hAnsi="Times New Roman"/>
                <w:noProof/>
                <w:color w:val="000000"/>
                <w:kern w:val="24"/>
                <w:sz w:val="20"/>
              </w:rPr>
              <w:t>a członkowskie prowadzą monitorowanie/pomagają sobie nawzajem w kwestii bezpieczeństwa cybernetycznego i wymieniają dane wywiadowcze, Europejska Straż Graniczna i Przybrzeżna strzeże granic zewnętrznych. UE i NATO koordynują cały zakres obszarów tzw. „twar</w:t>
            </w:r>
            <w:r>
              <w:rPr>
                <w:rFonts w:ascii="Times New Roman" w:hAnsi="Times New Roman"/>
                <w:noProof/>
                <w:color w:val="000000"/>
                <w:kern w:val="24"/>
                <w:sz w:val="20"/>
              </w:rPr>
              <w:t>dego” i „miękkiego” bezpieczeństwa.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4"/>
                <w:sz w:val="20"/>
              </w:rPr>
              <w:t xml:space="preserve">Wspólne finansowanie kluczowych zdolności i wspólne nabywanie zdolności wielonarodowych przy wsparciu Europejskiego Funduszu Obronnego. </w:t>
            </w:r>
          </w:p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4"/>
                <w:sz w:val="20"/>
              </w:rPr>
              <w:t>Wspólne planowanie i rozwój łańcuchów wartości.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</w:tcPr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Znaczne korzyści skali na rynku obr</w:t>
            </w:r>
            <w:r>
              <w:rPr>
                <w:rFonts w:ascii="Times New Roman" w:hAnsi="Times New Roman"/>
                <w:noProof/>
                <w:sz w:val="20"/>
              </w:rPr>
              <w:t>ony na skalę europejską, korzystne warunki finansowania w całym łańcuch dostaw w sektorze obronności.</w:t>
            </w:r>
          </w:p>
        </w:tc>
      </w:tr>
      <w:tr w:rsidR="00A01298">
        <w:trPr>
          <w:trHeight w:val="262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4"/>
                <w:sz w:val="20"/>
              </w:rPr>
              <w:t>Scenariusz c)</w:t>
            </w:r>
          </w:p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4"/>
                <w:sz w:val="20"/>
              </w:rPr>
              <w:t>Wspólna obrona i bezpieczeństwo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4"/>
                <w:sz w:val="20"/>
              </w:rPr>
              <w:t xml:space="preserve">Solidarność i wzajemna pomoc, wspólna obrona przewidziana w Traktacie. </w:t>
            </w:r>
          </w:p>
          <w:p w:rsidR="00A01298" w:rsidRDefault="00A012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Trudne operacje wymuszające pod </w:t>
            </w:r>
            <w:r>
              <w:rPr>
                <w:rFonts w:ascii="Times New Roman" w:hAnsi="Times New Roman"/>
                <w:noProof/>
                <w:sz w:val="20"/>
              </w:rPr>
              <w:t>przewodnictwem UE; wspólne monitorowanie i ocena zagrożeń oraz planowanie awaryjne. Bezpieczeństwo cybernetyczne na poziomie UE. Działania Europejskiej Straży Granicznej i Przybrzeżnej prowadzone w oparciu o stałe siły morskie oraz europejskie źródła danyc</w:t>
            </w:r>
            <w:r>
              <w:rPr>
                <w:rFonts w:ascii="Times New Roman" w:hAnsi="Times New Roman"/>
                <w:noProof/>
                <w:sz w:val="20"/>
              </w:rPr>
              <w:t>h wywiadowczych, takie jak drony i satelity. Europejskie siły ochrony ludności. Wspólne europejskie bezpieczeństwo i obrona, stanowiące uzupełnienie NATO, wzmocni odporność Europy i będzie chronić Unię przed różnymi formami agresji.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4"/>
                <w:sz w:val="20"/>
              </w:rPr>
              <w:t>Wspólne finansowanie i </w:t>
            </w:r>
            <w:r>
              <w:rPr>
                <w:rFonts w:ascii="Times New Roman" w:hAnsi="Times New Roman"/>
                <w:noProof/>
                <w:color w:val="000000"/>
                <w:kern w:val="24"/>
                <w:sz w:val="20"/>
              </w:rPr>
              <w:t>nabywanie zdolności przy wsparciu z budżetu UE. Niezależność technologiczna.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</w:tcPr>
          <w:p w:rsidR="00A01298" w:rsidRDefault="008629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Efektywność wydatków na obronę dzięki większym korzyściom skali, specjalizacji, wspólnemu korzystaniu z drogiego sprzętu wojskowego i innowacjom technologicznym, w celu ograniczen</w:t>
            </w:r>
            <w:r>
              <w:rPr>
                <w:rFonts w:ascii="Times New Roman" w:hAnsi="Times New Roman"/>
                <w:noProof/>
                <w:sz w:val="20"/>
              </w:rPr>
              <w:t>ia kosztów obrony i lepszego przygotowania na konkurencję międzynarodową.</w:t>
            </w:r>
          </w:p>
        </w:tc>
      </w:tr>
    </w:tbl>
    <w:p w:rsidR="00A01298" w:rsidRDefault="00A01298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86299A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Rysunek 6: Elementy Europejskiej Unii Bezpieczeństwa i Obrony</w:t>
      </w:r>
    </w:p>
    <w:p w:rsidR="00A01298" w:rsidRDefault="00A0129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 wp14:anchorId="791429A2" wp14:editId="158E17FA">
            <wp:extent cx="5760720" cy="530444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0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298" w:rsidRDefault="00A0129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A0129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86299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Dalsze kroki </w:t>
      </w:r>
    </w:p>
    <w:p w:rsidR="00A01298" w:rsidRDefault="00A01298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Zwiększenie bezpieczeństwa Europy jest koniecznością. Państwa członkowskie będą kierować tym </w:t>
      </w:r>
      <w:r>
        <w:rPr>
          <w:rFonts w:ascii="Times New Roman" w:hAnsi="Times New Roman"/>
          <w:noProof/>
          <w:sz w:val="24"/>
        </w:rPr>
        <w:t xml:space="preserve">procesem. Będą one określać stopień zaangażowania na poziomie europejskim, a następnie go urzeczywistniać, przy wsparciu ze strony instytucji UE. Obecnie realizowane inicjatywy jasno wskazują, że państwa członkowskie i instytucje UE podążają już tą drogą. </w:t>
      </w:r>
      <w:r>
        <w:rPr>
          <w:rFonts w:ascii="Times New Roman" w:hAnsi="Times New Roman"/>
          <w:noProof/>
          <w:sz w:val="24"/>
        </w:rPr>
        <w:t>Pytanie brzmi jak szybko państwa członkowskie pragną stworzyć realną Europejską Unię Bezpieczeństwa i Obrony? W jakim stopniu chcą przewidywać zjawiska wynikające z kontekstu strategicznego, a nie tylko na nie reagować? Na ile głęboko są przekonane, że odp</w:t>
      </w:r>
      <w:r>
        <w:rPr>
          <w:rFonts w:ascii="Times New Roman" w:hAnsi="Times New Roman"/>
          <w:noProof/>
          <w:sz w:val="24"/>
        </w:rPr>
        <w:t>owiedzialność za bezpieczeństwo Europy spoczywa na niej samej?</w:t>
      </w:r>
    </w:p>
    <w:p w:rsidR="00A01298" w:rsidRDefault="00A01298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Dotychczasowe obawy są znane i trzeba je rozwiać. Przyszłość Unii Europejskiej jako pokojowego projektu dla przyszłych pokoleń obecnie zależy między innymi od utworzenia Unii Bezpieczeństwa i </w:t>
      </w:r>
      <w:r>
        <w:rPr>
          <w:rFonts w:ascii="Times New Roman" w:hAnsi="Times New Roman"/>
          <w:noProof/>
          <w:sz w:val="24"/>
        </w:rPr>
        <w:t>Obrony – przyjmując rok 2025 za horyzont czasowy, państwa członkowskie postanowią, jaką drogą i z jaką szybkością chcą podążać, aby chronić naszych obywateli.</w:t>
      </w:r>
    </w:p>
    <w:p w:rsidR="00A01298" w:rsidRDefault="0086299A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br w:type="page"/>
      </w:r>
    </w:p>
    <w:p w:rsidR="00A01298" w:rsidRDefault="0086299A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DODATEK</w:t>
      </w:r>
    </w:p>
    <w:p w:rsidR="00A01298" w:rsidRDefault="00A0129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1298" w:rsidRDefault="0086299A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Traktat o Unii Europejskiej</w:t>
      </w:r>
    </w:p>
    <w:p w:rsidR="00A01298" w:rsidRDefault="0086299A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Postanowienia dotyczące wspólnej polityki bezpieczeństwa i</w:t>
      </w:r>
      <w:r>
        <w:rPr>
          <w:rFonts w:ascii="Times New Roman" w:hAnsi="Times New Roman"/>
          <w:b/>
          <w:noProof/>
          <w:sz w:val="24"/>
        </w:rPr>
        <w:t xml:space="preserve"> obrony</w:t>
      </w:r>
    </w:p>
    <w:p w:rsidR="00A01298" w:rsidRDefault="00A0129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Artykuł 42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Wspólna polityka bezpieczeństwa i obrony stanowi integralną część wspólnej polityki zagranicznej i bezpieczeństwa. Zapewnia Unii zdolność operacyjną opartą na środkach cywilnych i wojskowych. Unia może z nich korzystać w przeprowadz</w:t>
      </w:r>
      <w:r>
        <w:rPr>
          <w:rFonts w:ascii="Times New Roman" w:hAnsi="Times New Roman"/>
          <w:noProof/>
          <w:sz w:val="24"/>
        </w:rPr>
        <w:t>anych poza Unią misjach utrzymania pokoju, zapobiegania konfliktom i wzmacniania międzynarodowego bezpieczeństwa, zgodnie z zasadami Karty Narodów Zjednoczonych. Zadania te są wykonywane w oparciu o zdolności, jakie zapewniają Państwa Członkowskie.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Wsp</w:t>
      </w:r>
      <w:r>
        <w:rPr>
          <w:rFonts w:ascii="Times New Roman" w:hAnsi="Times New Roman"/>
          <w:noProof/>
          <w:sz w:val="24"/>
        </w:rPr>
        <w:t>ólna polityka bezpieczeństwa i obrony obejmuje stopniowe określanie wspólnej polityki obronnej Unii. Doprowadzi ona do stworzenia wspólnej obrony, jeżeli Rada Europejska, stanowiąc jednomyślnie, tak zadecyduje. W takim przypadku Rada Europejska zaleca Pańs</w:t>
      </w:r>
      <w:r>
        <w:rPr>
          <w:rFonts w:ascii="Times New Roman" w:hAnsi="Times New Roman"/>
          <w:noProof/>
          <w:sz w:val="24"/>
        </w:rPr>
        <w:t>twom Członkowskim przyjęcie stosownej decyzji zgodnie z ich odpowiednimi wymogami konstytucyjnymi.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Polityka Unii w rozumieniu niniejszej sekcji nie uchybia specyficznemu charakterowi polityki bezpieczeństwa i obronnej niektórych Państw Członkowskich. Szan</w:t>
      </w:r>
      <w:r>
        <w:rPr>
          <w:rFonts w:ascii="Times New Roman" w:hAnsi="Times New Roman"/>
          <w:noProof/>
          <w:sz w:val="24"/>
        </w:rPr>
        <w:t>uje ona wynikające z Traktatu Północnoatlantyckiego zobowiązania Państw Członkowskich, które uważają, że ich wspólna obrona jest wykonywana w ramach Organizacji Traktatu Północnoatlantyckiego (NATO) oraz jest zgodna z przyjętą w tych ramach wspólną polityk</w:t>
      </w:r>
      <w:r>
        <w:rPr>
          <w:rFonts w:ascii="Times New Roman" w:hAnsi="Times New Roman"/>
          <w:noProof/>
          <w:sz w:val="24"/>
        </w:rPr>
        <w:t>ą bezpieczeństwa i obronną.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Państwa Członkowskie, w celu realizacji wspólnej polityki bezpieczeństwa i obrony, oddają do dyspozycji Unii swoje zdolności cywilne i wojskowe, aby przyczynić się do osiągnięcia celów określonych przez Radę. Państwa Członko</w:t>
      </w:r>
      <w:r>
        <w:rPr>
          <w:rFonts w:ascii="Times New Roman" w:hAnsi="Times New Roman"/>
          <w:noProof/>
          <w:sz w:val="24"/>
        </w:rPr>
        <w:t>wskie wspólnie powołujące siły wielonarodowe mogą również przekazać je do dyspozycji wspólnej polityki bezpieczeństwa i obrony.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Państwa Członkowskie zobowiązują się do stopniowej poprawy swoich zdolności wojskowych. Agencja do spraw Rozwoju Zdolności Obro</w:t>
      </w:r>
      <w:r>
        <w:rPr>
          <w:rFonts w:ascii="Times New Roman" w:hAnsi="Times New Roman"/>
          <w:noProof/>
          <w:sz w:val="24"/>
        </w:rPr>
        <w:t>nnych, Badań, Zakupów i Uzbrojenia (zwana dalej „Europejską Agencją Obrony”) określa wymogi operacyjne, wspiera środki ich realizacji, przyczynia się do określania i, w stosownych przypadkach, wprowadzania w życie wszelkich użytecznych środków wzmacniający</w:t>
      </w:r>
      <w:r>
        <w:rPr>
          <w:rFonts w:ascii="Times New Roman" w:hAnsi="Times New Roman"/>
          <w:noProof/>
          <w:sz w:val="24"/>
        </w:rPr>
        <w:t>ch bazę przemysłową i technologiczną sektora obrony, bierze udział w określaniu europejskiej polityki w zakresie zdolności i uzbrojenia oraz wspomaga Radę w ocenie poprawy zdolności wojskowych.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Decyzje dotyczące wspólnej polityki bezpieczeństwa i obron</w:t>
      </w:r>
      <w:r>
        <w:rPr>
          <w:rFonts w:ascii="Times New Roman" w:hAnsi="Times New Roman"/>
          <w:noProof/>
          <w:sz w:val="24"/>
        </w:rPr>
        <w:t>y, w tym decyzje w sprawie podjęcia misji, o których mowa w niniejszym artykule, są przyjmowane przez Radę stanowiącą jednomyślnie na wniosek wysokiego przedstawiciela Unii do spraw zagranicznych i polityki bezpieczeństwa lub z inicjatywy Państwa Członkows</w:t>
      </w:r>
      <w:r>
        <w:rPr>
          <w:rFonts w:ascii="Times New Roman" w:hAnsi="Times New Roman"/>
          <w:noProof/>
          <w:sz w:val="24"/>
        </w:rPr>
        <w:t>kiego. Wysoki przedstawiciel może zaproponować, w stosownych przypadkach wspólnie z Komisją, użycie zarówno środków krajowych, jak i instrumentów Unii.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W celu ochrony wartości Unii i służenia jej interesom Rada może powierzyć wykonanie danej misji, w r</w:t>
      </w:r>
      <w:r>
        <w:rPr>
          <w:rFonts w:ascii="Times New Roman" w:hAnsi="Times New Roman"/>
          <w:noProof/>
          <w:sz w:val="24"/>
        </w:rPr>
        <w:t>amach Unii, grupie Państw Członkowskich. Wykonanie takiej misji reguluje artykuł 44.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6. Państwa Członkowskie, które spełniają wyższe kryteria zdolności wojskowej i które zaciągnęły w tej dziedzinie dalej idące zobowiązania, mając na względzie najbardziej </w:t>
      </w:r>
      <w:r>
        <w:rPr>
          <w:rFonts w:ascii="Times New Roman" w:hAnsi="Times New Roman"/>
          <w:noProof/>
          <w:sz w:val="24"/>
        </w:rPr>
        <w:t>wymagające misje, ustanawiają stałą współpracę strukturalną w ramach Unii. Współpracę tę reguluje artykuł 46. Nie narusza ona postanowień artykułu 43.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7. W przypadku gdy jakiekolwiek Państwo Członkowskie stanie się ofiarą napaści zbrojnej na jego terytori</w:t>
      </w:r>
      <w:r>
        <w:rPr>
          <w:rFonts w:ascii="Times New Roman" w:hAnsi="Times New Roman"/>
          <w:noProof/>
          <w:sz w:val="24"/>
        </w:rPr>
        <w:t>um, pozostałe Państwa Członkowskie mają w stosunku do niego obowiązek udzielenia pomocy i wsparcia przy zastosowaniu wszelkich dostępnych im środków, zgodnie z artykułem 51 Karty Narodów Zjednoczonych. Nie ma to wpływu na szczególny charakter polityki bezp</w:t>
      </w:r>
      <w:r>
        <w:rPr>
          <w:rFonts w:ascii="Times New Roman" w:hAnsi="Times New Roman"/>
          <w:noProof/>
          <w:sz w:val="24"/>
        </w:rPr>
        <w:t>ieczeństwa i obrony niektórych Państw Członkowskich.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Zobowiązania i współpraca w tej dziedzinie pozostają zgodne ze zobowiązaniami zaciągniętymi w ramach Organizacji Traktatu Północnoatlantyckiego, która dla państw będących jej członkami pozostaje podstaw</w:t>
      </w:r>
      <w:r>
        <w:rPr>
          <w:rFonts w:ascii="Times New Roman" w:hAnsi="Times New Roman"/>
          <w:noProof/>
          <w:sz w:val="24"/>
        </w:rPr>
        <w:t>ą ich zbiorowej obrony i forum dla jej wykonywania.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Artykuł 43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Misje, o których mowa w artykule 42 ustęp 1, przy prowadzeniu których Unia może użyć środków cywilnych i wojskowych, obejmują wspólne działania rozbrojeniowe, misje humanitarne i ratunkowe</w:t>
      </w:r>
      <w:r>
        <w:rPr>
          <w:rFonts w:ascii="Times New Roman" w:hAnsi="Times New Roman"/>
          <w:noProof/>
          <w:sz w:val="24"/>
        </w:rPr>
        <w:t>, misje wojskowego doradztwa i wsparcia, misje zapobiegania konfliktom i utrzymywania pokoju, misje zbrojne służące zarządzaniu kryzysowemu, w tym misje przywracania pokoju i operacje stabilizacji sytuacji po zakończeniu konfliktów. Wszystkie te misje mogą</w:t>
      </w:r>
      <w:r>
        <w:rPr>
          <w:rFonts w:ascii="Times New Roman" w:hAnsi="Times New Roman"/>
          <w:noProof/>
          <w:sz w:val="24"/>
        </w:rPr>
        <w:t xml:space="preserve"> przyczyniać się do walki z terroryzmem, w tym poprzez wspieranie państw trzecich w zwalczaniu terroryzmu na ich terytoriach.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2. Rada przyjmuje decyzje dotyczące misji, o których mowa w ustępie 1, określając ich cel i zakres, jak również ogólne warunki </w:t>
      </w:r>
      <w:r>
        <w:rPr>
          <w:rFonts w:ascii="Times New Roman" w:hAnsi="Times New Roman"/>
          <w:noProof/>
          <w:sz w:val="24"/>
        </w:rPr>
        <w:t xml:space="preserve">ich przeprowadzania. Wysoki przedstawiciel Unii do spraw zagranicznych i polityki bezpieczeństwa, pod kierunkiem Rady oraz w ścisłym i stałym porozumieniu z Komitetem Politycznym i Bezpieczeństwa, czuwa nad koordynacją cywilnych i wojskowych aspektów tych </w:t>
      </w:r>
      <w:r>
        <w:rPr>
          <w:rFonts w:ascii="Times New Roman" w:hAnsi="Times New Roman"/>
          <w:noProof/>
          <w:sz w:val="24"/>
        </w:rPr>
        <w:t>misji.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Artykuł 44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W ramach decyzji przyjmowanych zgodnie z artykułem 43, Rada może powierzyć przeprowadzenie misji grupie Państw Członkowskich, które wyrażą taką wolę i które dysponują zdolnościami wymaganymi dla tej misji. Te Państwa Członkowskie, ws</w:t>
      </w:r>
      <w:r>
        <w:rPr>
          <w:rFonts w:ascii="Times New Roman" w:hAnsi="Times New Roman"/>
          <w:noProof/>
          <w:sz w:val="24"/>
        </w:rPr>
        <w:t>pólnie z wysokim przedstawicielem Unii do spraw zagranicznych i polityki bezpieczeństwa, uzgadniają między sobą sposób zarządzania misją.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Państwa Członkowskie uczestniczące w misji informują regularnie Radę o jej przebiegu z własnej inicjatywy lub na w</w:t>
      </w:r>
      <w:r>
        <w:rPr>
          <w:rFonts w:ascii="Times New Roman" w:hAnsi="Times New Roman"/>
          <w:noProof/>
          <w:sz w:val="24"/>
        </w:rPr>
        <w:t>niosek innego Państwa Członkowskiego. Jeżeli wykonanie misji spowoduje powstanie istotnych konsekwencji lub jeżeli wymaga zmiany celu, zakresu lub warunków misji określonych w decyzjach, o których mowa w ustępie 1, uczestniczące Państwa Członkowskie niezwł</w:t>
      </w:r>
      <w:r>
        <w:rPr>
          <w:rFonts w:ascii="Times New Roman" w:hAnsi="Times New Roman"/>
          <w:noProof/>
          <w:sz w:val="24"/>
        </w:rPr>
        <w:t>ocznie informują o tym Radę. W takich przypadkach Rada przyjmuje niezbędne decyzje.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Artykuł 45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Europejska Agencja Obrony, o której mowa w artykule 42 ustęp 3, podlegająca Radzie, ma za zadanie: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a) przyczyniać się do określania celów zdolności wojskow</w:t>
      </w:r>
      <w:r>
        <w:rPr>
          <w:rFonts w:ascii="Times New Roman" w:hAnsi="Times New Roman"/>
          <w:noProof/>
          <w:sz w:val="24"/>
        </w:rPr>
        <w:t>ych Państw Członkowskich i oceny wykonania zobowiązań w zakresie zdolności podjętych przez Państwa Członkowskie;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b) wspierać harmonizację wymagań operacyjnych i ustanowienie skutecznych i spójnych metod dokonywania zamówień;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c) zgłaszać wielostronne proj</w:t>
      </w:r>
      <w:r>
        <w:rPr>
          <w:rFonts w:ascii="Times New Roman" w:hAnsi="Times New Roman"/>
          <w:noProof/>
          <w:sz w:val="24"/>
        </w:rPr>
        <w:t>ekty dla osiągnięcia celów zdolności wojskowych oraz zapewniać koordynację programów realizowanych przez Państwa Członkowskie i zarządzanie konkretnymi programami współpracy;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d) wspierać badania nad technologiami obronnymi oraz koordynować i planować </w:t>
      </w:r>
      <w:r>
        <w:rPr>
          <w:rFonts w:ascii="Times New Roman" w:hAnsi="Times New Roman"/>
          <w:noProof/>
          <w:sz w:val="24"/>
        </w:rPr>
        <w:t>wspólne działania badawcze i studia nad rozwiązaniami technicznymi odpowiadającymi przyszłym wymaganiom operacyjnym;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e) przyczyniać się do określania wszelkich użytecznych środków wzmacniających bazę przemysłową i technologiczną sektora obrony oraz zwięks</w:t>
      </w:r>
      <w:r>
        <w:rPr>
          <w:rFonts w:ascii="Times New Roman" w:hAnsi="Times New Roman"/>
          <w:noProof/>
          <w:sz w:val="24"/>
        </w:rPr>
        <w:t>zających efektywność wydatków wojskowych i, w stosownych przypadkach, wprowadzać w życie te środki.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Europejska Agencja Obrony jest otwarta dla wszystkich Państw Członkowskich pragnących uczestniczyć w jej pracach. Rada, stanowiąc większością kwalifikow</w:t>
      </w:r>
      <w:r>
        <w:rPr>
          <w:rFonts w:ascii="Times New Roman" w:hAnsi="Times New Roman"/>
          <w:noProof/>
          <w:sz w:val="24"/>
        </w:rPr>
        <w:t>aną, przyjmuje decyzję określającą statut, siedzibę i zasady funkcjonowania Agencji. Decyzja ta uwzględnia poziom faktycznego uczestnictwa w działaniach Agencji. W ramach Agencji tworzy się specjalne grupy skupiające Państwa Członkowskie uczestniczące we w</w:t>
      </w:r>
      <w:r>
        <w:rPr>
          <w:rFonts w:ascii="Times New Roman" w:hAnsi="Times New Roman"/>
          <w:noProof/>
          <w:sz w:val="24"/>
        </w:rPr>
        <w:t>spólnych projektach. Agencja wykonuje swoje działania, w miarę potrzeby, w powiązaniu z Komisją.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Artykuł 46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 Państwa Członkowskie pragnące wziąć udział w stałej współpracy strukturalnej, o której mowa w artykule 42 ustęp 6, które spełniają kryteria i k</w:t>
      </w:r>
      <w:r>
        <w:rPr>
          <w:rFonts w:ascii="Times New Roman" w:hAnsi="Times New Roman"/>
          <w:noProof/>
          <w:sz w:val="24"/>
        </w:rPr>
        <w:t>tóre przyjęły zobowiązania w zakresie zdolności wojskowych wymienione w Protokole w sprawie stałej współpracy strukturalnej, notyfikują swój zamiar Radzie i wysokiemu przedstawicielowi Unii do spraw zagranicznych i polityki bezpieczeństwa.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W terminie t</w:t>
      </w:r>
      <w:r>
        <w:rPr>
          <w:rFonts w:ascii="Times New Roman" w:hAnsi="Times New Roman"/>
          <w:noProof/>
          <w:sz w:val="24"/>
        </w:rPr>
        <w:t>rzech miesięcy od notyfikacji, o której mowa w ustępie 1, Rada przyjmuje decyzję ustanawiającą stałą współpracę strukturalną i określającą listę uczestniczących Państw Członkowskich. Rada stanowi większością kwalifikowaną po konsultacji z wysokim przedstaw</w:t>
      </w:r>
      <w:r>
        <w:rPr>
          <w:rFonts w:ascii="Times New Roman" w:hAnsi="Times New Roman"/>
          <w:noProof/>
          <w:sz w:val="24"/>
        </w:rPr>
        <w:t>icielem.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Każde Państwo Członkowskie, które na późniejszym etapie pragnie wziąć udział w stałej współpracy strukturalnej, notyfikuje swój zamiar Radzie i wysokiemu przedstawicielowi.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Rada przyjmuje decyzję potwierdzającą udział zainteresowanego Państwa</w:t>
      </w:r>
      <w:r>
        <w:rPr>
          <w:rFonts w:ascii="Times New Roman" w:hAnsi="Times New Roman"/>
          <w:noProof/>
          <w:sz w:val="24"/>
        </w:rPr>
        <w:t xml:space="preserve"> Członkowskiego, które spełnia kryteria i przyjmuje zobowiązania, o których mowa w artykułach 1 i 2 Protokołu w sprawie stałej współpracy strukturalnej. Rada stanowi większością kwalifikowaną po konsultacji z wysokim przedstawicielem. W głosowaniu biorą ud</w:t>
      </w:r>
      <w:r>
        <w:rPr>
          <w:rFonts w:ascii="Times New Roman" w:hAnsi="Times New Roman"/>
          <w:noProof/>
          <w:sz w:val="24"/>
        </w:rPr>
        <w:t>ział tylko członkowie Rady reprezentujący uczestniczące Państwa Członkowskie.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Większość kwalifikowaną określa się zgodnie z artykułem 238 ustęp 3 litera a) Traktatu o funkcjonowaniu Unii Europejskiej.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Jeżeli uczestniczące Państwo Członkowskie przestał</w:t>
      </w:r>
      <w:r>
        <w:rPr>
          <w:rFonts w:ascii="Times New Roman" w:hAnsi="Times New Roman"/>
          <w:noProof/>
          <w:sz w:val="24"/>
        </w:rPr>
        <w:t>o spełniać kryteria lub nie jest w stanie wypełniać zobowiązań, o których mowa w artykułach 1 i 2 Protokołu w sprawie stałej współpracy strukturalnej, Rada może przyjąć decyzję zawieszającą udział tego Państwa.</w:t>
      </w:r>
    </w:p>
    <w:p w:rsidR="00A01298" w:rsidRDefault="00A012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Rada stanowi większością kwalifikowaną. W gł</w:t>
      </w:r>
      <w:r>
        <w:rPr>
          <w:rFonts w:ascii="Times New Roman" w:hAnsi="Times New Roman"/>
          <w:noProof/>
          <w:sz w:val="24"/>
        </w:rPr>
        <w:t>osowaniu biorą udział tylko członkowie Rady reprezentujący uczestniczące Państwa Członkowskie, z wyjątkiem zainteresowanego Państwa Członkowskiego.</w:t>
      </w:r>
    </w:p>
    <w:p w:rsidR="00A01298" w:rsidRDefault="00A012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Większość kwalifikowaną określa się zgodnie z artykułem 238 ustęp 3 litera a) Traktatu o funkcjonowaniu Uni</w:t>
      </w:r>
      <w:r>
        <w:rPr>
          <w:rFonts w:ascii="Times New Roman" w:hAnsi="Times New Roman"/>
          <w:noProof/>
          <w:sz w:val="24"/>
        </w:rPr>
        <w:t>i Europejskiej.</w:t>
      </w:r>
    </w:p>
    <w:p w:rsidR="00A01298" w:rsidRDefault="00A012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Jeżeli uczestniczące Państwo Członkowskie pragnie wycofać się ze stałej współpracy strukturalnej, notyfikuje swoją decyzję Radzie, która przyjmuje do wiadomości, że uczestnictwo zainteresowanego Państwa Członkowskiego zakończyło się.</w:t>
      </w:r>
    </w:p>
    <w:p w:rsidR="00A01298" w:rsidRDefault="00A012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1298" w:rsidRDefault="0086299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6</w:t>
      </w:r>
      <w:r>
        <w:rPr>
          <w:rFonts w:ascii="Times New Roman" w:hAnsi="Times New Roman"/>
          <w:noProof/>
          <w:sz w:val="24"/>
        </w:rPr>
        <w:t>. Decyzje i zalecenia Rady w ramach stałej współpracy strukturalnej, inne niż decyzje i zalecenia przewidziane w ustępach 2–5, są przyjmowane jednomyślnie. Do celów niniejszego ustępu jednomyślność stanowiona jest jedynie głosami przedstawicieli uczestnicz</w:t>
      </w:r>
      <w:r>
        <w:rPr>
          <w:rFonts w:ascii="Times New Roman" w:hAnsi="Times New Roman"/>
          <w:noProof/>
          <w:sz w:val="24"/>
        </w:rPr>
        <w:t>ących Państw Członkowskich.</w:t>
      </w:r>
    </w:p>
    <w:sectPr w:rsidR="00A0129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700" w:bottom="1134" w:left="1134" w:header="708" w:footer="708" w:gutter="0"/>
      <w:pgNumType w:start="2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82B9BE" w15:done="0"/>
  <w15:commentEx w15:paraId="05C9431C" w15:done="0"/>
  <w15:commentEx w15:paraId="4C38A55F" w15:done="0"/>
  <w15:commentEx w15:paraId="5EC3D29B" w15:done="0"/>
  <w15:commentEx w15:paraId="15203F59" w15:done="0"/>
  <w15:commentEx w15:paraId="42026C79" w15:done="0"/>
  <w15:commentEx w15:paraId="110704AD" w15:done="0"/>
  <w15:commentEx w15:paraId="2A5952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98" w:rsidRDefault="0086299A">
      <w:pPr>
        <w:spacing w:after="0" w:line="240" w:lineRule="auto"/>
      </w:pPr>
      <w:r>
        <w:separator/>
      </w:r>
    </w:p>
  </w:endnote>
  <w:endnote w:type="continuationSeparator" w:id="0">
    <w:p w:rsidR="00A01298" w:rsidRDefault="0086299A">
      <w:pPr>
        <w:spacing w:after="0" w:line="240" w:lineRule="auto"/>
      </w:pPr>
      <w:r>
        <w:continuationSeparator/>
      </w:r>
    </w:p>
  </w:endnote>
  <w:endnote w:type="continuationNotice" w:id="1">
    <w:p w:rsidR="00A01298" w:rsidRDefault="00A012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9A" w:rsidRPr="0086299A" w:rsidRDefault="0086299A" w:rsidP="008629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9A" w:rsidRPr="0086299A" w:rsidRDefault="0086299A" w:rsidP="0086299A">
    <w:pPr>
      <w:pStyle w:val="FooterCoverPage"/>
      <w:rPr>
        <w:rFonts w:ascii="Arial" w:hAnsi="Arial" w:cs="Arial"/>
        <w:b/>
        <w:sz w:val="48"/>
      </w:rPr>
    </w:pPr>
    <w:r w:rsidRPr="0086299A">
      <w:rPr>
        <w:rFonts w:ascii="Arial" w:hAnsi="Arial" w:cs="Arial"/>
        <w:b/>
        <w:sz w:val="48"/>
      </w:rPr>
      <w:t>PL</w:t>
    </w:r>
    <w:r w:rsidRPr="0086299A">
      <w:rPr>
        <w:rFonts w:ascii="Arial" w:hAnsi="Arial" w:cs="Arial"/>
        <w:b/>
        <w:sz w:val="48"/>
      </w:rPr>
      <w:tab/>
    </w:r>
    <w:r w:rsidRPr="0086299A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86299A">
      <w:tab/>
    </w:r>
    <w:r w:rsidRPr="0086299A"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9A" w:rsidRPr="0086299A" w:rsidRDefault="0086299A" w:rsidP="0086299A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98" w:rsidRDefault="00A0129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7889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01298" w:rsidRDefault="0086299A">
        <w:pPr>
          <w:pStyle w:val="Footer"/>
          <w:jc w:val="center"/>
          <w:rPr>
            <w:rFonts w:ascii="Times New Roman" w:hAnsi="Times New Roman" w:cs="Times New Roman"/>
            <w:noProof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98" w:rsidRDefault="00A01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98" w:rsidRDefault="0086299A">
      <w:pPr>
        <w:spacing w:after="0" w:line="240" w:lineRule="auto"/>
      </w:pPr>
      <w:r>
        <w:separator/>
      </w:r>
    </w:p>
  </w:footnote>
  <w:footnote w:type="continuationSeparator" w:id="0">
    <w:p w:rsidR="00A01298" w:rsidRDefault="0086299A">
      <w:pPr>
        <w:spacing w:after="0" w:line="240" w:lineRule="auto"/>
      </w:pPr>
      <w:r>
        <w:continuationSeparator/>
      </w:r>
    </w:p>
  </w:footnote>
  <w:footnote w:type="continuationNotice" w:id="1">
    <w:p w:rsidR="00A01298" w:rsidRDefault="00A012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9A" w:rsidRPr="0086299A" w:rsidRDefault="0086299A" w:rsidP="008629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9A" w:rsidRPr="0086299A" w:rsidRDefault="0086299A" w:rsidP="0086299A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9A" w:rsidRPr="0086299A" w:rsidRDefault="0086299A" w:rsidP="0086299A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98" w:rsidRDefault="00A0129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98" w:rsidRDefault="00A0129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98" w:rsidRDefault="00A01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9B3"/>
    <w:multiLevelType w:val="hybridMultilevel"/>
    <w:tmpl w:val="EB4E97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E45B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31B27"/>
    <w:multiLevelType w:val="hybridMultilevel"/>
    <w:tmpl w:val="D7C8C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70DB"/>
    <w:multiLevelType w:val="hybridMultilevel"/>
    <w:tmpl w:val="907E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12EBE"/>
    <w:multiLevelType w:val="hybridMultilevel"/>
    <w:tmpl w:val="E520A7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27873"/>
    <w:multiLevelType w:val="hybridMultilevel"/>
    <w:tmpl w:val="2F82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85B88"/>
    <w:multiLevelType w:val="hybridMultilevel"/>
    <w:tmpl w:val="D3CCE2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362AB"/>
    <w:multiLevelType w:val="hybridMultilevel"/>
    <w:tmpl w:val="7974ED4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BCD5C1F"/>
    <w:multiLevelType w:val="hybridMultilevel"/>
    <w:tmpl w:val="954A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D6149"/>
    <w:multiLevelType w:val="hybridMultilevel"/>
    <w:tmpl w:val="DE46C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F431B"/>
    <w:multiLevelType w:val="hybridMultilevel"/>
    <w:tmpl w:val="5344B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02855"/>
    <w:multiLevelType w:val="hybridMultilevel"/>
    <w:tmpl w:val="100CE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96BDF"/>
    <w:multiLevelType w:val="hybridMultilevel"/>
    <w:tmpl w:val="1F46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halie Tocci">
    <w15:presenceInfo w15:providerId="Windows Live" w15:userId="bf52de5bd41cf9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CONFIDENCE" w:val=" "/>
    <w:docVar w:name="LW_CONST_RESTREINT_UE" w:val="RESTREINT UE/EU RESTRICTED"/>
    <w:docVar w:name="LW_CORRIGENDUM" w:val="&lt;UNUSED&gt;"/>
    <w:docVar w:name="LW_COVERPAGE_GUID" w:val="F4D982AD6904404493811A0F58543623"/>
    <w:docVar w:name="LW_CROSSREFERENCE" w:val="&lt;UNUSED&gt;"/>
    <w:docVar w:name="LW_DocType" w:val="NORMAL"/>
    <w:docVar w:name="LW_EMISSION" w:val="7.6.2017"/>
    <w:docVar w:name="LW_EMISSION_ISODATE" w:val="2017-06-07"/>
    <w:docVar w:name="LW_EMISSION_LOCATION" w:val="BRX"/>
    <w:docVar w:name="LW_EMISSION_PREFIX" w:val="Bruksela, dnia "/>
    <w:docVar w:name="LW_EMISSION_SUFFIX" w:val=" r."/>
    <w:docVar w:name="LW_ID_DOCTYPE_NONLW" w:val="CP-035"/>
    <w:docVar w:name="LW_LANGUE" w:val="PL"/>
    <w:docVar w:name="LW_MARKING" w:val="&lt;UNUSED&gt;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7"/>
    <w:docVar w:name="LW_REF.INST.NEW" w:val="COM"/>
    <w:docVar w:name="LW_REF.INST.NEW_ADOPTED" w:val="final"/>
    <w:docVar w:name="LW_REF.INST.NEW_TEXT" w:val="(2017) 315"/>
    <w:docVar w:name="LW_REF.INTERNE" w:val="&lt;UNUSED&gt;"/>
    <w:docVar w:name="LW_SOUS.TITRE.OBJ" w:val="Limité Cabinets_x000b_Embargo jusqu' à l'adoption"/>
    <w:docVar w:name="LW_SOUS.TITRE.OBJ.CP" w:val="&lt;UNUSED&gt;"/>
    <w:docVar w:name="LW_SUPERTITRE" w:val="&lt;UNUSED&gt;"/>
    <w:docVar w:name="LW_TITRE.OBJ.CP" w:val="NA TEMAT PRZYSZ\u321?O\u346?CI EUROPEJSKIEJ OBRONNO\u346?CI_x000b__x000b__x000b_"/>
    <w:docVar w:name="LW_TYPE.DOC.CP" w:val="DOKUMENT OTWIERAJ\u260?CY DEBAT\u280? "/>
  </w:docVars>
  <w:rsids>
    <w:rsidRoot w:val="00A01298"/>
    <w:rsid w:val="0086299A"/>
    <w:rsid w:val="00A0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pl-PL"/>
    </w:rPr>
  </w:style>
  <w:style w:type="paragraph" w:customStyle="1" w:styleId="s2">
    <w:name w:val="s2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lang w:val="pl-PL"/>
    </w:rPr>
  </w:style>
  <w:style w:type="character" w:customStyle="1" w:styleId="FooterCoverPageChar">
    <w:name w:val="Footer Cover Page Char"/>
    <w:basedOn w:val="NoSpacingChar"/>
    <w:link w:val="FooterCoverPage"/>
    <w:rPr>
      <w:rFonts w:ascii="Times New Roman" w:hAnsi="Times New Roman" w:cs="Times New Roman"/>
      <w:sz w:val="24"/>
      <w:szCs w:val="24"/>
      <w:lang w:val="pl-PL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erCoverPageChar">
    <w:name w:val="Header Cover Page Char"/>
    <w:basedOn w:val="NoSpacingChar"/>
    <w:link w:val="HeaderCoverPage"/>
    <w:rPr>
      <w:rFonts w:ascii="Times New Roman" w:hAnsi="Times New Roman" w:cs="Times New Roman"/>
      <w:sz w:val="24"/>
      <w:szCs w:val="24"/>
      <w:lang w:val="pl-PL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pl-PL"/>
    </w:rPr>
  </w:style>
  <w:style w:type="paragraph" w:customStyle="1" w:styleId="s2">
    <w:name w:val="s2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lang w:val="pl-PL"/>
    </w:rPr>
  </w:style>
  <w:style w:type="character" w:customStyle="1" w:styleId="FooterCoverPageChar">
    <w:name w:val="Footer Cover Page Char"/>
    <w:basedOn w:val="NoSpacingChar"/>
    <w:link w:val="FooterCoverPage"/>
    <w:rPr>
      <w:rFonts w:ascii="Times New Roman" w:hAnsi="Times New Roman" w:cs="Times New Roman"/>
      <w:sz w:val="24"/>
      <w:szCs w:val="24"/>
      <w:lang w:val="pl-PL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erCoverPageChar">
    <w:name w:val="Header Cover Page Char"/>
    <w:basedOn w:val="NoSpacingChar"/>
    <w:link w:val="HeaderCoverPage"/>
    <w:rPr>
      <w:rFonts w:ascii="Times New Roman" w:hAnsi="Times New Roman" w:cs="Times New Roman"/>
      <w:sz w:val="24"/>
      <w:szCs w:val="24"/>
      <w:lang w:val="pl-PL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23</Pages>
  <Words>6207</Words>
  <Characters>42834</Characters>
  <Application>Microsoft Office Word</Application>
  <DocSecurity>0</DocSecurity>
  <Lines>996</Lines>
  <Paragraphs>164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28</cp:revision>
  <cp:lastPrinted>2017-06-01T17:28:00Z</cp:lastPrinted>
  <dcterms:created xsi:type="dcterms:W3CDTF">2017-06-02T15:13:00Z</dcterms:created>
  <dcterms:modified xsi:type="dcterms:W3CDTF">2017-06-07T09:43:00Z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</Properties>
</file>