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7DBC2F934334AA1A249BAE9692F70F0" style="width:450.75pt;height:379.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BEGRUNDELSE</w:t>
      </w:r>
    </w:p>
    <w:p>
      <w:pPr>
        <w:widowControl w:val="0"/>
        <w:shd w:val="clear" w:color="auto" w:fill="FFFFFF"/>
        <w:autoSpaceDE w:val="0"/>
        <w:autoSpaceDN w:val="0"/>
        <w:adjustRightInd w:val="0"/>
        <w:spacing w:before="230" w:after="0" w:line="269" w:lineRule="exact"/>
        <w:ind w:right="86"/>
        <w:rPr>
          <w:noProof/>
          <w:szCs w:val="24"/>
        </w:rPr>
      </w:pPr>
      <w:r>
        <w:rPr>
          <w:noProof/>
        </w:rPr>
        <w:t xml:space="preserve">Traditionel rom fra regionerne i den yderste periferi har siden 1923 været omfattet af en særlig punktafgiftsordning på det franske marked i Europa. Dette afspejler en langsigtet strategi for afgiftsmæssig begunstigelse, som beror på den kendsgerning, at verdensmarkedet for rom – bortset fra årene med en exceptionelt stor vækst – udviser en relativ jævn vækstrate (+/- 3,2 %), og på den omstændighed, at de mængder, der er omfattet af denne særlige afgiftsordning, tilpasses denne vækstrate for på lang sigt at sikre konkurrencedygtigheden for produktionen af sukkerrør, sukker og rom i de franske regioner i den yderste periferi. Siden etableringen af det indre marked og harmoniseringen af punktafgifterne i Europa er denne særlige punktafgiftsordning med Den Europæiske Unions samtykke blevet videreført.  Det nugældende system og bemyndigelsen til videreførelsen blev indført ved </w:t>
      </w:r>
      <w:r>
        <w:rPr>
          <w:b/>
          <w:noProof/>
        </w:rPr>
        <w:t>beslutning 2002/166/EF</w:t>
      </w:r>
      <w:r>
        <w:rPr>
          <w:noProof/>
        </w:rPr>
        <w:t xml:space="preserve"> af 18. februar 2002 om bemyndigelse af Frankrig til at forlænge gyldighedsperioden for anvendelsen af en reduceret punktafgiftssats på "traditionel" rom fremstillet i dets oversøiske departementer</w:t>
      </w:r>
      <w:r>
        <w:rPr>
          <w:rStyle w:val="FootnoteReference"/>
          <w:noProof/>
        </w:rPr>
        <w:footnoteReference w:id="2"/>
      </w:r>
      <w:r>
        <w:rPr>
          <w:noProof/>
        </w:rPr>
        <w:t xml:space="preserve"> for at tage hensyn til revisionen af den fælles markedsordning for sukkersektoren i 2001 og afviklingen af toldbeskyttelsen for alkoholholdige drikkevarer i 2003. I beslutning 2002/166/EF blev det ligeledes fastslået, at de foranstaltninger, der allerede var truffet på fællesskabsplan og nationalt plan for at forbedre konkurrenceevnen for sektoren for sukkerrør, sukker og rom i de oversøiske departementer, imidlertid ikke i sig selv altid var tilstrækkelige til at bringe konkurrenceevnen op på et niveau, der giver Frankrig mulighed at ændre afgiften på traditionel rom, der er fremstillet i landets oversøiske departementer. </w:t>
      </w:r>
    </w:p>
    <w:p>
      <w:pPr>
        <w:autoSpaceDE w:val="0"/>
        <w:autoSpaceDN w:val="0"/>
        <w:adjustRightInd w:val="0"/>
        <w:spacing w:before="0" w:after="0"/>
        <w:jc w:val="left"/>
        <w:rPr>
          <w:noProof/>
          <w:szCs w:val="24"/>
        </w:rPr>
      </w:pPr>
    </w:p>
    <w:p>
      <w:pPr>
        <w:autoSpaceDE w:val="0"/>
        <w:autoSpaceDN w:val="0"/>
        <w:adjustRightInd w:val="0"/>
        <w:spacing w:before="0" w:after="0"/>
        <w:rPr>
          <w:bCs/>
          <w:noProof/>
          <w:szCs w:val="24"/>
        </w:rPr>
      </w:pPr>
      <w:r>
        <w:rPr>
          <w:noProof/>
        </w:rPr>
        <w:t xml:space="preserve">I beslutning 2002/166/EF begrænsedes anvendelsen af en reduceret </w:t>
      </w:r>
      <w:r>
        <w:rPr>
          <w:noProof/>
        </w:rPr>
        <w:br/>
        <w:t xml:space="preserve">punktafgiftssats til et årligt kontingent på </w:t>
      </w:r>
      <w:r>
        <w:rPr>
          <w:b/>
          <w:noProof/>
        </w:rPr>
        <w:t>90 000 hl</w:t>
      </w:r>
      <w:r>
        <w:rPr>
          <w:noProof/>
        </w:rPr>
        <w:t xml:space="preserve"> ren alkohol, som svarede til den traditionelle handel, der har været registreret i de sidste år inden beslutningens vedtagelse, og dermed blev vækstraten ikke taget i betragtning. For beslutning 2002/166/EF blev det lagt til grund, at for at skabe et klima med retlig sikkerhed for de erhvervsdrivende i sektorerne for sukkerrør, sukker og rom og i lyset af afskrivningsperioden for udstyr og bygninger ville et fast årligt kontingent på 90 000 hl for en periode på syv år fra den 1. januar 2003 til den 31. december 2009 være tilstrækkelig</w:t>
      </w:r>
    </w:p>
    <w:p>
      <w:pPr>
        <w:autoSpaceDE w:val="0"/>
        <w:autoSpaceDN w:val="0"/>
        <w:adjustRightInd w:val="0"/>
        <w:spacing w:before="0" w:after="0"/>
        <w:jc w:val="left"/>
        <w:rPr>
          <w:bCs/>
          <w:noProof/>
          <w:szCs w:val="24"/>
        </w:rPr>
      </w:pPr>
    </w:p>
    <w:p>
      <w:pPr>
        <w:autoSpaceDE w:val="0"/>
        <w:autoSpaceDN w:val="0"/>
        <w:adjustRightInd w:val="0"/>
        <w:spacing w:before="0" w:after="0"/>
        <w:rPr>
          <w:noProof/>
          <w:szCs w:val="24"/>
        </w:rPr>
      </w:pPr>
      <w:r>
        <w:rPr>
          <w:noProof/>
        </w:rPr>
        <w:t xml:space="preserve">I praksis havde Rådet allerede ændret beslutning 2002/166/EF ved </w:t>
      </w:r>
      <w:r>
        <w:rPr>
          <w:b/>
          <w:noProof/>
        </w:rPr>
        <w:t>beslutning 2007/659/EF</w:t>
      </w:r>
      <w:r>
        <w:rPr>
          <w:rStyle w:val="FootnoteReference"/>
          <w:noProof/>
        </w:rPr>
        <w:footnoteReference w:id="3"/>
      </w:r>
      <w:r>
        <w:rPr>
          <w:noProof/>
        </w:rPr>
        <w:t xml:space="preserve"> af 9. oktober 2007, hvorved der med tilbagevirkende kraft var indført et årligt kontingent på </w:t>
      </w:r>
      <w:r>
        <w:rPr>
          <w:b/>
          <w:noProof/>
        </w:rPr>
        <w:t>108 000 hl</w:t>
      </w:r>
      <w:r>
        <w:rPr>
          <w:noProof/>
        </w:rPr>
        <w:t xml:space="preserve"> ren alkohol, som fandt anvendelse fra den 1. januar 2007 til den 31. december 2012. I betragtning 9 i beslutning 2007/659/EF anføres det yderligere, at det således kun er takket være markedet i Frankrigs europæiske område, hvor rom fra de oversøiske departementer er genstand for en specifik afgiftsordning, som har gjort det muligt delvis at kompensere for de højere kostpriser, at romindustrien i de oversøiske departementer har kunnet overleve.</w:t>
      </w:r>
    </w:p>
    <w:p>
      <w:pPr>
        <w:autoSpaceDE w:val="0"/>
        <w:autoSpaceDN w:val="0"/>
        <w:adjustRightInd w:val="0"/>
        <w:spacing w:before="0" w:after="0"/>
        <w:jc w:val="left"/>
        <w:rPr>
          <w:noProof/>
          <w:szCs w:val="24"/>
        </w:rPr>
      </w:pPr>
    </w:p>
    <w:p>
      <w:pPr>
        <w:autoSpaceDE w:val="0"/>
        <w:autoSpaceDN w:val="0"/>
        <w:adjustRightInd w:val="0"/>
        <w:spacing w:before="0" w:after="0"/>
        <w:rPr>
          <w:noProof/>
        </w:rPr>
      </w:pPr>
      <w:r>
        <w:rPr>
          <w:noProof/>
        </w:rPr>
        <w:t xml:space="preserve">Ved Rådets </w:t>
      </w:r>
      <w:r>
        <w:rPr>
          <w:b/>
          <w:noProof/>
        </w:rPr>
        <w:t>afgørelse nr. 896/2011/EU</w:t>
      </w:r>
      <w:r>
        <w:rPr>
          <w:rStyle w:val="FootnoteReference"/>
          <w:b/>
          <w:noProof/>
        </w:rPr>
        <w:footnoteReference w:id="4"/>
      </w:r>
      <w:r>
        <w:rPr>
          <w:noProof/>
        </w:rPr>
        <w:t xml:space="preserve"> af 19. december 2011 ændredes beslutning 2007/659/EF, idet anvendelsesperioden for kontingentet på 108 000 hl blev forkortet med to år indtil den 31. december 2010, og der indførtes for perioden fra 1. januar 2011 og 31. december 2013 et årligt kontingent på </w:t>
      </w:r>
      <w:r>
        <w:rPr>
          <w:b/>
          <w:noProof/>
        </w:rPr>
        <w:t>120 000</w:t>
      </w:r>
      <w:r>
        <w:rPr>
          <w:noProof/>
        </w:rPr>
        <w:t xml:space="preserve"> hl ren alkohol. </w:t>
      </w:r>
    </w:p>
    <w:p>
      <w:pPr>
        <w:widowControl w:val="0"/>
        <w:shd w:val="clear" w:color="auto" w:fill="FFFFFF"/>
        <w:autoSpaceDE w:val="0"/>
        <w:autoSpaceDN w:val="0"/>
        <w:adjustRightInd w:val="0"/>
        <w:spacing w:before="230" w:after="0" w:line="269" w:lineRule="exact"/>
        <w:ind w:right="86"/>
        <w:rPr>
          <w:noProof/>
        </w:rPr>
      </w:pPr>
      <w:r>
        <w:rPr>
          <w:noProof/>
        </w:rPr>
        <w:t>I betragtning 5 i Rådets afgørelse nr. 896/2011/EU af 19. december 2011 anførte Rådet, at det kontingent, der kunne være omfattet af en punktafgift, der var lavere end den fulde afgiftssats, ville muliggøre en årlig stigning på 3,2 % og i visse år med stor vækst på 4,3 %. Det siger sig selv, at dette ikke er en afgørelse, som indebærer en fremtidig juridisk forpligtelse for Rådet og Kommissionen. Det skal dog fastholdes, at disse vækstrater i de sidste 25 år har været de forhold, som har været økonomisk set mest stabile, og som har været tættest på den økonomiske virkelighed:</w:t>
      </w:r>
    </w:p>
    <w:p>
      <w:pPr>
        <w:widowControl w:val="0"/>
        <w:shd w:val="clear" w:color="auto" w:fill="FFFFFF"/>
        <w:autoSpaceDE w:val="0"/>
        <w:autoSpaceDN w:val="0"/>
        <w:adjustRightInd w:val="0"/>
        <w:spacing w:before="230" w:after="0" w:line="269" w:lineRule="exact"/>
        <w:ind w:right="86"/>
        <w:rPr>
          <w:noProof/>
        </w:rPr>
      </w:pPr>
      <w:r>
        <w:rPr>
          <w:noProof/>
        </w:rPr>
        <w:t>"… Da konkurrenceevnen for traditionel rom fra de oversøiske departementer bør styrkes på Frankrigs europæiske marked for at bevare produktionen inden for sektorerne for sukkerrør, sukker og rom i disse departementer, er det nødvendigt at revidere de mængder traditionel rom fra de oversøiske departementer, som må afsættes på dette marked med en reduceret afgiftssats. Kontingentet på 108 000 HRA årligt, som er fastlagt i beslutning 2007/659/EF, bør derfor forhøjes til 120 000 HRA, herunder kontingentet for 2011 for at sikre kontinuiteten, idet der tages hensyn til den forventede forhøjelse for det år. Forhøjelsen muliggør en årlig stigning i mængden af rom, der bliver bragt i omsætning, på 4,3 %, dvs. en lidt større stigning end de 3,2 % i perioden 2007-2010."</w:t>
      </w:r>
    </w:p>
    <w:p>
      <w:pPr>
        <w:widowControl w:val="0"/>
        <w:shd w:val="clear" w:color="auto" w:fill="FFFFFF"/>
        <w:autoSpaceDE w:val="0"/>
        <w:autoSpaceDN w:val="0"/>
        <w:adjustRightInd w:val="0"/>
        <w:spacing w:before="230" w:after="0" w:line="269" w:lineRule="exact"/>
        <w:ind w:right="86"/>
        <w:rPr>
          <w:noProof/>
        </w:rPr>
      </w:pPr>
      <w:r>
        <w:rPr>
          <w:noProof/>
        </w:rPr>
        <w:t xml:space="preserve">Med </w:t>
      </w:r>
      <w:r>
        <w:rPr>
          <w:b/>
          <w:noProof/>
        </w:rPr>
        <w:t>afgørelse nr. 189/2014/EU</w:t>
      </w:r>
      <w:r>
        <w:rPr>
          <w:rStyle w:val="FootnoteReference"/>
          <w:b/>
          <w:noProof/>
        </w:rPr>
        <w:footnoteReference w:id="5"/>
      </w:r>
      <w:r>
        <w:rPr>
          <w:noProof/>
        </w:rPr>
        <w:t xml:space="preserve"> ophæves og erstattes afgørelse nr. 896/2011/EU, og der fastlægges et årligt kontingent på 120 000 for perioden fra 1. januar 2010 til 31. december 2020. Det kontingent, der er fastlagt ved afgørelse nr. 189/2014/EU, afspejler ikke fuldt ud de i afgørelse nr. 896/2011/EU anslåede vækstrater. Derudover har fastlæggelsen af et årligt kontingent på 120 000 hl ren alkohol (HRA) for en tiårsperiode ført til et tiltagende misforhold mellem de vækstrater, der blev anslået af Rådet i 2011, og de disponible kontingenter.</w:t>
      </w:r>
    </w:p>
    <w:p>
      <w:pPr>
        <w:widowControl w:val="0"/>
        <w:shd w:val="clear" w:color="auto" w:fill="FFFFFF"/>
        <w:autoSpaceDE w:val="0"/>
        <w:autoSpaceDN w:val="0"/>
        <w:adjustRightInd w:val="0"/>
        <w:spacing w:before="230" w:after="0" w:line="269" w:lineRule="exact"/>
        <w:ind w:right="86"/>
        <w:rPr>
          <w:noProof/>
        </w:rPr>
      </w:pPr>
    </w:p>
    <w:tbl>
      <w:tblPr>
        <w:tblStyle w:val="TableGrid"/>
        <w:tblW w:w="7088" w:type="dxa"/>
        <w:tblInd w:w="675" w:type="dxa"/>
        <w:tblLayout w:type="fixed"/>
        <w:tblLook w:val="04A0" w:firstRow="1" w:lastRow="0" w:firstColumn="1" w:lastColumn="0" w:noHBand="0" w:noVBand="1"/>
      </w:tblPr>
      <w:tblGrid>
        <w:gridCol w:w="993"/>
        <w:gridCol w:w="1417"/>
        <w:gridCol w:w="1559"/>
        <w:gridCol w:w="1418"/>
        <w:gridCol w:w="1701"/>
      </w:tblGrid>
      <w:tr>
        <w:trPr>
          <w:trHeight w:val="474"/>
        </w:trPr>
        <w:tc>
          <w:tcPr>
            <w:tcW w:w="993" w:type="dxa"/>
          </w:tcPr>
          <w:p>
            <w:pPr>
              <w:widowControl w:val="0"/>
              <w:shd w:val="clear" w:color="auto" w:fill="FFFFFF"/>
              <w:autoSpaceDE w:val="0"/>
              <w:autoSpaceDN w:val="0"/>
              <w:adjustRightInd w:val="0"/>
              <w:spacing w:before="230" w:after="0" w:line="269" w:lineRule="exact"/>
              <w:ind w:right="86"/>
              <w:rPr>
                <w:noProof/>
              </w:rPr>
            </w:pPr>
            <w:r>
              <w:rPr>
                <w:noProof/>
              </w:rPr>
              <w:t>År</w:t>
            </w:r>
          </w:p>
        </w:tc>
        <w:tc>
          <w:tcPr>
            <w:tcW w:w="1417" w:type="dxa"/>
          </w:tcPr>
          <w:p>
            <w:pPr>
              <w:widowControl w:val="0"/>
              <w:shd w:val="clear" w:color="auto" w:fill="FFFFFF"/>
              <w:autoSpaceDE w:val="0"/>
              <w:autoSpaceDN w:val="0"/>
              <w:adjustRightInd w:val="0"/>
              <w:spacing w:before="230" w:after="0" w:line="269" w:lineRule="exact"/>
              <w:ind w:right="86"/>
              <w:rPr>
                <w:noProof/>
              </w:rPr>
            </w:pPr>
            <w:r>
              <w:rPr>
                <w:noProof/>
              </w:rPr>
              <w:t>Forventet vækstrate</w:t>
            </w:r>
          </w:p>
        </w:tc>
        <w:tc>
          <w:tcPr>
            <w:tcW w:w="1559" w:type="dxa"/>
          </w:tcPr>
          <w:p>
            <w:pPr>
              <w:widowControl w:val="0"/>
              <w:shd w:val="clear" w:color="auto" w:fill="FFFFFF"/>
              <w:autoSpaceDE w:val="0"/>
              <w:autoSpaceDN w:val="0"/>
              <w:adjustRightInd w:val="0"/>
              <w:spacing w:before="230" w:after="0" w:line="269" w:lineRule="exact"/>
              <w:ind w:right="86"/>
              <w:rPr>
                <w:noProof/>
              </w:rPr>
            </w:pPr>
            <w:r>
              <w:rPr>
                <w:noProof/>
              </w:rPr>
              <w:t>Behov ved årets slutning, jf. den forventede vækstrate (hl ren alkohol)</w:t>
            </w:r>
          </w:p>
        </w:tc>
        <w:tc>
          <w:tcPr>
            <w:tcW w:w="1418" w:type="dxa"/>
          </w:tcPr>
          <w:p>
            <w:pPr>
              <w:widowControl w:val="0"/>
              <w:shd w:val="clear" w:color="auto" w:fill="FFFFFF"/>
              <w:autoSpaceDE w:val="0"/>
              <w:autoSpaceDN w:val="0"/>
              <w:adjustRightInd w:val="0"/>
              <w:spacing w:before="230" w:after="0" w:line="269" w:lineRule="exact"/>
              <w:ind w:right="86"/>
              <w:rPr>
                <w:noProof/>
              </w:rPr>
            </w:pPr>
            <w:r>
              <w:rPr>
                <w:noProof/>
              </w:rPr>
              <w:t>Disponibelt kontingent (hl ren alkohol)</w:t>
            </w:r>
          </w:p>
        </w:tc>
        <w:tc>
          <w:tcPr>
            <w:tcW w:w="1701" w:type="dxa"/>
          </w:tcPr>
          <w:p>
            <w:pPr>
              <w:widowControl w:val="0"/>
              <w:shd w:val="clear" w:color="auto" w:fill="FFFFFF"/>
              <w:autoSpaceDE w:val="0"/>
              <w:autoSpaceDN w:val="0"/>
              <w:adjustRightInd w:val="0"/>
              <w:spacing w:before="230" w:after="0" w:line="269" w:lineRule="exact"/>
              <w:ind w:right="86"/>
              <w:rPr>
                <w:noProof/>
              </w:rPr>
            </w:pPr>
            <w:r>
              <w:rPr>
                <w:noProof/>
              </w:rPr>
              <w:t>Beslutning/afgørelse EF/EU</w:t>
            </w:r>
          </w:p>
        </w:tc>
      </w:tr>
      <w:tr>
        <w:trPr>
          <w:trHeight w:val="150"/>
        </w:trPr>
        <w:tc>
          <w:tcPr>
            <w:tcW w:w="993" w:type="dxa"/>
          </w:tcPr>
          <w:p>
            <w:pPr>
              <w:widowControl w:val="0"/>
              <w:shd w:val="clear" w:color="auto" w:fill="FFFFFF"/>
              <w:autoSpaceDE w:val="0"/>
              <w:autoSpaceDN w:val="0"/>
              <w:adjustRightInd w:val="0"/>
              <w:spacing w:before="230" w:after="0" w:line="269" w:lineRule="exact"/>
              <w:ind w:right="86"/>
              <w:rPr>
                <w:noProof/>
              </w:rPr>
            </w:pPr>
            <w:r>
              <w:rPr>
                <w:noProof/>
              </w:rPr>
              <w:t>2002</w:t>
            </w:r>
          </w:p>
        </w:tc>
        <w:tc>
          <w:tcPr>
            <w:tcW w:w="1417" w:type="dxa"/>
          </w:tcPr>
          <w:p>
            <w:pPr>
              <w:widowControl w:val="0"/>
              <w:shd w:val="clear" w:color="auto" w:fill="FFFFFF"/>
              <w:autoSpaceDE w:val="0"/>
              <w:autoSpaceDN w:val="0"/>
              <w:adjustRightInd w:val="0"/>
              <w:spacing w:before="230" w:after="0" w:line="269" w:lineRule="exact"/>
              <w:ind w:right="86"/>
              <w:rPr>
                <w:noProof/>
              </w:rPr>
            </w:pPr>
            <w:r>
              <w:rPr>
                <w:noProof/>
              </w:rPr>
              <w:t>0 %</w:t>
            </w:r>
          </w:p>
        </w:tc>
        <w:tc>
          <w:tcPr>
            <w:tcW w:w="1559" w:type="dxa"/>
          </w:tcPr>
          <w:p>
            <w:pPr>
              <w:widowControl w:val="0"/>
              <w:shd w:val="clear" w:color="auto" w:fill="FFFFFF"/>
              <w:autoSpaceDE w:val="0"/>
              <w:autoSpaceDN w:val="0"/>
              <w:adjustRightInd w:val="0"/>
              <w:spacing w:before="230" w:after="0" w:line="269" w:lineRule="exact"/>
              <w:ind w:right="86"/>
              <w:rPr>
                <w:noProof/>
              </w:rPr>
            </w:pPr>
            <w:r>
              <w:rPr>
                <w:noProof/>
              </w:rPr>
              <w:t>90 000</w:t>
            </w:r>
          </w:p>
        </w:tc>
        <w:tc>
          <w:tcPr>
            <w:tcW w:w="1418" w:type="dxa"/>
          </w:tcPr>
          <w:p>
            <w:pPr>
              <w:widowControl w:val="0"/>
              <w:shd w:val="clear" w:color="auto" w:fill="FFFFFF"/>
              <w:autoSpaceDE w:val="0"/>
              <w:autoSpaceDN w:val="0"/>
              <w:adjustRightInd w:val="0"/>
              <w:spacing w:before="230" w:after="0" w:line="269" w:lineRule="exact"/>
              <w:ind w:right="86"/>
              <w:jc w:val="right"/>
              <w:rPr>
                <w:noProof/>
              </w:rPr>
            </w:pPr>
          </w:p>
        </w:tc>
        <w:tc>
          <w:tcPr>
            <w:tcW w:w="1701" w:type="dxa"/>
          </w:tcPr>
          <w:p>
            <w:pPr>
              <w:widowControl w:val="0"/>
              <w:shd w:val="clear" w:color="auto" w:fill="FFFFFF"/>
              <w:autoSpaceDE w:val="0"/>
              <w:autoSpaceDN w:val="0"/>
              <w:adjustRightInd w:val="0"/>
              <w:spacing w:before="230" w:after="0" w:line="269" w:lineRule="exact"/>
              <w:ind w:right="86"/>
              <w:jc w:val="right"/>
              <w:rPr>
                <w:noProof/>
              </w:rPr>
            </w:pPr>
            <w:r>
              <w:rPr>
                <w:noProof/>
              </w:rPr>
              <w:t>2002/166</w:t>
            </w:r>
          </w:p>
        </w:tc>
      </w:tr>
      <w:tr>
        <w:trPr>
          <w:trHeight w:val="158"/>
        </w:trPr>
        <w:tc>
          <w:tcPr>
            <w:tcW w:w="993" w:type="dxa"/>
          </w:tcPr>
          <w:p>
            <w:pPr>
              <w:widowControl w:val="0"/>
              <w:shd w:val="clear" w:color="auto" w:fill="FFFFFF"/>
              <w:autoSpaceDE w:val="0"/>
              <w:autoSpaceDN w:val="0"/>
              <w:adjustRightInd w:val="0"/>
              <w:spacing w:before="230" w:after="0" w:line="269" w:lineRule="exact"/>
              <w:ind w:right="86"/>
              <w:rPr>
                <w:noProof/>
              </w:rPr>
            </w:pPr>
            <w:r>
              <w:rPr>
                <w:noProof/>
              </w:rPr>
              <w:t>2003</w:t>
            </w:r>
          </w:p>
        </w:tc>
        <w:tc>
          <w:tcPr>
            <w:tcW w:w="1417" w:type="dxa"/>
          </w:tcPr>
          <w:p>
            <w:pPr>
              <w:widowControl w:val="0"/>
              <w:shd w:val="clear" w:color="auto" w:fill="FFFFFF"/>
              <w:autoSpaceDE w:val="0"/>
              <w:autoSpaceDN w:val="0"/>
              <w:adjustRightInd w:val="0"/>
              <w:spacing w:before="230" w:after="0" w:line="269" w:lineRule="exact"/>
              <w:ind w:right="86"/>
              <w:rPr>
                <w:noProof/>
              </w:rPr>
            </w:pPr>
            <w:r>
              <w:rPr>
                <w:noProof/>
              </w:rPr>
              <w:t>3,2 %</w:t>
            </w:r>
          </w:p>
        </w:tc>
        <w:tc>
          <w:tcPr>
            <w:tcW w:w="1559" w:type="dxa"/>
          </w:tcPr>
          <w:p>
            <w:pPr>
              <w:widowControl w:val="0"/>
              <w:shd w:val="clear" w:color="auto" w:fill="FFFFFF"/>
              <w:autoSpaceDE w:val="0"/>
              <w:autoSpaceDN w:val="0"/>
              <w:adjustRightInd w:val="0"/>
              <w:spacing w:before="230" w:after="0" w:line="269" w:lineRule="exact"/>
              <w:ind w:right="86"/>
              <w:rPr>
                <w:noProof/>
              </w:rPr>
            </w:pPr>
            <w:r>
              <w:rPr>
                <w:noProof/>
              </w:rPr>
              <w:t>92 880</w:t>
            </w:r>
          </w:p>
        </w:tc>
        <w:tc>
          <w:tcPr>
            <w:tcW w:w="1418" w:type="dxa"/>
          </w:tcPr>
          <w:p>
            <w:pPr>
              <w:widowControl w:val="0"/>
              <w:shd w:val="clear" w:color="auto" w:fill="FFFFFF"/>
              <w:autoSpaceDE w:val="0"/>
              <w:autoSpaceDN w:val="0"/>
              <w:adjustRightInd w:val="0"/>
              <w:spacing w:before="230" w:after="0" w:line="269" w:lineRule="exact"/>
              <w:ind w:right="86"/>
              <w:jc w:val="right"/>
              <w:rPr>
                <w:noProof/>
              </w:rPr>
            </w:pPr>
            <w:r>
              <w:rPr>
                <w:noProof/>
              </w:rPr>
              <w:t>90 000</w:t>
            </w:r>
          </w:p>
        </w:tc>
        <w:tc>
          <w:tcPr>
            <w:tcW w:w="1701" w:type="dxa"/>
          </w:tcPr>
          <w:p>
            <w:pPr>
              <w:widowControl w:val="0"/>
              <w:shd w:val="clear" w:color="auto" w:fill="FFFFFF"/>
              <w:autoSpaceDE w:val="0"/>
              <w:autoSpaceDN w:val="0"/>
              <w:adjustRightInd w:val="0"/>
              <w:spacing w:before="230" w:after="0" w:line="269" w:lineRule="exact"/>
              <w:ind w:right="86"/>
              <w:jc w:val="right"/>
              <w:rPr>
                <w:noProof/>
              </w:rPr>
            </w:pPr>
            <w:r>
              <w:rPr>
                <w:noProof/>
              </w:rPr>
              <w:t>2002/166</w:t>
            </w:r>
          </w:p>
        </w:tc>
      </w:tr>
      <w:tr>
        <w:trPr>
          <w:trHeight w:val="158"/>
        </w:trPr>
        <w:tc>
          <w:tcPr>
            <w:tcW w:w="993" w:type="dxa"/>
          </w:tcPr>
          <w:p>
            <w:pPr>
              <w:widowControl w:val="0"/>
              <w:shd w:val="clear" w:color="auto" w:fill="FFFFFF"/>
              <w:autoSpaceDE w:val="0"/>
              <w:autoSpaceDN w:val="0"/>
              <w:adjustRightInd w:val="0"/>
              <w:spacing w:before="230" w:after="0" w:line="269" w:lineRule="exact"/>
              <w:ind w:right="86"/>
              <w:rPr>
                <w:noProof/>
              </w:rPr>
            </w:pPr>
            <w:r>
              <w:rPr>
                <w:noProof/>
              </w:rPr>
              <w:t>2004</w:t>
            </w:r>
          </w:p>
        </w:tc>
        <w:tc>
          <w:tcPr>
            <w:tcW w:w="1417" w:type="dxa"/>
          </w:tcPr>
          <w:p>
            <w:pPr>
              <w:widowControl w:val="0"/>
              <w:shd w:val="clear" w:color="auto" w:fill="FFFFFF"/>
              <w:autoSpaceDE w:val="0"/>
              <w:autoSpaceDN w:val="0"/>
              <w:adjustRightInd w:val="0"/>
              <w:spacing w:before="230" w:after="0" w:line="269" w:lineRule="exact"/>
              <w:ind w:right="86"/>
              <w:rPr>
                <w:noProof/>
              </w:rPr>
            </w:pPr>
            <w:r>
              <w:rPr>
                <w:noProof/>
              </w:rPr>
              <w:t>3,2 %</w:t>
            </w:r>
          </w:p>
        </w:tc>
        <w:tc>
          <w:tcPr>
            <w:tcW w:w="1559" w:type="dxa"/>
          </w:tcPr>
          <w:p>
            <w:pPr>
              <w:widowControl w:val="0"/>
              <w:shd w:val="clear" w:color="auto" w:fill="FFFFFF"/>
              <w:autoSpaceDE w:val="0"/>
              <w:autoSpaceDN w:val="0"/>
              <w:adjustRightInd w:val="0"/>
              <w:spacing w:before="230" w:after="0" w:line="269" w:lineRule="exact"/>
              <w:ind w:right="86"/>
              <w:rPr>
                <w:noProof/>
              </w:rPr>
            </w:pPr>
            <w:r>
              <w:rPr>
                <w:noProof/>
              </w:rPr>
              <w:t>95 852</w:t>
            </w:r>
          </w:p>
        </w:tc>
        <w:tc>
          <w:tcPr>
            <w:tcW w:w="1418" w:type="dxa"/>
          </w:tcPr>
          <w:p>
            <w:pPr>
              <w:widowControl w:val="0"/>
              <w:shd w:val="clear" w:color="auto" w:fill="FFFFFF"/>
              <w:autoSpaceDE w:val="0"/>
              <w:autoSpaceDN w:val="0"/>
              <w:adjustRightInd w:val="0"/>
              <w:spacing w:before="230" w:after="0" w:line="269" w:lineRule="exact"/>
              <w:ind w:right="86"/>
              <w:jc w:val="right"/>
              <w:rPr>
                <w:noProof/>
              </w:rPr>
            </w:pPr>
            <w:r>
              <w:rPr>
                <w:noProof/>
              </w:rPr>
              <w:t>90 000</w:t>
            </w:r>
          </w:p>
        </w:tc>
        <w:tc>
          <w:tcPr>
            <w:tcW w:w="1701" w:type="dxa"/>
          </w:tcPr>
          <w:p>
            <w:pPr>
              <w:widowControl w:val="0"/>
              <w:shd w:val="clear" w:color="auto" w:fill="FFFFFF"/>
              <w:autoSpaceDE w:val="0"/>
              <w:autoSpaceDN w:val="0"/>
              <w:adjustRightInd w:val="0"/>
              <w:spacing w:before="230" w:after="0" w:line="269" w:lineRule="exact"/>
              <w:ind w:right="86"/>
              <w:jc w:val="right"/>
              <w:rPr>
                <w:noProof/>
              </w:rPr>
            </w:pPr>
            <w:r>
              <w:rPr>
                <w:noProof/>
              </w:rPr>
              <w:t>2002/166</w:t>
            </w:r>
          </w:p>
        </w:tc>
      </w:tr>
      <w:tr>
        <w:trPr>
          <w:trHeight w:val="150"/>
        </w:trPr>
        <w:tc>
          <w:tcPr>
            <w:tcW w:w="993" w:type="dxa"/>
          </w:tcPr>
          <w:p>
            <w:pPr>
              <w:widowControl w:val="0"/>
              <w:shd w:val="clear" w:color="auto" w:fill="FFFFFF"/>
              <w:autoSpaceDE w:val="0"/>
              <w:autoSpaceDN w:val="0"/>
              <w:adjustRightInd w:val="0"/>
              <w:spacing w:before="230" w:after="0" w:line="269" w:lineRule="exact"/>
              <w:ind w:right="86"/>
              <w:rPr>
                <w:noProof/>
              </w:rPr>
            </w:pPr>
            <w:r>
              <w:rPr>
                <w:noProof/>
              </w:rPr>
              <w:t>2005</w:t>
            </w:r>
          </w:p>
        </w:tc>
        <w:tc>
          <w:tcPr>
            <w:tcW w:w="1417" w:type="dxa"/>
          </w:tcPr>
          <w:p>
            <w:pPr>
              <w:widowControl w:val="0"/>
              <w:shd w:val="clear" w:color="auto" w:fill="FFFFFF"/>
              <w:autoSpaceDE w:val="0"/>
              <w:autoSpaceDN w:val="0"/>
              <w:adjustRightInd w:val="0"/>
              <w:spacing w:before="230" w:after="0" w:line="269" w:lineRule="exact"/>
              <w:ind w:right="86"/>
              <w:rPr>
                <w:noProof/>
              </w:rPr>
            </w:pPr>
            <w:r>
              <w:rPr>
                <w:noProof/>
              </w:rPr>
              <w:t>3,2 %</w:t>
            </w:r>
          </w:p>
        </w:tc>
        <w:tc>
          <w:tcPr>
            <w:tcW w:w="1559" w:type="dxa"/>
          </w:tcPr>
          <w:p>
            <w:pPr>
              <w:widowControl w:val="0"/>
              <w:shd w:val="clear" w:color="auto" w:fill="FFFFFF"/>
              <w:autoSpaceDE w:val="0"/>
              <w:autoSpaceDN w:val="0"/>
              <w:adjustRightInd w:val="0"/>
              <w:spacing w:before="230" w:after="0" w:line="269" w:lineRule="exact"/>
              <w:ind w:right="86"/>
              <w:rPr>
                <w:noProof/>
              </w:rPr>
            </w:pPr>
            <w:r>
              <w:rPr>
                <w:noProof/>
              </w:rPr>
              <w:t>98 919</w:t>
            </w:r>
          </w:p>
        </w:tc>
        <w:tc>
          <w:tcPr>
            <w:tcW w:w="1418" w:type="dxa"/>
          </w:tcPr>
          <w:p>
            <w:pPr>
              <w:widowControl w:val="0"/>
              <w:shd w:val="clear" w:color="auto" w:fill="FFFFFF"/>
              <w:autoSpaceDE w:val="0"/>
              <w:autoSpaceDN w:val="0"/>
              <w:adjustRightInd w:val="0"/>
              <w:spacing w:before="230" w:after="0" w:line="269" w:lineRule="exact"/>
              <w:ind w:right="86"/>
              <w:jc w:val="right"/>
              <w:rPr>
                <w:noProof/>
              </w:rPr>
            </w:pPr>
            <w:r>
              <w:rPr>
                <w:noProof/>
              </w:rPr>
              <w:t>90 000</w:t>
            </w:r>
          </w:p>
        </w:tc>
        <w:tc>
          <w:tcPr>
            <w:tcW w:w="1701" w:type="dxa"/>
          </w:tcPr>
          <w:p>
            <w:pPr>
              <w:widowControl w:val="0"/>
              <w:shd w:val="clear" w:color="auto" w:fill="FFFFFF"/>
              <w:autoSpaceDE w:val="0"/>
              <w:autoSpaceDN w:val="0"/>
              <w:adjustRightInd w:val="0"/>
              <w:spacing w:before="230" w:after="0" w:line="269" w:lineRule="exact"/>
              <w:ind w:right="86"/>
              <w:jc w:val="right"/>
              <w:rPr>
                <w:noProof/>
              </w:rPr>
            </w:pPr>
            <w:r>
              <w:rPr>
                <w:noProof/>
              </w:rPr>
              <w:t>2002/166</w:t>
            </w:r>
          </w:p>
        </w:tc>
      </w:tr>
      <w:tr>
        <w:trPr>
          <w:trHeight w:val="158"/>
        </w:trPr>
        <w:tc>
          <w:tcPr>
            <w:tcW w:w="993" w:type="dxa"/>
          </w:tcPr>
          <w:p>
            <w:pPr>
              <w:widowControl w:val="0"/>
              <w:shd w:val="clear" w:color="auto" w:fill="FFFFFF"/>
              <w:autoSpaceDE w:val="0"/>
              <w:autoSpaceDN w:val="0"/>
              <w:adjustRightInd w:val="0"/>
              <w:spacing w:before="230" w:after="0" w:line="269" w:lineRule="exact"/>
              <w:ind w:right="86"/>
              <w:rPr>
                <w:noProof/>
              </w:rPr>
            </w:pPr>
            <w:r>
              <w:rPr>
                <w:noProof/>
              </w:rPr>
              <w:t>2006</w:t>
            </w:r>
          </w:p>
        </w:tc>
        <w:tc>
          <w:tcPr>
            <w:tcW w:w="1417" w:type="dxa"/>
          </w:tcPr>
          <w:p>
            <w:pPr>
              <w:widowControl w:val="0"/>
              <w:shd w:val="clear" w:color="auto" w:fill="FFFFFF"/>
              <w:autoSpaceDE w:val="0"/>
              <w:autoSpaceDN w:val="0"/>
              <w:adjustRightInd w:val="0"/>
              <w:spacing w:before="230" w:after="0" w:line="269" w:lineRule="exact"/>
              <w:ind w:right="86"/>
              <w:rPr>
                <w:noProof/>
              </w:rPr>
            </w:pPr>
            <w:r>
              <w:rPr>
                <w:noProof/>
              </w:rPr>
              <w:t>3,2 %</w:t>
            </w:r>
          </w:p>
        </w:tc>
        <w:tc>
          <w:tcPr>
            <w:tcW w:w="1559" w:type="dxa"/>
          </w:tcPr>
          <w:p>
            <w:pPr>
              <w:widowControl w:val="0"/>
              <w:shd w:val="clear" w:color="auto" w:fill="FFFFFF"/>
              <w:autoSpaceDE w:val="0"/>
              <w:autoSpaceDN w:val="0"/>
              <w:adjustRightInd w:val="0"/>
              <w:spacing w:before="230" w:after="0" w:line="269" w:lineRule="exact"/>
              <w:ind w:right="86"/>
              <w:rPr>
                <w:noProof/>
              </w:rPr>
            </w:pPr>
            <w:r>
              <w:rPr>
                <w:noProof/>
              </w:rPr>
              <w:t>102 084</w:t>
            </w:r>
          </w:p>
        </w:tc>
        <w:tc>
          <w:tcPr>
            <w:tcW w:w="1418" w:type="dxa"/>
          </w:tcPr>
          <w:p>
            <w:pPr>
              <w:widowControl w:val="0"/>
              <w:shd w:val="clear" w:color="auto" w:fill="FFFFFF"/>
              <w:autoSpaceDE w:val="0"/>
              <w:autoSpaceDN w:val="0"/>
              <w:adjustRightInd w:val="0"/>
              <w:spacing w:before="230" w:after="0" w:line="269" w:lineRule="exact"/>
              <w:ind w:right="86"/>
              <w:jc w:val="right"/>
              <w:rPr>
                <w:noProof/>
              </w:rPr>
            </w:pPr>
            <w:r>
              <w:rPr>
                <w:noProof/>
              </w:rPr>
              <w:t>90 000</w:t>
            </w:r>
          </w:p>
        </w:tc>
        <w:tc>
          <w:tcPr>
            <w:tcW w:w="1701" w:type="dxa"/>
          </w:tcPr>
          <w:p>
            <w:pPr>
              <w:widowControl w:val="0"/>
              <w:shd w:val="clear" w:color="auto" w:fill="FFFFFF"/>
              <w:autoSpaceDE w:val="0"/>
              <w:autoSpaceDN w:val="0"/>
              <w:adjustRightInd w:val="0"/>
              <w:spacing w:before="230" w:after="0" w:line="269" w:lineRule="exact"/>
              <w:ind w:right="86"/>
              <w:jc w:val="right"/>
              <w:rPr>
                <w:noProof/>
              </w:rPr>
            </w:pPr>
            <w:r>
              <w:rPr>
                <w:noProof/>
              </w:rPr>
              <w:t>2002/166</w:t>
            </w:r>
          </w:p>
        </w:tc>
      </w:tr>
      <w:tr>
        <w:trPr>
          <w:trHeight w:val="150"/>
        </w:trPr>
        <w:tc>
          <w:tcPr>
            <w:tcW w:w="993" w:type="dxa"/>
          </w:tcPr>
          <w:p>
            <w:pPr>
              <w:widowControl w:val="0"/>
              <w:shd w:val="clear" w:color="auto" w:fill="FFFFFF"/>
              <w:autoSpaceDE w:val="0"/>
              <w:autoSpaceDN w:val="0"/>
              <w:adjustRightInd w:val="0"/>
              <w:spacing w:before="230" w:after="0" w:line="269" w:lineRule="exact"/>
              <w:ind w:right="86"/>
              <w:rPr>
                <w:noProof/>
              </w:rPr>
            </w:pPr>
            <w:r>
              <w:rPr>
                <w:noProof/>
              </w:rPr>
              <w:t>2007</w:t>
            </w:r>
          </w:p>
        </w:tc>
        <w:tc>
          <w:tcPr>
            <w:tcW w:w="1417" w:type="dxa"/>
          </w:tcPr>
          <w:p>
            <w:pPr>
              <w:widowControl w:val="0"/>
              <w:shd w:val="clear" w:color="auto" w:fill="FFFFFF"/>
              <w:autoSpaceDE w:val="0"/>
              <w:autoSpaceDN w:val="0"/>
              <w:adjustRightInd w:val="0"/>
              <w:spacing w:before="230" w:after="0" w:line="269" w:lineRule="exact"/>
              <w:ind w:right="86"/>
              <w:rPr>
                <w:noProof/>
              </w:rPr>
            </w:pPr>
            <w:r>
              <w:rPr>
                <w:noProof/>
              </w:rPr>
              <w:t>3,2 %</w:t>
            </w:r>
          </w:p>
        </w:tc>
        <w:tc>
          <w:tcPr>
            <w:tcW w:w="1559" w:type="dxa"/>
          </w:tcPr>
          <w:p>
            <w:pPr>
              <w:widowControl w:val="0"/>
              <w:shd w:val="clear" w:color="auto" w:fill="FFFFFF"/>
              <w:autoSpaceDE w:val="0"/>
              <w:autoSpaceDN w:val="0"/>
              <w:adjustRightInd w:val="0"/>
              <w:spacing w:before="230" w:after="0" w:line="269" w:lineRule="exact"/>
              <w:ind w:right="86"/>
              <w:rPr>
                <w:noProof/>
              </w:rPr>
            </w:pPr>
            <w:r>
              <w:rPr>
                <w:noProof/>
              </w:rPr>
              <w:t>105 351</w:t>
            </w:r>
          </w:p>
        </w:tc>
        <w:tc>
          <w:tcPr>
            <w:tcW w:w="1418" w:type="dxa"/>
          </w:tcPr>
          <w:p>
            <w:pPr>
              <w:widowControl w:val="0"/>
              <w:shd w:val="clear" w:color="auto" w:fill="FFFFFF"/>
              <w:autoSpaceDE w:val="0"/>
              <w:autoSpaceDN w:val="0"/>
              <w:adjustRightInd w:val="0"/>
              <w:spacing w:before="230" w:after="0" w:line="269" w:lineRule="exact"/>
              <w:ind w:right="86"/>
              <w:jc w:val="right"/>
              <w:rPr>
                <w:noProof/>
              </w:rPr>
            </w:pPr>
            <w:r>
              <w:rPr>
                <w:noProof/>
              </w:rPr>
              <w:t>90 000</w:t>
            </w:r>
          </w:p>
          <w:p>
            <w:pPr>
              <w:widowControl w:val="0"/>
              <w:shd w:val="clear" w:color="auto" w:fill="FFFFFF"/>
              <w:autoSpaceDE w:val="0"/>
              <w:autoSpaceDN w:val="0"/>
              <w:adjustRightInd w:val="0"/>
              <w:spacing w:before="230" w:after="0" w:line="269" w:lineRule="exact"/>
              <w:ind w:right="86"/>
              <w:jc w:val="right"/>
              <w:rPr>
                <w:noProof/>
              </w:rPr>
            </w:pPr>
            <w:r>
              <w:rPr>
                <w:noProof/>
              </w:rPr>
              <w:t>108 000</w:t>
            </w:r>
          </w:p>
          <w:p>
            <w:pPr>
              <w:widowControl w:val="0"/>
              <w:shd w:val="clear" w:color="auto" w:fill="FFFFFF"/>
              <w:autoSpaceDE w:val="0"/>
              <w:autoSpaceDN w:val="0"/>
              <w:adjustRightInd w:val="0"/>
              <w:spacing w:before="230" w:after="0" w:line="269" w:lineRule="exact"/>
              <w:ind w:right="86"/>
              <w:jc w:val="right"/>
              <w:rPr>
                <w:noProof/>
              </w:rPr>
            </w:pPr>
            <w:r>
              <w:rPr>
                <w:noProof/>
              </w:rPr>
              <w:t>108 000</w:t>
            </w:r>
          </w:p>
        </w:tc>
        <w:tc>
          <w:tcPr>
            <w:tcW w:w="1701" w:type="dxa"/>
          </w:tcPr>
          <w:p>
            <w:pPr>
              <w:widowControl w:val="0"/>
              <w:shd w:val="clear" w:color="auto" w:fill="FFFFFF"/>
              <w:autoSpaceDE w:val="0"/>
              <w:autoSpaceDN w:val="0"/>
              <w:adjustRightInd w:val="0"/>
              <w:spacing w:before="230" w:after="0" w:line="269" w:lineRule="exact"/>
              <w:ind w:right="86"/>
              <w:jc w:val="right"/>
              <w:rPr>
                <w:noProof/>
              </w:rPr>
            </w:pPr>
            <w:r>
              <w:rPr>
                <w:noProof/>
              </w:rPr>
              <w:t>2002/166</w:t>
            </w:r>
          </w:p>
          <w:p>
            <w:pPr>
              <w:widowControl w:val="0"/>
              <w:shd w:val="clear" w:color="auto" w:fill="FFFFFF"/>
              <w:autoSpaceDE w:val="0"/>
              <w:autoSpaceDN w:val="0"/>
              <w:adjustRightInd w:val="0"/>
              <w:spacing w:before="230" w:after="0" w:line="269" w:lineRule="exact"/>
              <w:ind w:right="86"/>
              <w:jc w:val="right"/>
              <w:rPr>
                <w:noProof/>
              </w:rPr>
            </w:pPr>
            <w:r>
              <w:rPr>
                <w:noProof/>
              </w:rPr>
              <w:t>2007/659</w:t>
            </w:r>
          </w:p>
          <w:p>
            <w:pPr>
              <w:widowControl w:val="0"/>
              <w:shd w:val="clear" w:color="auto" w:fill="FFFFFF"/>
              <w:autoSpaceDE w:val="0"/>
              <w:autoSpaceDN w:val="0"/>
              <w:adjustRightInd w:val="0"/>
              <w:spacing w:before="230" w:after="0" w:line="269" w:lineRule="exact"/>
              <w:ind w:right="86"/>
              <w:jc w:val="right"/>
              <w:rPr>
                <w:noProof/>
              </w:rPr>
            </w:pPr>
            <w:r>
              <w:rPr>
                <w:noProof/>
              </w:rPr>
              <w:t>2011/896</w:t>
            </w:r>
          </w:p>
        </w:tc>
      </w:tr>
      <w:tr>
        <w:trPr>
          <w:trHeight w:val="158"/>
        </w:trPr>
        <w:tc>
          <w:tcPr>
            <w:tcW w:w="993" w:type="dxa"/>
          </w:tcPr>
          <w:p>
            <w:pPr>
              <w:widowControl w:val="0"/>
              <w:shd w:val="clear" w:color="auto" w:fill="FFFFFF"/>
              <w:autoSpaceDE w:val="0"/>
              <w:autoSpaceDN w:val="0"/>
              <w:adjustRightInd w:val="0"/>
              <w:spacing w:before="230" w:after="0" w:line="269" w:lineRule="exact"/>
              <w:ind w:right="86"/>
              <w:rPr>
                <w:noProof/>
              </w:rPr>
            </w:pPr>
            <w:r>
              <w:rPr>
                <w:noProof/>
              </w:rPr>
              <w:t>2008</w:t>
            </w:r>
          </w:p>
        </w:tc>
        <w:tc>
          <w:tcPr>
            <w:tcW w:w="1417" w:type="dxa"/>
          </w:tcPr>
          <w:p>
            <w:pPr>
              <w:widowControl w:val="0"/>
              <w:shd w:val="clear" w:color="auto" w:fill="FFFFFF"/>
              <w:autoSpaceDE w:val="0"/>
              <w:autoSpaceDN w:val="0"/>
              <w:adjustRightInd w:val="0"/>
              <w:spacing w:before="230" w:after="0" w:line="269" w:lineRule="exact"/>
              <w:ind w:right="86"/>
              <w:rPr>
                <w:noProof/>
              </w:rPr>
            </w:pPr>
            <w:r>
              <w:rPr>
                <w:noProof/>
              </w:rPr>
              <w:t>3,2 %</w:t>
            </w:r>
          </w:p>
        </w:tc>
        <w:tc>
          <w:tcPr>
            <w:tcW w:w="1559" w:type="dxa"/>
          </w:tcPr>
          <w:p>
            <w:pPr>
              <w:widowControl w:val="0"/>
              <w:shd w:val="clear" w:color="auto" w:fill="FFFFFF"/>
              <w:autoSpaceDE w:val="0"/>
              <w:autoSpaceDN w:val="0"/>
              <w:adjustRightInd w:val="0"/>
              <w:spacing w:before="230" w:after="0" w:line="269" w:lineRule="exact"/>
              <w:ind w:right="86"/>
              <w:rPr>
                <w:noProof/>
              </w:rPr>
            </w:pPr>
            <w:r>
              <w:rPr>
                <w:noProof/>
              </w:rPr>
              <w:t>108 722</w:t>
            </w:r>
          </w:p>
        </w:tc>
        <w:tc>
          <w:tcPr>
            <w:tcW w:w="1418" w:type="dxa"/>
          </w:tcPr>
          <w:p>
            <w:pPr>
              <w:widowControl w:val="0"/>
              <w:shd w:val="clear" w:color="auto" w:fill="FFFFFF"/>
              <w:autoSpaceDE w:val="0"/>
              <w:autoSpaceDN w:val="0"/>
              <w:adjustRightInd w:val="0"/>
              <w:spacing w:before="230" w:after="0" w:line="269" w:lineRule="exact"/>
              <w:ind w:right="86"/>
              <w:jc w:val="right"/>
              <w:rPr>
                <w:noProof/>
              </w:rPr>
            </w:pPr>
            <w:r>
              <w:rPr>
                <w:noProof/>
              </w:rPr>
              <w:t>90 000</w:t>
            </w:r>
          </w:p>
          <w:p>
            <w:pPr>
              <w:widowControl w:val="0"/>
              <w:shd w:val="clear" w:color="auto" w:fill="FFFFFF"/>
              <w:autoSpaceDE w:val="0"/>
              <w:autoSpaceDN w:val="0"/>
              <w:adjustRightInd w:val="0"/>
              <w:spacing w:before="230" w:after="0" w:line="269" w:lineRule="exact"/>
              <w:ind w:right="86"/>
              <w:jc w:val="right"/>
              <w:rPr>
                <w:noProof/>
              </w:rPr>
            </w:pPr>
            <w:r>
              <w:rPr>
                <w:noProof/>
              </w:rPr>
              <w:t>108 000</w:t>
            </w:r>
          </w:p>
          <w:p>
            <w:pPr>
              <w:widowControl w:val="0"/>
              <w:shd w:val="clear" w:color="auto" w:fill="FFFFFF"/>
              <w:autoSpaceDE w:val="0"/>
              <w:autoSpaceDN w:val="0"/>
              <w:adjustRightInd w:val="0"/>
              <w:spacing w:before="230" w:after="0" w:line="269" w:lineRule="exact"/>
              <w:ind w:right="86"/>
              <w:jc w:val="right"/>
              <w:rPr>
                <w:noProof/>
              </w:rPr>
            </w:pPr>
            <w:r>
              <w:rPr>
                <w:noProof/>
              </w:rPr>
              <w:t>108 000</w:t>
            </w:r>
          </w:p>
        </w:tc>
        <w:tc>
          <w:tcPr>
            <w:tcW w:w="1701" w:type="dxa"/>
          </w:tcPr>
          <w:p>
            <w:pPr>
              <w:widowControl w:val="0"/>
              <w:shd w:val="clear" w:color="auto" w:fill="FFFFFF"/>
              <w:autoSpaceDE w:val="0"/>
              <w:autoSpaceDN w:val="0"/>
              <w:adjustRightInd w:val="0"/>
              <w:spacing w:before="230" w:after="0" w:line="269" w:lineRule="exact"/>
              <w:ind w:right="86"/>
              <w:jc w:val="right"/>
              <w:rPr>
                <w:noProof/>
              </w:rPr>
            </w:pPr>
            <w:r>
              <w:rPr>
                <w:noProof/>
              </w:rPr>
              <w:t>2002/166</w:t>
            </w:r>
          </w:p>
          <w:p>
            <w:pPr>
              <w:widowControl w:val="0"/>
              <w:shd w:val="clear" w:color="auto" w:fill="FFFFFF"/>
              <w:autoSpaceDE w:val="0"/>
              <w:autoSpaceDN w:val="0"/>
              <w:adjustRightInd w:val="0"/>
              <w:spacing w:before="230" w:after="0" w:line="269" w:lineRule="exact"/>
              <w:ind w:right="86"/>
              <w:jc w:val="right"/>
              <w:rPr>
                <w:noProof/>
              </w:rPr>
            </w:pPr>
            <w:r>
              <w:rPr>
                <w:noProof/>
              </w:rPr>
              <w:t>2007/659</w:t>
            </w:r>
          </w:p>
          <w:p>
            <w:pPr>
              <w:widowControl w:val="0"/>
              <w:shd w:val="clear" w:color="auto" w:fill="FFFFFF"/>
              <w:autoSpaceDE w:val="0"/>
              <w:autoSpaceDN w:val="0"/>
              <w:adjustRightInd w:val="0"/>
              <w:spacing w:before="230" w:after="0" w:line="269" w:lineRule="exact"/>
              <w:ind w:right="86"/>
              <w:jc w:val="right"/>
              <w:rPr>
                <w:noProof/>
              </w:rPr>
            </w:pPr>
            <w:r>
              <w:rPr>
                <w:noProof/>
              </w:rPr>
              <w:t>2011/896</w:t>
            </w:r>
          </w:p>
        </w:tc>
      </w:tr>
      <w:tr>
        <w:trPr>
          <w:trHeight w:val="150"/>
        </w:trPr>
        <w:tc>
          <w:tcPr>
            <w:tcW w:w="993" w:type="dxa"/>
          </w:tcPr>
          <w:p>
            <w:pPr>
              <w:widowControl w:val="0"/>
              <w:shd w:val="clear" w:color="auto" w:fill="FFFFFF"/>
              <w:autoSpaceDE w:val="0"/>
              <w:autoSpaceDN w:val="0"/>
              <w:adjustRightInd w:val="0"/>
              <w:spacing w:before="230" w:after="0" w:line="269" w:lineRule="exact"/>
              <w:ind w:right="86"/>
              <w:rPr>
                <w:noProof/>
              </w:rPr>
            </w:pPr>
            <w:r>
              <w:rPr>
                <w:noProof/>
              </w:rPr>
              <w:t>2009</w:t>
            </w:r>
          </w:p>
        </w:tc>
        <w:tc>
          <w:tcPr>
            <w:tcW w:w="1417" w:type="dxa"/>
          </w:tcPr>
          <w:p>
            <w:pPr>
              <w:widowControl w:val="0"/>
              <w:shd w:val="clear" w:color="auto" w:fill="FFFFFF"/>
              <w:autoSpaceDE w:val="0"/>
              <w:autoSpaceDN w:val="0"/>
              <w:adjustRightInd w:val="0"/>
              <w:spacing w:before="230" w:after="0" w:line="269" w:lineRule="exact"/>
              <w:ind w:right="86"/>
              <w:rPr>
                <w:noProof/>
              </w:rPr>
            </w:pPr>
            <w:r>
              <w:rPr>
                <w:noProof/>
              </w:rPr>
              <w:t>3,2 %</w:t>
            </w:r>
          </w:p>
        </w:tc>
        <w:tc>
          <w:tcPr>
            <w:tcW w:w="1559" w:type="dxa"/>
          </w:tcPr>
          <w:p>
            <w:pPr>
              <w:widowControl w:val="0"/>
              <w:shd w:val="clear" w:color="auto" w:fill="FFFFFF"/>
              <w:autoSpaceDE w:val="0"/>
              <w:autoSpaceDN w:val="0"/>
              <w:adjustRightInd w:val="0"/>
              <w:spacing w:before="230" w:after="0" w:line="269" w:lineRule="exact"/>
              <w:ind w:right="86"/>
              <w:rPr>
                <w:noProof/>
              </w:rPr>
            </w:pPr>
            <w:r>
              <w:rPr>
                <w:noProof/>
              </w:rPr>
              <w:t>112 201</w:t>
            </w:r>
          </w:p>
        </w:tc>
        <w:tc>
          <w:tcPr>
            <w:tcW w:w="1418" w:type="dxa"/>
          </w:tcPr>
          <w:p>
            <w:pPr>
              <w:widowControl w:val="0"/>
              <w:shd w:val="clear" w:color="auto" w:fill="FFFFFF"/>
              <w:autoSpaceDE w:val="0"/>
              <w:autoSpaceDN w:val="0"/>
              <w:adjustRightInd w:val="0"/>
              <w:spacing w:before="230" w:after="0" w:line="269" w:lineRule="exact"/>
              <w:ind w:right="86"/>
              <w:jc w:val="right"/>
              <w:rPr>
                <w:noProof/>
              </w:rPr>
            </w:pPr>
            <w:r>
              <w:rPr>
                <w:noProof/>
              </w:rPr>
              <w:t>90 000</w:t>
            </w:r>
          </w:p>
          <w:p>
            <w:pPr>
              <w:widowControl w:val="0"/>
              <w:shd w:val="clear" w:color="auto" w:fill="FFFFFF"/>
              <w:autoSpaceDE w:val="0"/>
              <w:autoSpaceDN w:val="0"/>
              <w:adjustRightInd w:val="0"/>
              <w:spacing w:before="230" w:after="0" w:line="269" w:lineRule="exact"/>
              <w:ind w:right="86"/>
              <w:jc w:val="right"/>
              <w:rPr>
                <w:noProof/>
              </w:rPr>
            </w:pPr>
            <w:r>
              <w:rPr>
                <w:noProof/>
              </w:rPr>
              <w:t>108 000</w:t>
            </w:r>
          </w:p>
          <w:p>
            <w:pPr>
              <w:widowControl w:val="0"/>
              <w:shd w:val="clear" w:color="auto" w:fill="FFFFFF"/>
              <w:autoSpaceDE w:val="0"/>
              <w:autoSpaceDN w:val="0"/>
              <w:adjustRightInd w:val="0"/>
              <w:spacing w:before="230" w:after="0" w:line="269" w:lineRule="exact"/>
              <w:ind w:right="86"/>
              <w:jc w:val="right"/>
              <w:rPr>
                <w:noProof/>
              </w:rPr>
            </w:pPr>
            <w:r>
              <w:rPr>
                <w:noProof/>
              </w:rPr>
              <w:t>108 000</w:t>
            </w:r>
          </w:p>
        </w:tc>
        <w:tc>
          <w:tcPr>
            <w:tcW w:w="1701" w:type="dxa"/>
          </w:tcPr>
          <w:p>
            <w:pPr>
              <w:widowControl w:val="0"/>
              <w:shd w:val="clear" w:color="auto" w:fill="FFFFFF"/>
              <w:autoSpaceDE w:val="0"/>
              <w:autoSpaceDN w:val="0"/>
              <w:adjustRightInd w:val="0"/>
              <w:spacing w:before="230" w:after="0" w:line="269" w:lineRule="exact"/>
              <w:ind w:right="86"/>
              <w:jc w:val="right"/>
              <w:rPr>
                <w:noProof/>
              </w:rPr>
            </w:pPr>
            <w:r>
              <w:rPr>
                <w:noProof/>
              </w:rPr>
              <w:t>2002/166</w:t>
            </w:r>
          </w:p>
          <w:p>
            <w:pPr>
              <w:widowControl w:val="0"/>
              <w:shd w:val="clear" w:color="auto" w:fill="FFFFFF"/>
              <w:autoSpaceDE w:val="0"/>
              <w:autoSpaceDN w:val="0"/>
              <w:adjustRightInd w:val="0"/>
              <w:spacing w:before="230" w:after="0" w:line="269" w:lineRule="exact"/>
              <w:ind w:right="86"/>
              <w:jc w:val="right"/>
              <w:rPr>
                <w:noProof/>
              </w:rPr>
            </w:pPr>
            <w:r>
              <w:rPr>
                <w:noProof/>
              </w:rPr>
              <w:t>2007/659</w:t>
            </w:r>
          </w:p>
          <w:p>
            <w:pPr>
              <w:widowControl w:val="0"/>
              <w:shd w:val="clear" w:color="auto" w:fill="FFFFFF"/>
              <w:autoSpaceDE w:val="0"/>
              <w:autoSpaceDN w:val="0"/>
              <w:adjustRightInd w:val="0"/>
              <w:spacing w:before="230" w:after="0" w:line="269" w:lineRule="exact"/>
              <w:ind w:right="86"/>
              <w:jc w:val="right"/>
              <w:rPr>
                <w:noProof/>
              </w:rPr>
            </w:pPr>
            <w:r>
              <w:rPr>
                <w:noProof/>
              </w:rPr>
              <w:t>2011/896</w:t>
            </w:r>
          </w:p>
        </w:tc>
      </w:tr>
      <w:tr>
        <w:trPr>
          <w:trHeight w:val="158"/>
        </w:trPr>
        <w:tc>
          <w:tcPr>
            <w:tcW w:w="993" w:type="dxa"/>
          </w:tcPr>
          <w:p>
            <w:pPr>
              <w:widowControl w:val="0"/>
              <w:shd w:val="clear" w:color="auto" w:fill="FFFFFF"/>
              <w:autoSpaceDE w:val="0"/>
              <w:autoSpaceDN w:val="0"/>
              <w:adjustRightInd w:val="0"/>
              <w:spacing w:before="230" w:after="0" w:line="269" w:lineRule="exact"/>
              <w:ind w:right="86"/>
              <w:rPr>
                <w:noProof/>
              </w:rPr>
            </w:pPr>
            <w:r>
              <w:rPr>
                <w:noProof/>
              </w:rPr>
              <w:t>2010</w:t>
            </w:r>
          </w:p>
        </w:tc>
        <w:tc>
          <w:tcPr>
            <w:tcW w:w="1417" w:type="dxa"/>
          </w:tcPr>
          <w:p>
            <w:pPr>
              <w:widowControl w:val="0"/>
              <w:shd w:val="clear" w:color="auto" w:fill="FFFFFF"/>
              <w:autoSpaceDE w:val="0"/>
              <w:autoSpaceDN w:val="0"/>
              <w:adjustRightInd w:val="0"/>
              <w:spacing w:before="230" w:after="0" w:line="269" w:lineRule="exact"/>
              <w:ind w:right="86"/>
              <w:rPr>
                <w:noProof/>
              </w:rPr>
            </w:pPr>
            <w:r>
              <w:rPr>
                <w:noProof/>
              </w:rPr>
              <w:t>3,2 %</w:t>
            </w:r>
          </w:p>
        </w:tc>
        <w:tc>
          <w:tcPr>
            <w:tcW w:w="1559" w:type="dxa"/>
          </w:tcPr>
          <w:p>
            <w:pPr>
              <w:widowControl w:val="0"/>
              <w:shd w:val="clear" w:color="auto" w:fill="FFFFFF"/>
              <w:autoSpaceDE w:val="0"/>
              <w:autoSpaceDN w:val="0"/>
              <w:adjustRightInd w:val="0"/>
              <w:spacing w:before="230" w:after="0" w:line="269" w:lineRule="exact"/>
              <w:ind w:right="86"/>
              <w:rPr>
                <w:noProof/>
              </w:rPr>
            </w:pPr>
            <w:r>
              <w:rPr>
                <w:noProof/>
              </w:rPr>
              <w:t>117 025</w:t>
            </w:r>
          </w:p>
        </w:tc>
        <w:tc>
          <w:tcPr>
            <w:tcW w:w="1418" w:type="dxa"/>
          </w:tcPr>
          <w:p>
            <w:pPr>
              <w:widowControl w:val="0"/>
              <w:shd w:val="clear" w:color="auto" w:fill="FFFFFF"/>
              <w:autoSpaceDE w:val="0"/>
              <w:autoSpaceDN w:val="0"/>
              <w:adjustRightInd w:val="0"/>
              <w:spacing w:before="230" w:after="0" w:line="269" w:lineRule="exact"/>
              <w:ind w:right="86"/>
              <w:jc w:val="right"/>
              <w:rPr>
                <w:noProof/>
              </w:rPr>
            </w:pPr>
            <w:r>
              <w:rPr>
                <w:noProof/>
              </w:rPr>
              <w:t>108 000</w:t>
            </w:r>
          </w:p>
          <w:p>
            <w:pPr>
              <w:widowControl w:val="0"/>
              <w:shd w:val="clear" w:color="auto" w:fill="FFFFFF"/>
              <w:autoSpaceDE w:val="0"/>
              <w:autoSpaceDN w:val="0"/>
              <w:adjustRightInd w:val="0"/>
              <w:spacing w:before="230" w:after="0" w:line="269" w:lineRule="exact"/>
              <w:ind w:right="86"/>
              <w:jc w:val="right"/>
              <w:rPr>
                <w:noProof/>
              </w:rPr>
            </w:pPr>
            <w:r>
              <w:rPr>
                <w:noProof/>
              </w:rPr>
              <w:t>108 000</w:t>
            </w:r>
          </w:p>
        </w:tc>
        <w:tc>
          <w:tcPr>
            <w:tcW w:w="1701" w:type="dxa"/>
          </w:tcPr>
          <w:p>
            <w:pPr>
              <w:widowControl w:val="0"/>
              <w:shd w:val="clear" w:color="auto" w:fill="FFFFFF"/>
              <w:autoSpaceDE w:val="0"/>
              <w:autoSpaceDN w:val="0"/>
              <w:adjustRightInd w:val="0"/>
              <w:spacing w:before="230" w:after="0" w:line="269" w:lineRule="exact"/>
              <w:ind w:right="86"/>
              <w:jc w:val="right"/>
              <w:rPr>
                <w:noProof/>
              </w:rPr>
            </w:pPr>
            <w:r>
              <w:rPr>
                <w:noProof/>
              </w:rPr>
              <w:t>2007/659</w:t>
            </w:r>
          </w:p>
          <w:p>
            <w:pPr>
              <w:widowControl w:val="0"/>
              <w:shd w:val="clear" w:color="auto" w:fill="FFFFFF"/>
              <w:autoSpaceDE w:val="0"/>
              <w:autoSpaceDN w:val="0"/>
              <w:adjustRightInd w:val="0"/>
              <w:spacing w:before="230" w:after="0" w:line="269" w:lineRule="exact"/>
              <w:ind w:right="86"/>
              <w:jc w:val="right"/>
              <w:rPr>
                <w:noProof/>
              </w:rPr>
            </w:pPr>
            <w:r>
              <w:rPr>
                <w:noProof/>
              </w:rPr>
              <w:t>2011/896</w:t>
            </w:r>
          </w:p>
        </w:tc>
      </w:tr>
      <w:tr>
        <w:trPr>
          <w:trHeight w:val="158"/>
        </w:trPr>
        <w:tc>
          <w:tcPr>
            <w:tcW w:w="993" w:type="dxa"/>
          </w:tcPr>
          <w:p>
            <w:pPr>
              <w:widowControl w:val="0"/>
              <w:shd w:val="clear" w:color="auto" w:fill="FFFFFF"/>
              <w:autoSpaceDE w:val="0"/>
              <w:autoSpaceDN w:val="0"/>
              <w:adjustRightInd w:val="0"/>
              <w:spacing w:before="230" w:after="0" w:line="269" w:lineRule="exact"/>
              <w:ind w:right="86"/>
              <w:rPr>
                <w:noProof/>
              </w:rPr>
            </w:pPr>
            <w:r>
              <w:rPr>
                <w:noProof/>
              </w:rPr>
              <w:t>2011</w:t>
            </w:r>
          </w:p>
        </w:tc>
        <w:tc>
          <w:tcPr>
            <w:tcW w:w="1417" w:type="dxa"/>
          </w:tcPr>
          <w:p>
            <w:pPr>
              <w:widowControl w:val="0"/>
              <w:shd w:val="clear" w:color="auto" w:fill="FFFFFF"/>
              <w:autoSpaceDE w:val="0"/>
              <w:autoSpaceDN w:val="0"/>
              <w:adjustRightInd w:val="0"/>
              <w:spacing w:before="230" w:after="0" w:line="269" w:lineRule="exact"/>
              <w:ind w:right="86"/>
              <w:rPr>
                <w:noProof/>
              </w:rPr>
            </w:pPr>
            <w:r>
              <w:rPr>
                <w:noProof/>
              </w:rPr>
              <w:t>4,3 %</w:t>
            </w:r>
          </w:p>
        </w:tc>
        <w:tc>
          <w:tcPr>
            <w:tcW w:w="1559" w:type="dxa"/>
          </w:tcPr>
          <w:p>
            <w:pPr>
              <w:widowControl w:val="0"/>
              <w:shd w:val="clear" w:color="auto" w:fill="FFFFFF"/>
              <w:autoSpaceDE w:val="0"/>
              <w:autoSpaceDN w:val="0"/>
              <w:adjustRightInd w:val="0"/>
              <w:spacing w:before="230" w:after="0" w:line="269" w:lineRule="exact"/>
              <w:ind w:right="86"/>
              <w:rPr>
                <w:noProof/>
              </w:rPr>
            </w:pPr>
            <w:r>
              <w:rPr>
                <w:noProof/>
              </w:rPr>
              <w:t>122 057</w:t>
            </w:r>
          </w:p>
        </w:tc>
        <w:tc>
          <w:tcPr>
            <w:tcW w:w="1418" w:type="dxa"/>
          </w:tcPr>
          <w:p>
            <w:pPr>
              <w:widowControl w:val="0"/>
              <w:shd w:val="clear" w:color="auto" w:fill="FFFFFF"/>
              <w:autoSpaceDE w:val="0"/>
              <w:autoSpaceDN w:val="0"/>
              <w:adjustRightInd w:val="0"/>
              <w:spacing w:before="230" w:after="0" w:line="269" w:lineRule="exact"/>
              <w:ind w:right="86"/>
              <w:jc w:val="right"/>
              <w:rPr>
                <w:noProof/>
              </w:rPr>
            </w:pPr>
            <w:r>
              <w:rPr>
                <w:noProof/>
              </w:rPr>
              <w:t>108 000</w:t>
            </w:r>
          </w:p>
          <w:p>
            <w:pPr>
              <w:widowControl w:val="0"/>
              <w:shd w:val="clear" w:color="auto" w:fill="FFFFFF"/>
              <w:autoSpaceDE w:val="0"/>
              <w:autoSpaceDN w:val="0"/>
              <w:adjustRightInd w:val="0"/>
              <w:spacing w:before="230" w:after="0" w:line="269" w:lineRule="exact"/>
              <w:ind w:right="86"/>
              <w:jc w:val="right"/>
              <w:rPr>
                <w:noProof/>
              </w:rPr>
            </w:pPr>
            <w:r>
              <w:rPr>
                <w:noProof/>
              </w:rPr>
              <w:t>120 000</w:t>
            </w:r>
          </w:p>
        </w:tc>
        <w:tc>
          <w:tcPr>
            <w:tcW w:w="1701" w:type="dxa"/>
          </w:tcPr>
          <w:p>
            <w:pPr>
              <w:widowControl w:val="0"/>
              <w:shd w:val="clear" w:color="auto" w:fill="FFFFFF"/>
              <w:autoSpaceDE w:val="0"/>
              <w:autoSpaceDN w:val="0"/>
              <w:adjustRightInd w:val="0"/>
              <w:spacing w:before="230" w:after="0" w:line="269" w:lineRule="exact"/>
              <w:ind w:right="86"/>
              <w:jc w:val="right"/>
              <w:rPr>
                <w:noProof/>
              </w:rPr>
            </w:pPr>
            <w:r>
              <w:rPr>
                <w:noProof/>
              </w:rPr>
              <w:t>2007/659</w:t>
            </w:r>
          </w:p>
          <w:p>
            <w:pPr>
              <w:widowControl w:val="0"/>
              <w:shd w:val="clear" w:color="auto" w:fill="FFFFFF"/>
              <w:autoSpaceDE w:val="0"/>
              <w:autoSpaceDN w:val="0"/>
              <w:adjustRightInd w:val="0"/>
              <w:spacing w:before="230" w:after="0" w:line="269" w:lineRule="exact"/>
              <w:ind w:right="86"/>
              <w:jc w:val="right"/>
              <w:rPr>
                <w:noProof/>
              </w:rPr>
            </w:pPr>
            <w:r>
              <w:rPr>
                <w:noProof/>
              </w:rPr>
              <w:t>2011/896</w:t>
            </w:r>
          </w:p>
        </w:tc>
      </w:tr>
      <w:tr>
        <w:trPr>
          <w:trHeight w:val="150"/>
        </w:trPr>
        <w:tc>
          <w:tcPr>
            <w:tcW w:w="993" w:type="dxa"/>
          </w:tcPr>
          <w:p>
            <w:pPr>
              <w:widowControl w:val="0"/>
              <w:shd w:val="clear" w:color="auto" w:fill="FFFFFF"/>
              <w:autoSpaceDE w:val="0"/>
              <w:autoSpaceDN w:val="0"/>
              <w:adjustRightInd w:val="0"/>
              <w:spacing w:before="230" w:after="0" w:line="269" w:lineRule="exact"/>
              <w:ind w:right="86"/>
              <w:rPr>
                <w:noProof/>
              </w:rPr>
            </w:pPr>
            <w:r>
              <w:rPr>
                <w:noProof/>
              </w:rPr>
              <w:t>2012</w:t>
            </w:r>
          </w:p>
        </w:tc>
        <w:tc>
          <w:tcPr>
            <w:tcW w:w="1417" w:type="dxa"/>
          </w:tcPr>
          <w:p>
            <w:pPr>
              <w:widowControl w:val="0"/>
              <w:shd w:val="clear" w:color="auto" w:fill="FFFFFF"/>
              <w:autoSpaceDE w:val="0"/>
              <w:autoSpaceDN w:val="0"/>
              <w:adjustRightInd w:val="0"/>
              <w:spacing w:before="230" w:after="0" w:line="269" w:lineRule="exact"/>
              <w:ind w:right="86"/>
              <w:rPr>
                <w:noProof/>
              </w:rPr>
            </w:pPr>
            <w:r>
              <w:rPr>
                <w:noProof/>
              </w:rPr>
              <w:t>4,3 %</w:t>
            </w:r>
          </w:p>
        </w:tc>
        <w:tc>
          <w:tcPr>
            <w:tcW w:w="1559" w:type="dxa"/>
          </w:tcPr>
          <w:p>
            <w:pPr>
              <w:widowControl w:val="0"/>
              <w:shd w:val="clear" w:color="auto" w:fill="FFFFFF"/>
              <w:autoSpaceDE w:val="0"/>
              <w:autoSpaceDN w:val="0"/>
              <w:adjustRightInd w:val="0"/>
              <w:spacing w:before="230" w:after="0" w:line="269" w:lineRule="exact"/>
              <w:ind w:right="86"/>
              <w:rPr>
                <w:noProof/>
              </w:rPr>
            </w:pPr>
            <w:r>
              <w:rPr>
                <w:noProof/>
              </w:rPr>
              <w:t>127 306</w:t>
            </w:r>
          </w:p>
        </w:tc>
        <w:tc>
          <w:tcPr>
            <w:tcW w:w="1418" w:type="dxa"/>
          </w:tcPr>
          <w:p>
            <w:pPr>
              <w:widowControl w:val="0"/>
              <w:shd w:val="clear" w:color="auto" w:fill="FFFFFF"/>
              <w:autoSpaceDE w:val="0"/>
              <w:autoSpaceDN w:val="0"/>
              <w:adjustRightInd w:val="0"/>
              <w:spacing w:before="230" w:after="0" w:line="269" w:lineRule="exact"/>
              <w:ind w:right="86"/>
              <w:jc w:val="right"/>
              <w:rPr>
                <w:noProof/>
              </w:rPr>
            </w:pPr>
            <w:r>
              <w:rPr>
                <w:noProof/>
              </w:rPr>
              <w:t>108 000</w:t>
            </w:r>
          </w:p>
          <w:p>
            <w:pPr>
              <w:widowControl w:val="0"/>
              <w:shd w:val="clear" w:color="auto" w:fill="FFFFFF"/>
              <w:autoSpaceDE w:val="0"/>
              <w:autoSpaceDN w:val="0"/>
              <w:adjustRightInd w:val="0"/>
              <w:spacing w:before="230" w:after="0" w:line="269" w:lineRule="exact"/>
              <w:ind w:right="86"/>
              <w:jc w:val="right"/>
              <w:rPr>
                <w:noProof/>
              </w:rPr>
            </w:pPr>
            <w:r>
              <w:rPr>
                <w:noProof/>
              </w:rPr>
              <w:t>120 000</w:t>
            </w:r>
          </w:p>
          <w:p>
            <w:pPr>
              <w:widowControl w:val="0"/>
              <w:shd w:val="clear" w:color="auto" w:fill="FFFFFF"/>
              <w:autoSpaceDE w:val="0"/>
              <w:autoSpaceDN w:val="0"/>
              <w:adjustRightInd w:val="0"/>
              <w:spacing w:before="230" w:after="0" w:line="269" w:lineRule="exact"/>
              <w:ind w:right="86"/>
              <w:jc w:val="right"/>
              <w:rPr>
                <w:noProof/>
              </w:rPr>
            </w:pPr>
            <w:r>
              <w:rPr>
                <w:noProof/>
              </w:rPr>
              <w:t>120 000</w:t>
            </w:r>
          </w:p>
        </w:tc>
        <w:tc>
          <w:tcPr>
            <w:tcW w:w="1701" w:type="dxa"/>
          </w:tcPr>
          <w:p>
            <w:pPr>
              <w:widowControl w:val="0"/>
              <w:shd w:val="clear" w:color="auto" w:fill="FFFFFF"/>
              <w:autoSpaceDE w:val="0"/>
              <w:autoSpaceDN w:val="0"/>
              <w:adjustRightInd w:val="0"/>
              <w:spacing w:before="230" w:after="0" w:line="269" w:lineRule="exact"/>
              <w:ind w:right="86"/>
              <w:jc w:val="right"/>
              <w:rPr>
                <w:noProof/>
              </w:rPr>
            </w:pPr>
            <w:r>
              <w:rPr>
                <w:noProof/>
              </w:rPr>
              <w:t>2007/659</w:t>
            </w:r>
          </w:p>
          <w:p>
            <w:pPr>
              <w:widowControl w:val="0"/>
              <w:shd w:val="clear" w:color="auto" w:fill="FFFFFF"/>
              <w:autoSpaceDE w:val="0"/>
              <w:autoSpaceDN w:val="0"/>
              <w:adjustRightInd w:val="0"/>
              <w:spacing w:before="230" w:after="0" w:line="269" w:lineRule="exact"/>
              <w:ind w:right="86"/>
              <w:jc w:val="right"/>
              <w:rPr>
                <w:noProof/>
              </w:rPr>
            </w:pPr>
            <w:r>
              <w:rPr>
                <w:noProof/>
              </w:rPr>
              <w:t>2011/896</w:t>
            </w:r>
          </w:p>
          <w:p>
            <w:pPr>
              <w:widowControl w:val="0"/>
              <w:shd w:val="clear" w:color="auto" w:fill="FFFFFF"/>
              <w:autoSpaceDE w:val="0"/>
              <w:autoSpaceDN w:val="0"/>
              <w:adjustRightInd w:val="0"/>
              <w:spacing w:before="230" w:after="0" w:line="269" w:lineRule="exact"/>
              <w:ind w:right="86"/>
              <w:jc w:val="right"/>
              <w:rPr>
                <w:noProof/>
              </w:rPr>
            </w:pPr>
            <w:r>
              <w:rPr>
                <w:noProof/>
              </w:rPr>
              <w:t>189/2014</w:t>
            </w:r>
          </w:p>
        </w:tc>
      </w:tr>
      <w:tr>
        <w:trPr>
          <w:trHeight w:val="158"/>
        </w:trPr>
        <w:tc>
          <w:tcPr>
            <w:tcW w:w="993" w:type="dxa"/>
          </w:tcPr>
          <w:p>
            <w:pPr>
              <w:widowControl w:val="0"/>
              <w:shd w:val="clear" w:color="auto" w:fill="FFFFFF"/>
              <w:autoSpaceDE w:val="0"/>
              <w:autoSpaceDN w:val="0"/>
              <w:adjustRightInd w:val="0"/>
              <w:spacing w:before="230" w:after="0" w:line="269" w:lineRule="exact"/>
              <w:ind w:right="86"/>
              <w:rPr>
                <w:noProof/>
              </w:rPr>
            </w:pPr>
            <w:r>
              <w:rPr>
                <w:noProof/>
              </w:rPr>
              <w:t>2013</w:t>
            </w:r>
          </w:p>
        </w:tc>
        <w:tc>
          <w:tcPr>
            <w:tcW w:w="1417" w:type="dxa"/>
          </w:tcPr>
          <w:p>
            <w:pPr>
              <w:widowControl w:val="0"/>
              <w:shd w:val="clear" w:color="auto" w:fill="FFFFFF"/>
              <w:autoSpaceDE w:val="0"/>
              <w:autoSpaceDN w:val="0"/>
              <w:adjustRightInd w:val="0"/>
              <w:spacing w:before="230" w:after="0" w:line="269" w:lineRule="exact"/>
              <w:ind w:right="86"/>
              <w:rPr>
                <w:noProof/>
              </w:rPr>
            </w:pPr>
            <w:r>
              <w:rPr>
                <w:noProof/>
              </w:rPr>
              <w:t>4,3 %</w:t>
            </w:r>
          </w:p>
        </w:tc>
        <w:tc>
          <w:tcPr>
            <w:tcW w:w="1559" w:type="dxa"/>
          </w:tcPr>
          <w:p>
            <w:pPr>
              <w:widowControl w:val="0"/>
              <w:shd w:val="clear" w:color="auto" w:fill="FFFFFF"/>
              <w:autoSpaceDE w:val="0"/>
              <w:autoSpaceDN w:val="0"/>
              <w:adjustRightInd w:val="0"/>
              <w:spacing w:before="230" w:after="0" w:line="269" w:lineRule="exact"/>
              <w:ind w:right="86"/>
              <w:rPr>
                <w:noProof/>
              </w:rPr>
            </w:pPr>
            <w:r>
              <w:rPr>
                <w:noProof/>
              </w:rPr>
              <w:t>131 379</w:t>
            </w:r>
          </w:p>
        </w:tc>
        <w:tc>
          <w:tcPr>
            <w:tcW w:w="1418" w:type="dxa"/>
          </w:tcPr>
          <w:p>
            <w:pPr>
              <w:widowControl w:val="0"/>
              <w:shd w:val="clear" w:color="auto" w:fill="FFFFFF"/>
              <w:autoSpaceDE w:val="0"/>
              <w:autoSpaceDN w:val="0"/>
              <w:adjustRightInd w:val="0"/>
              <w:spacing w:before="230" w:after="0" w:line="269" w:lineRule="exact"/>
              <w:ind w:right="86"/>
              <w:jc w:val="right"/>
              <w:rPr>
                <w:noProof/>
              </w:rPr>
            </w:pPr>
            <w:r>
              <w:rPr>
                <w:noProof/>
              </w:rPr>
              <w:t>120 000</w:t>
            </w:r>
          </w:p>
          <w:p>
            <w:pPr>
              <w:widowControl w:val="0"/>
              <w:shd w:val="clear" w:color="auto" w:fill="FFFFFF"/>
              <w:autoSpaceDE w:val="0"/>
              <w:autoSpaceDN w:val="0"/>
              <w:adjustRightInd w:val="0"/>
              <w:spacing w:before="230" w:after="0" w:line="269" w:lineRule="exact"/>
              <w:ind w:right="86"/>
              <w:jc w:val="right"/>
              <w:rPr>
                <w:noProof/>
              </w:rPr>
            </w:pPr>
            <w:r>
              <w:rPr>
                <w:noProof/>
              </w:rPr>
              <w:t>120 000</w:t>
            </w:r>
          </w:p>
        </w:tc>
        <w:tc>
          <w:tcPr>
            <w:tcW w:w="1701" w:type="dxa"/>
          </w:tcPr>
          <w:p>
            <w:pPr>
              <w:widowControl w:val="0"/>
              <w:shd w:val="clear" w:color="auto" w:fill="FFFFFF"/>
              <w:autoSpaceDE w:val="0"/>
              <w:autoSpaceDN w:val="0"/>
              <w:adjustRightInd w:val="0"/>
              <w:spacing w:before="230" w:after="0" w:line="269" w:lineRule="exact"/>
              <w:ind w:right="86"/>
              <w:jc w:val="right"/>
              <w:rPr>
                <w:noProof/>
              </w:rPr>
            </w:pPr>
            <w:r>
              <w:rPr>
                <w:noProof/>
              </w:rPr>
              <w:t>2011/896</w:t>
            </w:r>
          </w:p>
          <w:p>
            <w:pPr>
              <w:widowControl w:val="0"/>
              <w:shd w:val="clear" w:color="auto" w:fill="FFFFFF"/>
              <w:autoSpaceDE w:val="0"/>
              <w:autoSpaceDN w:val="0"/>
              <w:adjustRightInd w:val="0"/>
              <w:spacing w:before="230" w:after="0" w:line="269" w:lineRule="exact"/>
              <w:ind w:right="86"/>
              <w:jc w:val="right"/>
              <w:rPr>
                <w:noProof/>
              </w:rPr>
            </w:pPr>
            <w:r>
              <w:rPr>
                <w:noProof/>
              </w:rPr>
              <w:t>189/2014</w:t>
            </w:r>
          </w:p>
        </w:tc>
      </w:tr>
      <w:tr>
        <w:trPr>
          <w:trHeight w:val="150"/>
        </w:trPr>
        <w:tc>
          <w:tcPr>
            <w:tcW w:w="993" w:type="dxa"/>
          </w:tcPr>
          <w:p>
            <w:pPr>
              <w:widowControl w:val="0"/>
              <w:shd w:val="clear" w:color="auto" w:fill="FFFFFF"/>
              <w:autoSpaceDE w:val="0"/>
              <w:autoSpaceDN w:val="0"/>
              <w:adjustRightInd w:val="0"/>
              <w:spacing w:before="230" w:after="0" w:line="269" w:lineRule="exact"/>
              <w:ind w:right="86"/>
              <w:rPr>
                <w:noProof/>
              </w:rPr>
            </w:pPr>
            <w:r>
              <w:rPr>
                <w:noProof/>
              </w:rPr>
              <w:t>2014</w:t>
            </w:r>
          </w:p>
        </w:tc>
        <w:tc>
          <w:tcPr>
            <w:tcW w:w="1417" w:type="dxa"/>
          </w:tcPr>
          <w:p>
            <w:pPr>
              <w:widowControl w:val="0"/>
              <w:shd w:val="clear" w:color="auto" w:fill="FFFFFF"/>
              <w:autoSpaceDE w:val="0"/>
              <w:autoSpaceDN w:val="0"/>
              <w:adjustRightInd w:val="0"/>
              <w:spacing w:before="230" w:after="0" w:line="269" w:lineRule="exact"/>
              <w:ind w:right="86"/>
              <w:rPr>
                <w:noProof/>
              </w:rPr>
            </w:pPr>
            <w:r>
              <w:rPr>
                <w:noProof/>
              </w:rPr>
              <w:t>3,2 %</w:t>
            </w:r>
          </w:p>
        </w:tc>
        <w:tc>
          <w:tcPr>
            <w:tcW w:w="1559" w:type="dxa"/>
          </w:tcPr>
          <w:p>
            <w:pPr>
              <w:widowControl w:val="0"/>
              <w:shd w:val="clear" w:color="auto" w:fill="FFFFFF"/>
              <w:autoSpaceDE w:val="0"/>
              <w:autoSpaceDN w:val="0"/>
              <w:adjustRightInd w:val="0"/>
              <w:spacing w:before="230" w:after="0" w:line="269" w:lineRule="exact"/>
              <w:ind w:right="86"/>
              <w:rPr>
                <w:noProof/>
              </w:rPr>
            </w:pPr>
            <w:r>
              <w:rPr>
                <w:noProof/>
              </w:rPr>
              <w:t>135 583</w:t>
            </w:r>
          </w:p>
        </w:tc>
        <w:tc>
          <w:tcPr>
            <w:tcW w:w="1418" w:type="dxa"/>
          </w:tcPr>
          <w:p>
            <w:pPr>
              <w:widowControl w:val="0"/>
              <w:shd w:val="clear" w:color="auto" w:fill="FFFFFF"/>
              <w:autoSpaceDE w:val="0"/>
              <w:autoSpaceDN w:val="0"/>
              <w:adjustRightInd w:val="0"/>
              <w:spacing w:before="230" w:after="0" w:line="269" w:lineRule="exact"/>
              <w:ind w:right="86"/>
              <w:jc w:val="right"/>
              <w:rPr>
                <w:noProof/>
              </w:rPr>
            </w:pPr>
            <w:r>
              <w:rPr>
                <w:noProof/>
              </w:rPr>
              <w:t>120 000</w:t>
            </w:r>
          </w:p>
        </w:tc>
        <w:tc>
          <w:tcPr>
            <w:tcW w:w="1701" w:type="dxa"/>
          </w:tcPr>
          <w:p>
            <w:pPr>
              <w:widowControl w:val="0"/>
              <w:shd w:val="clear" w:color="auto" w:fill="FFFFFF"/>
              <w:autoSpaceDE w:val="0"/>
              <w:autoSpaceDN w:val="0"/>
              <w:adjustRightInd w:val="0"/>
              <w:spacing w:before="230" w:after="0" w:line="269" w:lineRule="exact"/>
              <w:ind w:right="86"/>
              <w:jc w:val="right"/>
              <w:rPr>
                <w:noProof/>
              </w:rPr>
            </w:pPr>
            <w:r>
              <w:rPr>
                <w:noProof/>
              </w:rPr>
              <w:t>189/2014</w:t>
            </w:r>
          </w:p>
        </w:tc>
      </w:tr>
      <w:tr>
        <w:trPr>
          <w:trHeight w:val="158"/>
        </w:trPr>
        <w:tc>
          <w:tcPr>
            <w:tcW w:w="993" w:type="dxa"/>
          </w:tcPr>
          <w:p>
            <w:pPr>
              <w:widowControl w:val="0"/>
              <w:shd w:val="clear" w:color="auto" w:fill="FFFFFF"/>
              <w:autoSpaceDE w:val="0"/>
              <w:autoSpaceDN w:val="0"/>
              <w:adjustRightInd w:val="0"/>
              <w:spacing w:before="230" w:after="0" w:line="269" w:lineRule="exact"/>
              <w:ind w:right="86"/>
              <w:rPr>
                <w:noProof/>
              </w:rPr>
            </w:pPr>
            <w:r>
              <w:rPr>
                <w:noProof/>
              </w:rPr>
              <w:t>2015</w:t>
            </w:r>
          </w:p>
        </w:tc>
        <w:tc>
          <w:tcPr>
            <w:tcW w:w="1417" w:type="dxa"/>
          </w:tcPr>
          <w:p>
            <w:pPr>
              <w:widowControl w:val="0"/>
              <w:shd w:val="clear" w:color="auto" w:fill="FFFFFF"/>
              <w:autoSpaceDE w:val="0"/>
              <w:autoSpaceDN w:val="0"/>
              <w:adjustRightInd w:val="0"/>
              <w:spacing w:before="230" w:after="0" w:line="269" w:lineRule="exact"/>
              <w:ind w:right="86"/>
              <w:rPr>
                <w:noProof/>
              </w:rPr>
            </w:pPr>
            <w:r>
              <w:rPr>
                <w:noProof/>
              </w:rPr>
              <w:t>3,2 %</w:t>
            </w:r>
          </w:p>
        </w:tc>
        <w:tc>
          <w:tcPr>
            <w:tcW w:w="1559" w:type="dxa"/>
          </w:tcPr>
          <w:p>
            <w:pPr>
              <w:widowControl w:val="0"/>
              <w:shd w:val="clear" w:color="auto" w:fill="FFFFFF"/>
              <w:autoSpaceDE w:val="0"/>
              <w:autoSpaceDN w:val="0"/>
              <w:adjustRightInd w:val="0"/>
              <w:spacing w:before="230" w:after="0" w:line="269" w:lineRule="exact"/>
              <w:ind w:right="86"/>
              <w:rPr>
                <w:noProof/>
              </w:rPr>
            </w:pPr>
            <w:r>
              <w:rPr>
                <w:noProof/>
              </w:rPr>
              <w:t>139 922</w:t>
            </w:r>
          </w:p>
        </w:tc>
        <w:tc>
          <w:tcPr>
            <w:tcW w:w="1418" w:type="dxa"/>
          </w:tcPr>
          <w:p>
            <w:pPr>
              <w:widowControl w:val="0"/>
              <w:shd w:val="clear" w:color="auto" w:fill="FFFFFF"/>
              <w:autoSpaceDE w:val="0"/>
              <w:autoSpaceDN w:val="0"/>
              <w:adjustRightInd w:val="0"/>
              <w:spacing w:before="230" w:after="0" w:line="269" w:lineRule="exact"/>
              <w:ind w:right="86"/>
              <w:jc w:val="right"/>
              <w:rPr>
                <w:noProof/>
              </w:rPr>
            </w:pPr>
            <w:r>
              <w:rPr>
                <w:noProof/>
              </w:rPr>
              <w:t>120 000</w:t>
            </w:r>
          </w:p>
        </w:tc>
        <w:tc>
          <w:tcPr>
            <w:tcW w:w="1701" w:type="dxa"/>
          </w:tcPr>
          <w:p>
            <w:pPr>
              <w:widowControl w:val="0"/>
              <w:shd w:val="clear" w:color="auto" w:fill="FFFFFF"/>
              <w:autoSpaceDE w:val="0"/>
              <w:autoSpaceDN w:val="0"/>
              <w:adjustRightInd w:val="0"/>
              <w:spacing w:before="230" w:after="0" w:line="269" w:lineRule="exact"/>
              <w:ind w:right="86"/>
              <w:jc w:val="right"/>
              <w:rPr>
                <w:noProof/>
              </w:rPr>
            </w:pPr>
            <w:r>
              <w:rPr>
                <w:noProof/>
              </w:rPr>
              <w:t>189/2014</w:t>
            </w:r>
          </w:p>
        </w:tc>
      </w:tr>
      <w:tr>
        <w:trPr>
          <w:trHeight w:val="150"/>
        </w:trPr>
        <w:tc>
          <w:tcPr>
            <w:tcW w:w="993" w:type="dxa"/>
          </w:tcPr>
          <w:p>
            <w:pPr>
              <w:widowControl w:val="0"/>
              <w:shd w:val="clear" w:color="auto" w:fill="FFFFFF"/>
              <w:autoSpaceDE w:val="0"/>
              <w:autoSpaceDN w:val="0"/>
              <w:adjustRightInd w:val="0"/>
              <w:spacing w:before="230" w:after="0" w:line="269" w:lineRule="exact"/>
              <w:ind w:right="86"/>
              <w:rPr>
                <w:noProof/>
              </w:rPr>
            </w:pPr>
            <w:r>
              <w:rPr>
                <w:noProof/>
              </w:rPr>
              <w:t>2016</w:t>
            </w:r>
          </w:p>
        </w:tc>
        <w:tc>
          <w:tcPr>
            <w:tcW w:w="1417" w:type="dxa"/>
          </w:tcPr>
          <w:p>
            <w:pPr>
              <w:widowControl w:val="0"/>
              <w:shd w:val="clear" w:color="auto" w:fill="FFFFFF"/>
              <w:autoSpaceDE w:val="0"/>
              <w:autoSpaceDN w:val="0"/>
              <w:adjustRightInd w:val="0"/>
              <w:spacing w:before="230" w:after="0" w:line="269" w:lineRule="exact"/>
              <w:ind w:right="86"/>
              <w:rPr>
                <w:noProof/>
              </w:rPr>
            </w:pPr>
            <w:r>
              <w:rPr>
                <w:noProof/>
              </w:rPr>
              <w:t>3,2 %</w:t>
            </w:r>
          </w:p>
        </w:tc>
        <w:tc>
          <w:tcPr>
            <w:tcW w:w="1559" w:type="dxa"/>
          </w:tcPr>
          <w:p>
            <w:pPr>
              <w:widowControl w:val="0"/>
              <w:shd w:val="clear" w:color="auto" w:fill="FFFFFF"/>
              <w:autoSpaceDE w:val="0"/>
              <w:autoSpaceDN w:val="0"/>
              <w:adjustRightInd w:val="0"/>
              <w:spacing w:before="230" w:after="0" w:line="269" w:lineRule="exact"/>
              <w:ind w:right="86"/>
              <w:rPr>
                <w:b/>
                <w:noProof/>
              </w:rPr>
            </w:pPr>
            <w:r>
              <w:rPr>
                <w:b/>
                <w:noProof/>
              </w:rPr>
              <w:t>144 400</w:t>
            </w:r>
          </w:p>
        </w:tc>
        <w:tc>
          <w:tcPr>
            <w:tcW w:w="1418" w:type="dxa"/>
          </w:tcPr>
          <w:p>
            <w:pPr>
              <w:widowControl w:val="0"/>
              <w:shd w:val="clear" w:color="auto" w:fill="FFFFFF"/>
              <w:autoSpaceDE w:val="0"/>
              <w:autoSpaceDN w:val="0"/>
              <w:adjustRightInd w:val="0"/>
              <w:spacing w:before="230" w:after="0" w:line="269" w:lineRule="exact"/>
              <w:ind w:right="86"/>
              <w:jc w:val="right"/>
              <w:rPr>
                <w:noProof/>
              </w:rPr>
            </w:pPr>
            <w:r>
              <w:rPr>
                <w:noProof/>
              </w:rPr>
              <w:t>120 000</w:t>
            </w:r>
          </w:p>
        </w:tc>
        <w:tc>
          <w:tcPr>
            <w:tcW w:w="1701" w:type="dxa"/>
          </w:tcPr>
          <w:p>
            <w:pPr>
              <w:widowControl w:val="0"/>
              <w:shd w:val="clear" w:color="auto" w:fill="FFFFFF"/>
              <w:autoSpaceDE w:val="0"/>
              <w:autoSpaceDN w:val="0"/>
              <w:adjustRightInd w:val="0"/>
              <w:spacing w:before="230" w:after="0" w:line="269" w:lineRule="exact"/>
              <w:ind w:right="86"/>
              <w:jc w:val="right"/>
              <w:rPr>
                <w:noProof/>
              </w:rPr>
            </w:pPr>
            <w:r>
              <w:rPr>
                <w:noProof/>
              </w:rPr>
              <w:t>189/2014</w:t>
            </w:r>
          </w:p>
        </w:tc>
      </w:tr>
      <w:tr>
        <w:trPr>
          <w:trHeight w:val="158"/>
        </w:trPr>
        <w:tc>
          <w:tcPr>
            <w:tcW w:w="993" w:type="dxa"/>
          </w:tcPr>
          <w:p>
            <w:pPr>
              <w:widowControl w:val="0"/>
              <w:shd w:val="clear" w:color="auto" w:fill="FFFFFF"/>
              <w:autoSpaceDE w:val="0"/>
              <w:autoSpaceDN w:val="0"/>
              <w:adjustRightInd w:val="0"/>
              <w:spacing w:before="230" w:after="0" w:line="269" w:lineRule="exact"/>
              <w:ind w:right="86"/>
              <w:rPr>
                <w:noProof/>
              </w:rPr>
            </w:pPr>
            <w:r>
              <w:rPr>
                <w:noProof/>
              </w:rPr>
              <w:t>2017</w:t>
            </w:r>
          </w:p>
        </w:tc>
        <w:tc>
          <w:tcPr>
            <w:tcW w:w="1417" w:type="dxa"/>
          </w:tcPr>
          <w:p>
            <w:pPr>
              <w:widowControl w:val="0"/>
              <w:shd w:val="clear" w:color="auto" w:fill="FFFFFF"/>
              <w:autoSpaceDE w:val="0"/>
              <w:autoSpaceDN w:val="0"/>
              <w:adjustRightInd w:val="0"/>
              <w:spacing w:before="230" w:after="0" w:line="269" w:lineRule="exact"/>
              <w:ind w:right="86"/>
              <w:rPr>
                <w:noProof/>
              </w:rPr>
            </w:pPr>
            <w:r>
              <w:rPr>
                <w:noProof/>
              </w:rPr>
              <w:t>3,2 %</w:t>
            </w:r>
          </w:p>
        </w:tc>
        <w:tc>
          <w:tcPr>
            <w:tcW w:w="1559" w:type="dxa"/>
          </w:tcPr>
          <w:p>
            <w:pPr>
              <w:widowControl w:val="0"/>
              <w:shd w:val="clear" w:color="auto" w:fill="FFFFFF"/>
              <w:autoSpaceDE w:val="0"/>
              <w:autoSpaceDN w:val="0"/>
              <w:adjustRightInd w:val="0"/>
              <w:spacing w:before="230" w:after="0" w:line="269" w:lineRule="exact"/>
              <w:ind w:right="86"/>
              <w:rPr>
                <w:noProof/>
              </w:rPr>
            </w:pPr>
            <w:r>
              <w:rPr>
                <w:noProof/>
              </w:rPr>
              <w:t>149 020</w:t>
            </w:r>
          </w:p>
        </w:tc>
        <w:tc>
          <w:tcPr>
            <w:tcW w:w="1418" w:type="dxa"/>
          </w:tcPr>
          <w:p>
            <w:pPr>
              <w:widowControl w:val="0"/>
              <w:shd w:val="clear" w:color="auto" w:fill="FFFFFF"/>
              <w:autoSpaceDE w:val="0"/>
              <w:autoSpaceDN w:val="0"/>
              <w:adjustRightInd w:val="0"/>
              <w:spacing w:before="230" w:after="0" w:line="269" w:lineRule="exact"/>
              <w:ind w:right="86"/>
              <w:jc w:val="right"/>
              <w:rPr>
                <w:noProof/>
              </w:rPr>
            </w:pPr>
            <w:r>
              <w:rPr>
                <w:noProof/>
              </w:rPr>
              <w:t>120 000</w:t>
            </w:r>
          </w:p>
        </w:tc>
        <w:tc>
          <w:tcPr>
            <w:tcW w:w="1701" w:type="dxa"/>
          </w:tcPr>
          <w:p>
            <w:pPr>
              <w:widowControl w:val="0"/>
              <w:shd w:val="clear" w:color="auto" w:fill="FFFFFF"/>
              <w:autoSpaceDE w:val="0"/>
              <w:autoSpaceDN w:val="0"/>
              <w:adjustRightInd w:val="0"/>
              <w:spacing w:before="230" w:after="0" w:line="269" w:lineRule="exact"/>
              <w:ind w:right="86"/>
              <w:jc w:val="right"/>
              <w:rPr>
                <w:noProof/>
              </w:rPr>
            </w:pPr>
            <w:r>
              <w:rPr>
                <w:noProof/>
              </w:rPr>
              <w:t>189/2014</w:t>
            </w:r>
          </w:p>
        </w:tc>
      </w:tr>
      <w:tr>
        <w:trPr>
          <w:trHeight w:val="158"/>
        </w:trPr>
        <w:tc>
          <w:tcPr>
            <w:tcW w:w="993" w:type="dxa"/>
          </w:tcPr>
          <w:p>
            <w:pPr>
              <w:widowControl w:val="0"/>
              <w:shd w:val="clear" w:color="auto" w:fill="FFFFFF"/>
              <w:autoSpaceDE w:val="0"/>
              <w:autoSpaceDN w:val="0"/>
              <w:adjustRightInd w:val="0"/>
              <w:spacing w:before="230" w:after="0" w:line="269" w:lineRule="exact"/>
              <w:ind w:right="86"/>
              <w:rPr>
                <w:noProof/>
              </w:rPr>
            </w:pPr>
            <w:r>
              <w:rPr>
                <w:noProof/>
              </w:rPr>
              <w:t>2018</w:t>
            </w:r>
          </w:p>
        </w:tc>
        <w:tc>
          <w:tcPr>
            <w:tcW w:w="1417" w:type="dxa"/>
          </w:tcPr>
          <w:p>
            <w:pPr>
              <w:widowControl w:val="0"/>
              <w:shd w:val="clear" w:color="auto" w:fill="FFFFFF"/>
              <w:autoSpaceDE w:val="0"/>
              <w:autoSpaceDN w:val="0"/>
              <w:adjustRightInd w:val="0"/>
              <w:spacing w:before="230" w:after="0" w:line="269" w:lineRule="exact"/>
              <w:ind w:right="86"/>
              <w:rPr>
                <w:noProof/>
              </w:rPr>
            </w:pPr>
            <w:r>
              <w:rPr>
                <w:noProof/>
              </w:rPr>
              <w:t>3,2 %</w:t>
            </w:r>
          </w:p>
        </w:tc>
        <w:tc>
          <w:tcPr>
            <w:tcW w:w="1559" w:type="dxa"/>
          </w:tcPr>
          <w:p>
            <w:pPr>
              <w:widowControl w:val="0"/>
              <w:shd w:val="clear" w:color="auto" w:fill="FFFFFF"/>
              <w:autoSpaceDE w:val="0"/>
              <w:autoSpaceDN w:val="0"/>
              <w:adjustRightInd w:val="0"/>
              <w:spacing w:before="230" w:after="0" w:line="269" w:lineRule="exact"/>
              <w:ind w:right="86"/>
              <w:rPr>
                <w:noProof/>
              </w:rPr>
            </w:pPr>
            <w:r>
              <w:rPr>
                <w:noProof/>
              </w:rPr>
              <w:t>153 789</w:t>
            </w:r>
          </w:p>
        </w:tc>
        <w:tc>
          <w:tcPr>
            <w:tcW w:w="1418" w:type="dxa"/>
          </w:tcPr>
          <w:p>
            <w:pPr>
              <w:widowControl w:val="0"/>
              <w:shd w:val="clear" w:color="auto" w:fill="FFFFFF"/>
              <w:autoSpaceDE w:val="0"/>
              <w:autoSpaceDN w:val="0"/>
              <w:adjustRightInd w:val="0"/>
              <w:spacing w:before="230" w:after="0" w:line="269" w:lineRule="exact"/>
              <w:ind w:right="86"/>
              <w:jc w:val="right"/>
              <w:rPr>
                <w:noProof/>
              </w:rPr>
            </w:pPr>
            <w:r>
              <w:rPr>
                <w:noProof/>
              </w:rPr>
              <w:t>120 000</w:t>
            </w:r>
          </w:p>
        </w:tc>
        <w:tc>
          <w:tcPr>
            <w:tcW w:w="1701" w:type="dxa"/>
          </w:tcPr>
          <w:p>
            <w:pPr>
              <w:widowControl w:val="0"/>
              <w:shd w:val="clear" w:color="auto" w:fill="FFFFFF"/>
              <w:autoSpaceDE w:val="0"/>
              <w:autoSpaceDN w:val="0"/>
              <w:adjustRightInd w:val="0"/>
              <w:spacing w:before="230" w:after="0" w:line="269" w:lineRule="exact"/>
              <w:ind w:right="86"/>
              <w:jc w:val="right"/>
              <w:rPr>
                <w:noProof/>
              </w:rPr>
            </w:pPr>
            <w:r>
              <w:rPr>
                <w:noProof/>
              </w:rPr>
              <w:t>189/2014</w:t>
            </w:r>
          </w:p>
        </w:tc>
      </w:tr>
      <w:tr>
        <w:trPr>
          <w:trHeight w:val="150"/>
        </w:trPr>
        <w:tc>
          <w:tcPr>
            <w:tcW w:w="993" w:type="dxa"/>
          </w:tcPr>
          <w:p>
            <w:pPr>
              <w:widowControl w:val="0"/>
              <w:shd w:val="clear" w:color="auto" w:fill="FFFFFF"/>
              <w:autoSpaceDE w:val="0"/>
              <w:autoSpaceDN w:val="0"/>
              <w:adjustRightInd w:val="0"/>
              <w:spacing w:before="230" w:after="0" w:line="269" w:lineRule="exact"/>
              <w:ind w:right="86"/>
              <w:rPr>
                <w:noProof/>
              </w:rPr>
            </w:pPr>
            <w:r>
              <w:rPr>
                <w:noProof/>
              </w:rPr>
              <w:t>2019</w:t>
            </w:r>
          </w:p>
        </w:tc>
        <w:tc>
          <w:tcPr>
            <w:tcW w:w="1417" w:type="dxa"/>
          </w:tcPr>
          <w:p>
            <w:pPr>
              <w:widowControl w:val="0"/>
              <w:shd w:val="clear" w:color="auto" w:fill="FFFFFF"/>
              <w:autoSpaceDE w:val="0"/>
              <w:autoSpaceDN w:val="0"/>
              <w:adjustRightInd w:val="0"/>
              <w:spacing w:before="230" w:after="0" w:line="269" w:lineRule="exact"/>
              <w:ind w:right="86"/>
              <w:rPr>
                <w:noProof/>
              </w:rPr>
            </w:pPr>
            <w:r>
              <w:rPr>
                <w:noProof/>
              </w:rPr>
              <w:t>3,2 %</w:t>
            </w:r>
          </w:p>
        </w:tc>
        <w:tc>
          <w:tcPr>
            <w:tcW w:w="1559" w:type="dxa"/>
          </w:tcPr>
          <w:p>
            <w:pPr>
              <w:widowControl w:val="0"/>
              <w:shd w:val="clear" w:color="auto" w:fill="FFFFFF"/>
              <w:autoSpaceDE w:val="0"/>
              <w:autoSpaceDN w:val="0"/>
              <w:adjustRightInd w:val="0"/>
              <w:spacing w:before="230" w:after="0" w:line="269" w:lineRule="exact"/>
              <w:ind w:right="86"/>
              <w:rPr>
                <w:noProof/>
              </w:rPr>
            </w:pPr>
            <w:r>
              <w:rPr>
                <w:noProof/>
              </w:rPr>
              <w:t>158 710</w:t>
            </w:r>
          </w:p>
        </w:tc>
        <w:tc>
          <w:tcPr>
            <w:tcW w:w="1418" w:type="dxa"/>
          </w:tcPr>
          <w:p>
            <w:pPr>
              <w:widowControl w:val="0"/>
              <w:shd w:val="clear" w:color="auto" w:fill="FFFFFF"/>
              <w:autoSpaceDE w:val="0"/>
              <w:autoSpaceDN w:val="0"/>
              <w:adjustRightInd w:val="0"/>
              <w:spacing w:before="230" w:after="0" w:line="269" w:lineRule="exact"/>
              <w:ind w:right="86"/>
              <w:jc w:val="right"/>
              <w:rPr>
                <w:noProof/>
              </w:rPr>
            </w:pPr>
            <w:r>
              <w:rPr>
                <w:noProof/>
              </w:rPr>
              <w:t>120 000</w:t>
            </w:r>
          </w:p>
        </w:tc>
        <w:tc>
          <w:tcPr>
            <w:tcW w:w="1701" w:type="dxa"/>
          </w:tcPr>
          <w:p>
            <w:pPr>
              <w:widowControl w:val="0"/>
              <w:shd w:val="clear" w:color="auto" w:fill="FFFFFF"/>
              <w:autoSpaceDE w:val="0"/>
              <w:autoSpaceDN w:val="0"/>
              <w:adjustRightInd w:val="0"/>
              <w:spacing w:before="230" w:after="0" w:line="269" w:lineRule="exact"/>
              <w:ind w:right="86"/>
              <w:jc w:val="right"/>
              <w:rPr>
                <w:noProof/>
              </w:rPr>
            </w:pPr>
            <w:r>
              <w:rPr>
                <w:noProof/>
              </w:rPr>
              <w:t>189/2014</w:t>
            </w:r>
          </w:p>
        </w:tc>
      </w:tr>
      <w:tr>
        <w:trPr>
          <w:trHeight w:val="158"/>
        </w:trPr>
        <w:tc>
          <w:tcPr>
            <w:tcW w:w="993" w:type="dxa"/>
          </w:tcPr>
          <w:p>
            <w:pPr>
              <w:widowControl w:val="0"/>
              <w:shd w:val="clear" w:color="auto" w:fill="FFFFFF"/>
              <w:autoSpaceDE w:val="0"/>
              <w:autoSpaceDN w:val="0"/>
              <w:adjustRightInd w:val="0"/>
              <w:spacing w:before="230" w:after="0" w:line="269" w:lineRule="exact"/>
              <w:ind w:right="86"/>
              <w:rPr>
                <w:noProof/>
              </w:rPr>
            </w:pPr>
            <w:r>
              <w:rPr>
                <w:noProof/>
              </w:rPr>
              <w:t>2020</w:t>
            </w:r>
          </w:p>
        </w:tc>
        <w:tc>
          <w:tcPr>
            <w:tcW w:w="1417" w:type="dxa"/>
          </w:tcPr>
          <w:p>
            <w:pPr>
              <w:widowControl w:val="0"/>
              <w:shd w:val="clear" w:color="auto" w:fill="FFFFFF"/>
              <w:autoSpaceDE w:val="0"/>
              <w:autoSpaceDN w:val="0"/>
              <w:adjustRightInd w:val="0"/>
              <w:spacing w:before="230" w:after="0" w:line="269" w:lineRule="exact"/>
              <w:ind w:right="86"/>
              <w:rPr>
                <w:noProof/>
              </w:rPr>
            </w:pPr>
            <w:r>
              <w:rPr>
                <w:noProof/>
              </w:rPr>
              <w:t>3,2 %</w:t>
            </w:r>
          </w:p>
        </w:tc>
        <w:tc>
          <w:tcPr>
            <w:tcW w:w="1559" w:type="dxa"/>
          </w:tcPr>
          <w:p>
            <w:pPr>
              <w:widowControl w:val="0"/>
              <w:shd w:val="clear" w:color="auto" w:fill="FFFFFF"/>
              <w:autoSpaceDE w:val="0"/>
              <w:autoSpaceDN w:val="0"/>
              <w:adjustRightInd w:val="0"/>
              <w:spacing w:before="230" w:after="0" w:line="269" w:lineRule="exact"/>
              <w:ind w:right="86"/>
              <w:rPr>
                <w:noProof/>
              </w:rPr>
            </w:pPr>
            <w:r>
              <w:rPr>
                <w:noProof/>
              </w:rPr>
              <w:t>163 789</w:t>
            </w:r>
          </w:p>
        </w:tc>
        <w:tc>
          <w:tcPr>
            <w:tcW w:w="1418" w:type="dxa"/>
          </w:tcPr>
          <w:p>
            <w:pPr>
              <w:widowControl w:val="0"/>
              <w:shd w:val="clear" w:color="auto" w:fill="FFFFFF"/>
              <w:autoSpaceDE w:val="0"/>
              <w:autoSpaceDN w:val="0"/>
              <w:adjustRightInd w:val="0"/>
              <w:spacing w:before="230" w:after="0" w:line="269" w:lineRule="exact"/>
              <w:ind w:right="86"/>
              <w:jc w:val="right"/>
              <w:rPr>
                <w:noProof/>
              </w:rPr>
            </w:pPr>
            <w:r>
              <w:rPr>
                <w:noProof/>
              </w:rPr>
              <w:t>120 000</w:t>
            </w:r>
          </w:p>
        </w:tc>
        <w:tc>
          <w:tcPr>
            <w:tcW w:w="1701" w:type="dxa"/>
          </w:tcPr>
          <w:p>
            <w:pPr>
              <w:widowControl w:val="0"/>
              <w:shd w:val="clear" w:color="auto" w:fill="FFFFFF"/>
              <w:autoSpaceDE w:val="0"/>
              <w:autoSpaceDN w:val="0"/>
              <w:adjustRightInd w:val="0"/>
              <w:spacing w:before="230" w:after="0" w:line="269" w:lineRule="exact"/>
              <w:ind w:right="86"/>
              <w:jc w:val="right"/>
              <w:rPr>
                <w:noProof/>
              </w:rPr>
            </w:pPr>
            <w:r>
              <w:rPr>
                <w:noProof/>
              </w:rPr>
              <w:t>189/2014</w:t>
            </w:r>
          </w:p>
        </w:tc>
      </w:tr>
    </w:tbl>
    <w:p>
      <w:pPr>
        <w:widowControl w:val="0"/>
        <w:shd w:val="clear" w:color="auto" w:fill="FFFFFF"/>
        <w:autoSpaceDE w:val="0"/>
        <w:autoSpaceDN w:val="0"/>
        <w:adjustRightInd w:val="0"/>
        <w:spacing w:before="230" w:after="0" w:line="269" w:lineRule="exact"/>
        <w:ind w:right="86"/>
        <w:rPr>
          <w:noProof/>
        </w:rPr>
      </w:pPr>
      <w:r>
        <w:rPr>
          <w:noProof/>
        </w:rPr>
        <w:t>Det har ført til, at producenterne af traditionel rom ikke har haft tilstrækkelig adgang til markedet i Frankrigs europæiske område. Med de forventede vækstrater havde det været muligt med et kontingent på 144 400 hl ren alkohol indtil udgangen af 2016, mens kontingentet var begrænset til 120 000 hl ren alkohol Derfor er forhøjelsen med tilbagevirkende kraft af kontingentet for 2016 til 144 000 hl ren alkohol en efterfølgende afhjælpning, der har til formål at tilpasse kontingentet til de vækstrater, som Rådet allerede havde anslået.</w:t>
      </w:r>
    </w:p>
    <w:p>
      <w:pPr>
        <w:widowControl w:val="0"/>
        <w:shd w:val="clear" w:color="auto" w:fill="FFFFFF"/>
        <w:autoSpaceDE w:val="0"/>
        <w:autoSpaceDN w:val="0"/>
        <w:adjustRightInd w:val="0"/>
        <w:spacing w:before="230" w:after="0" w:line="269" w:lineRule="exact"/>
        <w:ind w:right="86"/>
        <w:rPr>
          <w:noProof/>
        </w:rPr>
      </w:pPr>
      <w:r>
        <w:rPr>
          <w:noProof/>
        </w:rPr>
        <w:t>At det haster med forhøjelsen er tydeligt: kontingentet på 120 000 hl ren alkohol for 2016 blev allerede opbrugt før udgangen af 2016, og uden en forhøjelse med tilbagevirkende kraft af dette kontingent med virkning fra den 1. januar 2016 vil producenterne påføres omfattende tab, som sandsynligvis er uoprettelige. Forretningsforbindelserne mellem romproducenterne og de store detailforretninger i Frankrig er baseret på årlige kontrakter, hvori der indgås forpligtelser med hensyn til leverede mængder, købspris og eventuelle rabatter og tilbud. Overskridelsen af kontingentet indebærer en efterfølgende forhøjelse af afgiften for de mængder, hvormed kontingentet overskrides, samtidig med at producenterne ved årets start, når kontrakterne indgås, ikke kan forudse, om kontingentet bliver overskredet og i givet fald med hvilken mængde. Eftersom købsprisen blev fastsat ved årets start på grundlag af den reducerede afgiftssats, er den forhøjelse af afgiftssatsen, der følger af overskridelsen af kontingentet før årets udgang, en risiko, som romproducenterne påføres. Denne risiko blev til virkelighed i 2016. Hvis kontingentet ikke forhøjes med tilbagevirkende kraft, påføres romproducenterne omfattende tab for de mængder, der overstiger kontingentet.</w:t>
      </w:r>
    </w:p>
    <w:p>
      <w:pPr>
        <w:widowControl w:val="0"/>
        <w:shd w:val="clear" w:color="auto" w:fill="FFFFFF"/>
        <w:autoSpaceDE w:val="0"/>
        <w:autoSpaceDN w:val="0"/>
        <w:adjustRightInd w:val="0"/>
        <w:spacing w:before="230" w:after="0" w:line="269" w:lineRule="exact"/>
        <w:ind w:right="86"/>
        <w:rPr>
          <w:noProof/>
        </w:rPr>
      </w:pPr>
      <w:r>
        <w:rPr>
          <w:noProof/>
        </w:rPr>
        <w:t>Hertil kommer, at hvis kontingentet ikke forhøjes, vil det svække forretningsstrategierne for romproducenterne i de franske regioner i den yderste periferi for 2017, eftersom de, hvis de ikke har mulighed for at planlægge efter, hvornår kontingentet for 2017 udløber, vil blive nødt til at afstå fra at udbyde deres rom i tilbudsmånederne ved årets udgang.</w:t>
      </w:r>
    </w:p>
    <w:p>
      <w:pPr>
        <w:widowControl w:val="0"/>
        <w:shd w:val="clear" w:color="auto" w:fill="FFFFFF"/>
        <w:autoSpaceDE w:val="0"/>
        <w:autoSpaceDN w:val="0"/>
        <w:adjustRightInd w:val="0"/>
        <w:spacing w:before="230" w:after="0" w:line="269" w:lineRule="exact"/>
        <w:ind w:right="86"/>
        <w:rPr>
          <w:noProof/>
        </w:rPr>
      </w:pPr>
      <w:r>
        <w:rPr>
          <w:noProof/>
        </w:rPr>
        <w:t xml:space="preserve">At det haster med forhøjelsen forstærkes af den økonomiske kontekst: eksporten til Den Europæiske Union af traditionel rom fra Guadeloupe, Fransk Guyana, Martinique eller Réunion er gået tilbage. Fra 2005 til 2011 steg eksporten til Den Europæiske Union af sstraditionel rom fra disse regioner fra 155 559 hl ren alkohol i 2005 til 205 482 hl ren alkohol i 2011. Fra 2012 var der et kraftigt fald i eksporten: til 189 928 hl ren alkohol i 2012 efterfulgt af en mindre stigning i 2013 (190 382 hl ren alkohol), en nedgang i 2014 (179 755 hl ren alkohol) efterfulgt af en mindre stigning i 2015 (180 482 hl ren alkohol). </w:t>
      </w:r>
    </w:p>
    <w:p>
      <w:pPr>
        <w:widowControl w:val="0"/>
        <w:shd w:val="clear" w:color="auto" w:fill="FFFFFF"/>
        <w:autoSpaceDE w:val="0"/>
        <w:autoSpaceDN w:val="0"/>
        <w:adjustRightInd w:val="0"/>
        <w:spacing w:before="230" w:after="0" w:line="269" w:lineRule="exact"/>
        <w:ind w:right="86"/>
        <w:rPr>
          <w:noProof/>
        </w:rPr>
      </w:pPr>
      <w:r>
        <w:rPr>
          <w:noProof/>
        </w:rPr>
        <w:t xml:space="preserve">Denne markante nedgang kan i vid udstrækning henføres til det kraftige fald i eksporten til Den Europæiske Union af traditionel rom fra Réunion, som blandt disse regioner i den yderste periferi er den største producent af traditionel rom. Mellem 2005 og 2011 steg eksporten af traditionel rom fra Réunion fra 60 092 hl ren alkohol i 2005 til 87 314 hl ren alkohol i 2011. Fra 2012 faldt denne eksport kraftigt til 69 491 hl ren alkohol i 2012, efterfulgt af en mindre stigning i 2013 (74 702 hl ren alkohol) og derefter til 63 240 hl ren alkohol i 2014 og 58 890 hl ren alkohol i 2015. </w:t>
      </w:r>
    </w:p>
    <w:p>
      <w:pPr>
        <w:widowControl w:val="0"/>
        <w:shd w:val="clear" w:color="auto" w:fill="FFFFFF"/>
        <w:autoSpaceDE w:val="0"/>
        <w:autoSpaceDN w:val="0"/>
        <w:adjustRightInd w:val="0"/>
        <w:spacing w:before="230" w:after="0" w:line="269" w:lineRule="exact"/>
        <w:ind w:right="86"/>
        <w:rPr>
          <w:noProof/>
        </w:rPr>
      </w:pPr>
      <w:r>
        <w:rPr>
          <w:noProof/>
        </w:rPr>
        <w:t>Faldet i sendingerne af traditionel rom fra regionerne i den yderste periferi til det europæiske kontinent kan i stor udstrækning henføres til tabet af markedsandele for "let" rom i Tyskland til fordel for producenter fra tredjelande. I 2008 udgjorde salget til Tyskland af let rom fra nævnte regioner i den yderste periferi 46 065 hl ren alkohol. I 2014 udgjorde salget 22 885 hl ren alkohol og i 2015 17 091 hl ren alkohol.</w:t>
      </w:r>
    </w:p>
    <w:p>
      <w:pPr>
        <w:widowControl w:val="0"/>
        <w:shd w:val="clear" w:color="auto" w:fill="FFFFFF"/>
        <w:autoSpaceDE w:val="0"/>
        <w:autoSpaceDN w:val="0"/>
        <w:adjustRightInd w:val="0"/>
        <w:spacing w:before="230" w:after="0" w:line="269" w:lineRule="exact"/>
        <w:ind w:right="86"/>
        <w:rPr>
          <w:noProof/>
        </w:rPr>
      </w:pPr>
      <w:r>
        <w:rPr>
          <w:noProof/>
        </w:rPr>
        <w:t xml:space="preserve">På nuværende tidspunkt kan det ikke udelukkes, at misforholdet mellem de kontingenter, der svarer til den vækstrate, der blev anslået af Kommissionen og Rådet, og de kontingenter, der reelt er givet bemyndigelse til, havde en indvirkning på denne udvikling. Der vil blive gennemført en analyse inden for rammerne af den kommende revision af afgørelse nr. 189/2014/EU. </w:t>
      </w:r>
    </w:p>
    <w:p>
      <w:pPr>
        <w:widowControl w:val="0"/>
        <w:shd w:val="clear" w:color="auto" w:fill="FFFFFF"/>
        <w:autoSpaceDE w:val="0"/>
        <w:autoSpaceDN w:val="0"/>
        <w:adjustRightInd w:val="0"/>
        <w:spacing w:before="230" w:after="0" w:line="269" w:lineRule="exact"/>
        <w:ind w:right="86"/>
        <w:rPr>
          <w:noProof/>
        </w:rPr>
      </w:pPr>
      <w:r>
        <w:rPr>
          <w:noProof/>
        </w:rPr>
        <w:t>Det skal også bemærkes, at i Frankrig er forbruget af rom fra tredjelande, herunder rom fra AVS-landene (Afrika, Vestindien og Stillehavet), meget større end forbruget af rom fra Guadeloupe, Fransk Guyana, Martinique og Réunion. Således var det samlede forbrug i Frankrig af rom med oprindelse i tredjelande på 20 733 hl ren alkohol i 2013, hvorefter det steg til 22 679 hl ren alkohol i 2014 og til 26 147 hl ren alkohol i 2015. Mængden af traditionel rom fra nævnte regioner i den yderste periferi, som overgik til forbrug i Frankrig, er i denne periode steget mindre: til 115 438 hl ren alkohol i 2013, 119 066 hl ren alkohol i 2014 og 120 000 hl ren alkohol i 2015.</w:t>
      </w:r>
    </w:p>
    <w:p>
      <w:pPr>
        <w:widowControl w:val="0"/>
        <w:shd w:val="clear" w:color="auto" w:fill="FFFFFF"/>
        <w:autoSpaceDE w:val="0"/>
        <w:autoSpaceDN w:val="0"/>
        <w:adjustRightInd w:val="0"/>
        <w:spacing w:before="230" w:after="0" w:line="269" w:lineRule="exact"/>
        <w:ind w:right="86"/>
        <w:rPr>
          <w:noProof/>
        </w:rPr>
      </w:pPr>
      <w:r>
        <w:rPr>
          <w:noProof/>
        </w:rPr>
        <w:t xml:space="preserve">I en uafhængig økonomisk analyse, der blev gennemført af Kommissionens tjenestegrene og afsluttet i juli 2016, konkluderedes det, at importen i Frankrig af traditionel rom med oprindelse i Guadeloupe, Fransk Guyana, Martinique og Réunion kun tegnede sig for en mindre del af det samlede forbrug af alkohol i Frankrig (mellem 1 og 2 %), og det er derfor ikke sandsynligt, at anvendelsen af en reduceret afgift for rom vil føre til konkurrenceforvridninger på markedet for rom i Frankrig. Under disse omstændigheder er det endnu mindre sandsynligt, at den pågældende import vil have en effekt på det indre markeds funktion.  </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Forslagets begrundelse og formål</w:t>
      </w:r>
    </w:p>
    <w:p>
      <w:pPr>
        <w:pBdr>
          <w:top w:val="nil"/>
          <w:left w:val="nil"/>
          <w:bottom w:val="nil"/>
          <w:right w:val="nil"/>
          <w:between w:val="nil"/>
          <w:bar w:val="nil"/>
        </w:pBdr>
        <w:spacing w:before="0" w:after="240"/>
        <w:rPr>
          <w:rFonts w:eastAsia="Arial Unicode MS"/>
          <w:noProof/>
        </w:rPr>
      </w:pPr>
      <w:r>
        <w:rPr>
          <w:noProof/>
        </w:rPr>
        <w:t>Den 22. september 2016 anmodede de franske myndigheder Kommissionen om at udarbejde et udkast til teknisk tilpasning af Rådets afgørelse nr. 189/2014/EU af 20. februar 2014, hvorved det årlige kontingent forhøjes fra 120 000 hl ren alkohol til 144 000 hl ren alkohol. Anmodningen var ledsaget af en rapport med en udførlig redegørelse for den foreliggende tilpasning.</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Sammenhæng med de gældende regler på samme område</w:t>
      </w:r>
    </w:p>
    <w:p>
      <w:pPr>
        <w:pBdr>
          <w:top w:val="nil"/>
          <w:left w:val="nil"/>
          <w:bottom w:val="nil"/>
          <w:right w:val="nil"/>
          <w:between w:val="nil"/>
          <w:bar w:val="nil"/>
        </w:pBdr>
        <w:spacing w:before="0" w:after="240"/>
        <w:rPr>
          <w:noProof/>
        </w:rPr>
      </w:pPr>
      <w:r>
        <w:rPr>
          <w:noProof/>
        </w:rPr>
        <w:t>Dette initiativ er i overensstemmelse med de prioriteter, der er fastlagt i de politiske retningslinjer, som er fastlagt i artikel 349 i Lissabontraktaten. I samme artikel anerkendes det, at den strukturelle sociale og økonomiske situation for regionerne i den yderste periferi, som Guadeloupe, Fransk Guyana, Martinique og Réunion tilhører, forværres af deres fjerne beliggenhed, deres status som øsamfund, deres lille areal, deres vanskelige topografiske og klimatiske forhold, deres økonomiske afhængighed af nogle få produkter, forhold, som er vedvarende og kumulative, og som alvorligt hæmmer disse regioner i deres udvikling. Derfor fastsættes det i artikel 349, at Rådet på forslag af Kommissionen og efter høring af Europa-Parlamentet vedtager særlige foranstaltninger, der navnlig tager sigte på at fastsætte betingelserne for anvendelsen af traktaterne i de pågældende regioner, herunder fælles politikker. Formålet med forhøjelsen af kontingentet er at skabe og opretholde arbejdspladser, økonomisk vækst og investeringer i sektoren for sukkerrør og rom. Med denne forhøjelse udvides det indre marked og dermed gives større markedsadgang for de erhvervsdrivende, der er etableret i nævnte regioner i den yderste periferi, samtidig med at kompenseres for ulemper som følge af deres geografiske og økonomiske situation.</w:t>
      </w:r>
    </w:p>
    <w:p>
      <w:pPr>
        <w:pBdr>
          <w:top w:val="nil"/>
          <w:left w:val="nil"/>
          <w:bottom w:val="nil"/>
          <w:right w:val="nil"/>
          <w:between w:val="nil"/>
          <w:bar w:val="nil"/>
        </w:pBdr>
        <w:spacing w:before="0" w:after="240"/>
        <w:rPr>
          <w:rFonts w:eastAsia="Arial Unicode MS"/>
          <w:noProof/>
        </w:rPr>
      </w:pPr>
      <w:r>
        <w:rPr>
          <w:noProof/>
        </w:rPr>
        <w:t>Ud over tilpasningen af kontingentet bør Kommissionen med henblik på den fremtidige behandling af kontingenter og deres berettigelse basere sig på de analyser, der fremlægges af Frankrig senest den 31. juli 2017 i forbindelse med den midtvejsrevision, der henvises til i afgørelse nr. 189/2014/EU af 20. februar 2014.</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 xml:space="preserve">Sammenhæng med Unionens politik på andre områder </w:t>
      </w:r>
    </w:p>
    <w:p>
      <w:pPr>
        <w:pBdr>
          <w:top w:val="nil"/>
          <w:left w:val="nil"/>
          <w:bottom w:val="nil"/>
          <w:right w:val="nil"/>
          <w:between w:val="nil"/>
          <w:bar w:val="nil"/>
        </w:pBdr>
        <w:spacing w:before="0" w:after="240"/>
        <w:rPr>
          <w:rFonts w:eastAsia="Arial Unicode MS"/>
          <w:noProof/>
        </w:rPr>
      </w:pPr>
      <w:r>
        <w:rPr>
          <w:noProof/>
        </w:rPr>
        <w:t>I medfør af artikel 349, stk. 3, i traktaten om Den Europæiske Unions funktionsmåde (Lissabontraktaten) vedtager Rådet sine foranstaltninger under hensyn til de særlige karakteristika og begrænsninger i forbindelse med regionerne i den yderste periferi uden at underminere EU-rettens, herunder det indre markeds og de fælles politikkers, integritet og sammenhæng. Afgørelse nr. 189/2014/EU og de parametre, der ligger til grund herfor, anses for at være på linje med Unionens øvrige politikker. Forhøjelsen af kontingentet er en tilpasning med tilbagevirkende kraft og af mindre omfang, hvorved kontingentet forhøjes til et niveau, der svarer til de årlige vækstrater, som Rådet allerede havde anslået. De øvrige faktorer i afgørelse nr. 189/2014/EU forbliver uændrede. Under disse omstændigheder kan forhøjelsen af det årlige kontingent fra 120 000 hl ren alkohol til 144 000 hl ren alkohol ikke få indvirkning på sammenhængen mellem afgørelse nr. 189/2014/EU og Unionens øvrige politikker.</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pBdr>
          <w:top w:val="nil"/>
          <w:left w:val="nil"/>
          <w:bottom w:val="nil"/>
          <w:right w:val="nil"/>
          <w:between w:val="nil"/>
          <w:bar w:val="nil"/>
        </w:pBdr>
        <w:spacing w:before="0" w:after="240"/>
        <w:rPr>
          <w:noProof/>
        </w:rPr>
      </w:pPr>
      <w:r>
        <w:rPr>
          <w:noProof/>
        </w:rPr>
        <w:t>Artikel 349 i Lissabontraktaten – Traktaten om den Europæiske Unions funktionsmåde (TEUF)</w:t>
      </w:r>
    </w:p>
    <w:p>
      <w:pPr>
        <w:pStyle w:val="ManualHeading2"/>
        <w:rPr>
          <w:rFonts w:eastAsia="Arial Unicode MS"/>
          <w:noProof/>
          <w:u w:color="000000"/>
          <w:bdr w:val="nil"/>
        </w:rPr>
      </w:pPr>
      <w:r>
        <w:rPr>
          <w:noProof/>
        </w:rPr>
        <w:t xml:space="preserve"> •</w:t>
      </w:r>
      <w:r>
        <w:rPr>
          <w:noProof/>
        </w:rPr>
        <w:tab/>
        <w:t>Nærhedsprincippet (for områder, der ikke er omfattet af enekompetence)</w:t>
      </w:r>
    </w:p>
    <w:p>
      <w:pPr>
        <w:pBdr>
          <w:top w:val="nil"/>
          <w:left w:val="nil"/>
          <w:bottom w:val="nil"/>
          <w:right w:val="nil"/>
          <w:between w:val="nil"/>
          <w:bar w:val="nil"/>
        </w:pBdr>
        <w:spacing w:before="0" w:after="240"/>
        <w:rPr>
          <w:noProof/>
        </w:rPr>
      </w:pPr>
      <w:r>
        <w:rPr>
          <w:noProof/>
        </w:rPr>
        <w:t>Rådet har enekompetence til på grundlag af artikel 349 i TEUF at vedtage særlige foranstaltninger henblik på at tilpasse anvendelsen af traktaterne, herunder de fælles politikker, i regionerne i den yderste periferi på grund af de vedvarende ugunstige vilkår, der påvirker disse regioners sociale og økonomiske situation.</w:t>
      </w:r>
    </w:p>
    <w:p>
      <w:pPr>
        <w:pBdr>
          <w:top w:val="nil"/>
          <w:left w:val="nil"/>
          <w:bottom w:val="nil"/>
          <w:right w:val="nil"/>
          <w:between w:val="nil"/>
          <w:bar w:val="nil"/>
        </w:pBdr>
        <w:spacing w:before="0" w:after="240"/>
        <w:rPr>
          <w:b/>
          <w:noProof/>
        </w:rPr>
      </w:pPr>
      <w:r>
        <w:rPr>
          <w:b/>
          <w:noProof/>
        </w:rPr>
        <w:t>Forslaget er derfor i overensstemmelse med nærhedsprincippet.</w:t>
      </w:r>
    </w:p>
    <w:p>
      <w:pPr>
        <w:pStyle w:val="ManualHeading2"/>
        <w:rPr>
          <w:rFonts w:eastAsia="Arial Unicode MS"/>
          <w:noProof/>
          <w:u w:color="000000"/>
          <w:bdr w:val="nil"/>
        </w:rPr>
      </w:pPr>
      <w:r>
        <w:rPr>
          <w:noProof/>
        </w:rPr>
        <w:t>•</w:t>
      </w:r>
      <w:r>
        <w:rPr>
          <w:noProof/>
        </w:rPr>
        <w:tab/>
        <w:t>Proportionalitetsprincippet</w:t>
      </w:r>
    </w:p>
    <w:p>
      <w:pPr>
        <w:pBdr>
          <w:top w:val="nil"/>
          <w:left w:val="nil"/>
          <w:bottom w:val="nil"/>
          <w:right w:val="nil"/>
          <w:between w:val="nil"/>
          <w:bar w:val="nil"/>
        </w:pBdr>
        <w:spacing w:before="0" w:after="240"/>
        <w:rPr>
          <w:rFonts w:eastAsia="Arial Unicode MS"/>
          <w:noProof/>
        </w:rPr>
      </w:pPr>
      <w:r>
        <w:rPr>
          <w:noProof/>
        </w:rPr>
        <w:t>I medfør af proportionalitetsprincippet må indholdet og formen af Unionens handling ikke gå videre, end hvad der er nødvendigt for at nå målene i traktaterne. Kontingentet på 144 000 hl svarer til den forventede vækstrate og til den mængde, der fremkommer ved anvendelsen af denne vækstrate for udgangen af 2016. Inden for den retlige ramme for afgørelse nr. 189/2014/EU er den eneste måde at opnå forhøjelsen af kontingentet med virkning fra den 1. januar 2016 for at øge det til det niveau, der svarer til vækstraten på 3,2 %, at ændre den nugældende afgørelse med tilbagevirkende kraft. Hverken indholdet eller formen af handlingen går videre end nødvendigt for at opnå målene i artikel 349 i TEUF.</w:t>
      </w:r>
    </w:p>
    <w:p>
      <w:pPr>
        <w:pStyle w:val="ManualHeading2"/>
        <w:rPr>
          <w:rFonts w:eastAsia="Arial Unicode MS"/>
          <w:noProof/>
          <w:u w:color="000000"/>
          <w:bdr w:val="nil"/>
        </w:rPr>
      </w:pPr>
      <w:r>
        <w:rPr>
          <w:noProof/>
        </w:rPr>
        <w:t>•</w:t>
      </w:r>
      <w:r>
        <w:rPr>
          <w:noProof/>
        </w:rPr>
        <w:tab/>
        <w:t>Valg af retsakt</w:t>
      </w:r>
    </w:p>
    <w:p>
      <w:pPr>
        <w:pBdr>
          <w:top w:val="nil"/>
          <w:left w:val="nil"/>
          <w:bottom w:val="nil"/>
          <w:right w:val="nil"/>
          <w:between w:val="nil"/>
          <w:bar w:val="nil"/>
        </w:pBdr>
        <w:spacing w:before="0" w:after="240"/>
        <w:rPr>
          <w:rFonts w:eastAsia="Arial Unicode MS"/>
          <w:noProof/>
        </w:rPr>
      </w:pPr>
      <w:r>
        <w:rPr>
          <w:noProof/>
        </w:rPr>
        <w:t>Jf. punktet "Proportionalitetsprincippet".</w:t>
      </w:r>
    </w:p>
    <w:p>
      <w:pPr>
        <w:pStyle w:val="ManualHeading1"/>
        <w:rPr>
          <w:noProof/>
        </w:rPr>
      </w:pPr>
      <w:r>
        <w:rPr>
          <w:noProof/>
        </w:rPr>
        <w:t>3.</w:t>
      </w:r>
      <w:r>
        <w:rPr>
          <w:noProof/>
        </w:rPr>
        <w:tab/>
        <w:t>RESULTATERNE AF EFTERFØLGENDE EVALUERINGER, HØRINGER AF INTERESSEREDE PARTER OG KONSEKVENSANALYSER</w:t>
      </w:r>
    </w:p>
    <w:p>
      <w:pPr>
        <w:pStyle w:val="ManualHeading2"/>
        <w:rPr>
          <w:rFonts w:eastAsia="Arial Unicode MS"/>
          <w:noProof/>
          <w:u w:color="000000"/>
          <w:bdr w:val="nil"/>
        </w:rPr>
      </w:pPr>
      <w:r>
        <w:rPr>
          <w:noProof/>
        </w:rPr>
        <w:t>•</w:t>
      </w:r>
      <w:r>
        <w:rPr>
          <w:noProof/>
        </w:rPr>
        <w:tab/>
        <w:t>Efterfølgende evalueringer/kvalitetskontrol af gældende lovgivning</w:t>
      </w:r>
    </w:p>
    <w:p>
      <w:pPr>
        <w:pBdr>
          <w:top w:val="nil"/>
          <w:left w:val="nil"/>
          <w:bottom w:val="nil"/>
          <w:right w:val="nil"/>
          <w:between w:val="nil"/>
          <w:bar w:val="nil"/>
        </w:pBdr>
        <w:spacing w:before="0" w:after="240"/>
        <w:rPr>
          <w:noProof/>
        </w:rPr>
      </w:pPr>
      <w:r>
        <w:rPr>
          <w:noProof/>
        </w:rPr>
        <w:t>1. Det fremgår af artikel 349, første afsnit, i TEUF, jf. Domstolens fortolkning heraf i de forenede sager C-132/14 – C-136/14, at de "særlige foranstaltninger", som den omhandler, vedtages "for at tage hensyn til" den "strukturelle sociale og økonomiske situation" i regionerne i den yderste periferi, der "forværres" af en række forhold, "som er vedvarende og kumulative, og som alvorligt hæmmer disse regioner i deres udvikling". De nævnte forhold præsenteres i artikel 349, stk. 1, TEUF som forhold, der forværrer den strukturelle sociale og økonomiske situation i regionerne i den yderste periferi, og som Rådet i henhold til artikel 349, stk. 3, TEUF skal tage i betragtning, når det vedtager de særlige foranstaltninger (DOMSTOLENS DOM (Store Afdeling) 15. december 2015 i de forenede sager C-132/14 – C-136/14, præmis 67 og 68).</w:t>
      </w:r>
      <w:r>
        <w:rPr>
          <w:noProof/>
        </w:rPr>
        <w:br/>
        <w:t xml:space="preserve"> I ovennævnte perspektiv som beskrevet af Domstolen og af nedennævnte grunde er Kommissionen af den opfattelse, at den presserende forhøjelse med tilbagevirkende kraft af det kontingent, der kan komme i betragtning til en reduceret punktafgift, fra 120 000 hl ren alkohol til 144 000 hl ren alkohol, er den eneste hensigtsmæssige foranstaltning:</w:t>
      </w:r>
    </w:p>
    <w:p>
      <w:pPr>
        <w:pBdr>
          <w:top w:val="nil"/>
          <w:left w:val="nil"/>
          <w:bottom w:val="nil"/>
          <w:right w:val="nil"/>
          <w:between w:val="nil"/>
          <w:bar w:val="nil"/>
        </w:pBdr>
        <w:spacing w:before="0" w:after="240"/>
        <w:rPr>
          <w:noProof/>
        </w:rPr>
      </w:pPr>
      <w:r>
        <w:rPr>
          <w:noProof/>
        </w:rPr>
        <w:t>- producenterne af traditionel rom har ikke haft tilstrækkelig adgang til markedet i Frankrigs europæiske område. Den forventede vækstrate svarede til et kontingent på 144 400 hl ren alkohol ved udgangen af 2016. Derfor er forhøjelsen med tilbagevirkende kraft af kontingentet for 2016 til 144 000 hl ren alkohol udelukkende en indhentning af efterslæbet med det formål at forhøje kontingentet til det niveau, der allerede var anslået af Kommissionen og Rådet;</w:t>
      </w:r>
    </w:p>
    <w:p>
      <w:pPr>
        <w:pBdr>
          <w:top w:val="nil"/>
          <w:left w:val="nil"/>
          <w:bottom w:val="nil"/>
          <w:right w:val="nil"/>
          <w:between w:val="nil"/>
          <w:bar w:val="nil"/>
        </w:pBdr>
        <w:spacing w:before="0" w:after="240"/>
        <w:rPr>
          <w:noProof/>
        </w:rPr>
      </w:pPr>
      <w:r>
        <w:rPr>
          <w:noProof/>
        </w:rPr>
        <w:t xml:space="preserve">- de økonomiske rammer er allerede beskrevet og fastlagt af Kommissionen og Rådet </w:t>
      </w:r>
    </w:p>
    <w:p>
      <w:pPr>
        <w:pBdr>
          <w:top w:val="nil"/>
          <w:left w:val="nil"/>
          <w:bottom w:val="nil"/>
          <w:right w:val="nil"/>
          <w:between w:val="nil"/>
          <w:bar w:val="nil"/>
        </w:pBdr>
        <w:spacing w:before="0" w:after="240"/>
        <w:rPr>
          <w:noProof/>
        </w:rPr>
      </w:pPr>
      <w:r>
        <w:rPr>
          <w:noProof/>
        </w:rPr>
        <w:t>- en hurtig forhøjelse med tilbagevirkende kraft er nødvendig for at undgå, at producenterne påføres umiddelbar og sandsynligvis uoprettelig skade</w:t>
      </w:r>
    </w:p>
    <w:p>
      <w:pPr>
        <w:pBdr>
          <w:top w:val="nil"/>
          <w:left w:val="nil"/>
          <w:bottom w:val="nil"/>
          <w:right w:val="nil"/>
          <w:between w:val="nil"/>
          <w:bar w:val="nil"/>
        </w:pBdr>
        <w:spacing w:before="0" w:after="240"/>
        <w:rPr>
          <w:noProof/>
        </w:rPr>
      </w:pPr>
      <w:r>
        <w:rPr>
          <w:noProof/>
        </w:rPr>
        <w:t xml:space="preserve">- tallene fra Eurostat afspejler en klar nedgang i eksporten af traditionel rom, der er fremstillet i disse regioner i den yderste periferi, til Den Europæiske Union </w:t>
      </w:r>
    </w:p>
    <w:p>
      <w:pPr>
        <w:pBdr>
          <w:top w:val="nil"/>
          <w:left w:val="nil"/>
          <w:bottom w:val="nil"/>
          <w:right w:val="nil"/>
          <w:between w:val="nil"/>
          <w:bar w:val="nil"/>
        </w:pBdr>
        <w:spacing w:before="0" w:after="240"/>
        <w:rPr>
          <w:noProof/>
        </w:rPr>
      </w:pPr>
      <w:r>
        <w:rPr>
          <w:noProof/>
        </w:rPr>
        <w:t>- tallene afspejler tab af markedsandele for denne traditionelle rom i andre af Unionens medlemsstater til fordel for tredjelandes producenter</w:t>
      </w:r>
    </w:p>
    <w:p>
      <w:pPr>
        <w:pBdr>
          <w:top w:val="nil"/>
          <w:left w:val="nil"/>
          <w:bottom w:val="nil"/>
          <w:right w:val="nil"/>
          <w:between w:val="nil"/>
          <w:bar w:val="nil"/>
        </w:pBdr>
        <w:spacing w:before="0" w:after="240"/>
        <w:rPr>
          <w:noProof/>
        </w:rPr>
      </w:pPr>
      <w:r>
        <w:rPr>
          <w:noProof/>
        </w:rPr>
        <w:t>- importen af rom fra andre tredjelande som overgår til forbrug i Frankrigs europæiske område udviser en meget bedre udvikling</w:t>
      </w:r>
    </w:p>
    <w:p>
      <w:pPr>
        <w:pBdr>
          <w:top w:val="nil"/>
          <w:left w:val="nil"/>
          <w:bottom w:val="nil"/>
          <w:right w:val="nil"/>
          <w:between w:val="nil"/>
          <w:bar w:val="nil"/>
        </w:pBdr>
        <w:spacing w:before="0" w:after="240"/>
        <w:rPr>
          <w:noProof/>
        </w:rPr>
      </w:pPr>
      <w:r>
        <w:rPr>
          <w:noProof/>
        </w:rPr>
        <w:t>- de øvrige faktorer i afgørelse nr. 189/2014/EU forbliver uændrede.</w:t>
      </w:r>
    </w:p>
    <w:p>
      <w:pPr>
        <w:pBdr>
          <w:top w:val="nil"/>
          <w:left w:val="nil"/>
          <w:bottom w:val="nil"/>
          <w:right w:val="nil"/>
          <w:between w:val="nil"/>
          <w:bar w:val="nil"/>
        </w:pBdr>
        <w:spacing w:before="0" w:after="240"/>
        <w:rPr>
          <w:noProof/>
        </w:rPr>
      </w:pPr>
      <w:r>
        <w:rPr>
          <w:noProof/>
        </w:rPr>
        <w:t xml:space="preserve">2. Der er tale om en tilpasningsforanstaltning med begrænsede økonomiske konsekvenser, som for nærværende ikke berettiger de omkostninger, som en konsekvensanalyse indebærer. I det foreliggende tilfælde er forhøjelsen af kontingentet med tilbagevirkende kraft med virkning fra den 1. januar 2016 den eneste mulighed for at sikre, at "traditionel rom" fra disse regioner i den yderste periferi fortsat er konkurrencedygtig på Unionens marked. </w:t>
      </w:r>
    </w:p>
    <w:p>
      <w:pPr>
        <w:pBdr>
          <w:top w:val="nil"/>
          <w:left w:val="nil"/>
          <w:bottom w:val="nil"/>
          <w:right w:val="nil"/>
          <w:between w:val="nil"/>
          <w:bar w:val="nil"/>
        </w:pBdr>
        <w:spacing w:before="0" w:after="240"/>
        <w:rPr>
          <w:noProof/>
        </w:rPr>
      </w:pPr>
      <w:r>
        <w:rPr>
          <w:noProof/>
        </w:rPr>
        <w:t>Det konkluderedes endvidere i en uafhængig økonomisk undersøgelse, der blev gennemført af Kommissionens tjenestegrene og afsluttet i juli 2016</w:t>
      </w:r>
      <w:r>
        <w:rPr>
          <w:rStyle w:val="FootnoteReference"/>
          <w:noProof/>
        </w:rPr>
        <w:footnoteReference w:id="6"/>
      </w:r>
      <w:r>
        <w:rPr>
          <w:noProof/>
        </w:rPr>
        <w:t xml:space="preserve"> med det sigte at vurdere, hvorvidt direktiv 92/83/EØF fortsat er tidssvarende, at importen til Frankrig af traditionel rom fra Guadeloupe, Fransk Guyana, Martinique og Réunion kun vedrører en mindre andel af det totale alkoholforbrug i Frankrig, og derfor forventes anvendelsen af en reduceret afgiftssats ikke at medføre en forvridning af konkurrencen på markedet for rom i Frankrig. Under disse omstændigheder er det endnu mindre sandsynligt, at denne import skulle kunne påvirke det indre markeds funktionsmåde.</w:t>
      </w:r>
    </w:p>
    <w:p>
      <w:pPr>
        <w:pBdr>
          <w:top w:val="nil"/>
          <w:left w:val="nil"/>
          <w:bottom w:val="nil"/>
          <w:right w:val="nil"/>
          <w:between w:val="nil"/>
          <w:bar w:val="nil"/>
        </w:pBdr>
        <w:spacing w:before="0" w:after="240"/>
        <w:rPr>
          <w:rFonts w:eastAsia="Arial Unicode MS"/>
          <w:noProof/>
          <w:color w:val="0000FF"/>
        </w:rPr>
      </w:pPr>
      <w:r>
        <w:rPr>
          <w:noProof/>
        </w:rPr>
        <w:t>Disse konklusioner er blevet offentliggjort og alle de berørte parter er blevet hørt. Selvom denne undersøgelse ikke konkret var rettet mod forhøjelsen af kontingentet for traditionel rom fra Guadeloupe, Fransk Guyana, Martinique og Réunion, der er omfattet af en reduceret afgiftssats i Frankrigs europæiske område, kan Kommissionen imidlertid konstatere, at ingen af de mere end 750 høringssvar, der indkom og blev verificeret inden for rammerne af denne høring, indeholder argumenter eller anden information, der berettiger yderligere analyser</w:t>
      </w:r>
      <w:r>
        <w:rPr>
          <w:rStyle w:val="FootnoteReference"/>
          <w:noProof/>
        </w:rPr>
        <w:footnoteReference w:id="7"/>
      </w:r>
      <w:r>
        <w:rPr>
          <w:noProof/>
        </w:rPr>
        <w:t xml:space="preserve">. </w:t>
      </w:r>
    </w:p>
    <w:p>
      <w:pPr>
        <w:pStyle w:val="ManualHeading2"/>
        <w:rPr>
          <w:rFonts w:eastAsia="Arial Unicode MS"/>
          <w:noProof/>
          <w:u w:color="000000"/>
          <w:bdr w:val="nil"/>
        </w:rPr>
      </w:pPr>
      <w:r>
        <w:rPr>
          <w:noProof/>
        </w:rPr>
        <w:t>•</w:t>
      </w:r>
      <w:r>
        <w:rPr>
          <w:noProof/>
        </w:rPr>
        <w:tab/>
        <w:t>Høring af interesserede parter</w:t>
      </w:r>
    </w:p>
    <w:p>
      <w:pPr>
        <w:pBdr>
          <w:top w:val="nil"/>
          <w:left w:val="nil"/>
          <w:bottom w:val="nil"/>
          <w:right w:val="nil"/>
          <w:between w:val="nil"/>
          <w:bar w:val="nil"/>
        </w:pBdr>
        <w:spacing w:before="0" w:after="240"/>
        <w:rPr>
          <w:noProof/>
        </w:rPr>
      </w:pPr>
      <w:r>
        <w:rPr>
          <w:noProof/>
        </w:rPr>
        <w:t>Se ovennævnte punkt.</w:t>
      </w:r>
    </w:p>
    <w:p>
      <w:pPr>
        <w:pBdr>
          <w:top w:val="nil"/>
          <w:left w:val="nil"/>
          <w:bottom w:val="nil"/>
          <w:right w:val="nil"/>
          <w:between w:val="nil"/>
          <w:bar w:val="nil"/>
        </w:pBdr>
        <w:spacing w:before="0" w:after="240"/>
        <w:rPr>
          <w:rFonts w:eastAsia="Arial Unicode MS"/>
          <w:noProof/>
        </w:rPr>
      </w:pPr>
      <w:r>
        <w:rPr>
          <w:noProof/>
        </w:rPr>
        <w:t>Ud over den umiddelbare tilpasning af kontingentet bør Kommissionen støtte sig på de analyser, der fremlægges af Frankrig senest den 31. juli 2017 i forbindelse med den midtvejsrevision, der er henvist til i afgørelse nr. 89/2014/EU af 20. februar 2014. I forbindelse med denne revision vil alle berørte parter på ny blive hørt.</w:t>
      </w:r>
    </w:p>
    <w:p>
      <w:pPr>
        <w:pStyle w:val="ManualHeading2"/>
        <w:rPr>
          <w:rFonts w:eastAsia="Arial Unicode MS"/>
          <w:noProof/>
          <w:u w:color="000000"/>
          <w:bdr w:val="nil"/>
        </w:rPr>
      </w:pPr>
      <w:r>
        <w:rPr>
          <w:noProof/>
        </w:rPr>
        <w:t>•</w:t>
      </w:r>
      <w:r>
        <w:rPr>
          <w:noProof/>
        </w:rPr>
        <w:tab/>
        <w:t>Ekspertbistand</w:t>
      </w:r>
    </w:p>
    <w:p>
      <w:pPr>
        <w:pBdr>
          <w:top w:val="nil"/>
          <w:left w:val="nil"/>
          <w:bottom w:val="nil"/>
          <w:right w:val="nil"/>
          <w:between w:val="nil"/>
          <w:bar w:val="nil"/>
        </w:pBdr>
        <w:spacing w:before="0" w:after="240"/>
        <w:rPr>
          <w:noProof/>
        </w:rPr>
      </w:pPr>
      <w:r>
        <w:rPr>
          <w:noProof/>
        </w:rPr>
        <w:t xml:space="preserve">Se "Efterfølgende evalueringer/kvalitetskontrol af gældende lovgivning" </w:t>
      </w:r>
    </w:p>
    <w:p>
      <w:pPr>
        <w:pStyle w:val="ManualHeading2"/>
        <w:rPr>
          <w:rFonts w:eastAsia="Arial Unicode MS"/>
          <w:noProof/>
          <w:u w:color="000000"/>
          <w:bdr w:val="nil"/>
        </w:rPr>
      </w:pPr>
      <w:r>
        <w:rPr>
          <w:noProof/>
        </w:rPr>
        <w:t>•</w:t>
      </w:r>
      <w:r>
        <w:rPr>
          <w:noProof/>
        </w:rPr>
        <w:tab/>
        <w:t>Målrettet regulering og forenkling</w:t>
      </w:r>
    </w:p>
    <w:p>
      <w:pPr>
        <w:pBdr>
          <w:top w:val="nil"/>
          <w:left w:val="nil"/>
          <w:bottom w:val="nil"/>
          <w:right w:val="nil"/>
          <w:between w:val="nil"/>
          <w:bar w:val="nil"/>
        </w:pBdr>
        <w:spacing w:before="0" w:after="240"/>
        <w:rPr>
          <w:rFonts w:eastAsia="Arial Unicode MS"/>
          <w:noProof/>
        </w:rPr>
      </w:pPr>
      <w:r>
        <w:rPr>
          <w:noProof/>
        </w:rPr>
        <w:t>Ikke relevant.</w:t>
      </w:r>
    </w:p>
    <w:p>
      <w:pPr>
        <w:pStyle w:val="ManualHeading2"/>
        <w:rPr>
          <w:rFonts w:eastAsia="Arial Unicode MS"/>
          <w:noProof/>
          <w:u w:color="000000"/>
          <w:bdr w:val="nil"/>
        </w:rPr>
      </w:pPr>
      <w:r>
        <w:rPr>
          <w:noProof/>
        </w:rPr>
        <w:t>•</w:t>
      </w:r>
      <w:r>
        <w:rPr>
          <w:noProof/>
        </w:rPr>
        <w:tab/>
        <w:t>Grundlæggende rettigheder</w:t>
      </w:r>
    </w:p>
    <w:p>
      <w:pPr>
        <w:pBdr>
          <w:top w:val="nil"/>
          <w:left w:val="nil"/>
          <w:bottom w:val="nil"/>
          <w:right w:val="nil"/>
          <w:between w:val="nil"/>
          <w:bar w:val="nil"/>
        </w:pBdr>
        <w:spacing w:before="0" w:after="240"/>
        <w:rPr>
          <w:rFonts w:eastAsia="Arial Unicode MS"/>
          <w:noProof/>
        </w:rPr>
      </w:pPr>
      <w:r>
        <w:rPr>
          <w:noProof/>
        </w:rPr>
        <w:t>Ikke relevant.</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rPr>
          <w:rFonts w:eastAsia="Arial Unicode MS"/>
          <w:noProof/>
        </w:rPr>
      </w:pPr>
      <w:r>
        <w:rPr>
          <w:noProof/>
        </w:rPr>
        <w:t>Forslaget har ingen budgetmæssige virkninger.</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2017/0127 (CNS)</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ændring af Rådets afgørelse nr. 189/2014/EU af 20. februar 2014 om bemyndigelse af Frankrig til at anvende en reduceret sats for visse indirekte skatter på "traditionel" rom fremstillet i Guadeloupe, Fransk Guyana, Martinique eller Réunion og om ophævelse af beslutning 2007/659/EF</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349,</w:t>
      </w:r>
    </w:p>
    <w:p>
      <w:pPr>
        <w:rPr>
          <w:noProof/>
        </w:rPr>
      </w:pPr>
      <w:r>
        <w:rPr>
          <w:noProof/>
        </w:rPr>
        <w:t>under henvisning til forslag fra Europa-Kommissionen,</w:t>
      </w:r>
    </w:p>
    <w:p>
      <w:pPr>
        <w:rPr>
          <w:noProof/>
        </w:rPr>
      </w:pPr>
      <w:r>
        <w:rPr>
          <w:noProof/>
        </w:rPr>
        <w:t xml:space="preserve">efter fremsendelse af udkast til lovgivningsmæssig retsakt til de nationale parlamenter, </w:t>
      </w:r>
    </w:p>
    <w:p>
      <w:pPr>
        <w:rPr>
          <w:noProof/>
        </w:rPr>
      </w:pPr>
      <w:r>
        <w:rPr>
          <w:noProof/>
        </w:rPr>
        <w:t>under henvisning til udtalelse fra Europa-Parlamentet</w:t>
      </w:r>
      <w:r>
        <w:rPr>
          <w:rStyle w:val="FootnoteReference"/>
          <w:noProof/>
        </w:rPr>
        <w:footnoteReference w:id="8"/>
      </w:r>
      <w:r>
        <w:rPr>
          <w:noProof/>
        </w:rPr>
        <w:t xml:space="preserve">, </w:t>
      </w:r>
    </w:p>
    <w:p>
      <w:pPr>
        <w:rPr>
          <w:noProof/>
        </w:rPr>
      </w:pPr>
      <w:r>
        <w:rPr>
          <w:noProof/>
        </w:rPr>
        <w:t>under henvisning til udtalelse fra Det Europæiske Økonomiske og Sociale Udvalg</w:t>
      </w:r>
      <w:r>
        <w:rPr>
          <w:rStyle w:val="FootnoteReference"/>
          <w:noProof/>
        </w:rPr>
        <w:footnoteReference w:id="9"/>
      </w:r>
      <w:r>
        <w:rPr>
          <w:noProof/>
        </w:rPr>
        <w:t xml:space="preserve">, </w:t>
      </w:r>
    </w:p>
    <w:p>
      <w:pPr>
        <w:rPr>
          <w:noProof/>
        </w:rPr>
      </w:pPr>
      <w:r>
        <w:rPr>
          <w:noProof/>
        </w:rPr>
        <w:t>under henvisning til udtalelse fra Regionsudvalget</w:t>
      </w:r>
      <w:r>
        <w:rPr>
          <w:rStyle w:val="FootnoteReference"/>
          <w:noProof/>
        </w:rPr>
        <w:footnoteReference w:id="10"/>
      </w:r>
      <w:r>
        <w:rPr>
          <w:noProof/>
        </w:rPr>
        <w:t xml:space="preserve">, </w:t>
      </w:r>
    </w:p>
    <w:p>
      <w:pPr>
        <w:rPr>
          <w:noProof/>
        </w:rPr>
      </w:pPr>
      <w:r>
        <w:rPr>
          <w:noProof/>
        </w:rPr>
        <w:t xml:space="preserve">efter en særlig lovgivningsprocedure og </w:t>
      </w:r>
    </w:p>
    <w:p>
      <w:pPr>
        <w:rPr>
          <w:noProof/>
        </w:rPr>
      </w:pPr>
      <w:r>
        <w:rPr>
          <w:noProof/>
        </w:rPr>
        <w:t>ud fra følgende betragtninger:</w:t>
      </w:r>
    </w:p>
    <w:p>
      <w:pPr>
        <w:pStyle w:val="ManualConsidrant"/>
        <w:rPr>
          <w:noProof/>
        </w:rPr>
      </w:pPr>
      <w:r>
        <w:t>(1)</w:t>
      </w:r>
      <w:r>
        <w:tab/>
      </w:r>
      <w:r>
        <w:rPr>
          <w:noProof/>
        </w:rPr>
        <w:t>I medfør af artikel 1 i Rådets afgørelse nr. 189/2014/EU</w:t>
      </w:r>
      <w:r>
        <w:rPr>
          <w:rStyle w:val="FootnoteReference"/>
          <w:noProof/>
        </w:rPr>
        <w:footnoteReference w:id="11"/>
      </w:r>
      <w:r>
        <w:rPr>
          <w:noProof/>
        </w:rPr>
        <w:t xml:space="preserve"> fik Frankrig bemyndigelse til at forlænge anvendelsen på Frankrigs europæiske område af en punktafgiftssats, der er lavere end den fulde afgiftssats på alkohol, der er fastsat i artikel 3 i Rådets direktiv 92/84/EØF</w:t>
      </w:r>
      <w:r>
        <w:rPr>
          <w:rStyle w:val="FootnoteReference"/>
          <w:noProof/>
        </w:rPr>
        <w:footnoteReference w:id="12"/>
      </w:r>
      <w:r>
        <w:rPr>
          <w:noProof/>
        </w:rPr>
        <w:t>, og af en sats for afgiften benævnt "cotisation sur les boissons alcooliques" (VSS), der er lavere end den fulde afgiftssats, der er fastat i den franske nationale lovgivning, på "traditionel" rom, der er fremstillet i Guadeloupe, Fransk Guyana, Martinique og Réunion.</w:t>
      </w:r>
    </w:p>
    <w:p>
      <w:pPr>
        <w:pStyle w:val="ManualConsidrant"/>
        <w:rPr>
          <w:noProof/>
        </w:rPr>
      </w:pPr>
      <w:r>
        <w:t>(2)</w:t>
      </w:r>
      <w:r>
        <w:tab/>
      </w:r>
      <w:r>
        <w:rPr>
          <w:noProof/>
        </w:rPr>
        <w:t>I henhold til artikel 3 i nævnte afgørelse er de reducerede satser for punktafgiften og VSS-afgiften for denne "traditionelle" rom begrænset til et årligt kontingent på 120 000 hl ren alkohol.</w:t>
      </w:r>
    </w:p>
    <w:p>
      <w:pPr>
        <w:pStyle w:val="ManualConsidrant"/>
        <w:rPr>
          <w:noProof/>
        </w:rPr>
      </w:pPr>
      <w:r>
        <w:t>(3)</w:t>
      </w:r>
      <w:r>
        <w:tab/>
      </w:r>
      <w:r>
        <w:rPr>
          <w:noProof/>
        </w:rPr>
        <w:t>Den 22. september 2016 anmodede de franske myndigheder Kommissionen om at udarbejde et udkast til teknisk tilpasning, som forhøjer det årlige kontingent på 120 000 hl ren alkohol til 144 000 hl ren alkohol. Anmodningen var ledsaget af en rapport med en sammenfatning af de oplysninger, som berettigede den tilpasning, der blev anmodet om. Producenterne af traditionel rom har ikke haft tilstrækkelig adgang til markedet i Frankrigs europæiske område i 2016. Ifølge de anslåede vækstrater var der behov for et kontingent på 144 400 hl ren alkohol, og denne mængde blev opnået i slutningen af 2016. Det årlige kontingent på 120 000 hl ren alkohol bør derfor forhøjes til 144 000 hl ren alkohol. De foranstaltninger, der blev givet bemyndigelse til ved Rådets afgørelse nr. 189/2014/EU, vil blive fulgt af en indgående analyse og revision af hele systemet. Denne analyse tager hensyn til den rapport, som Frankrig skal forelægge i henhold til afgørelse nr. 189/2014/EU.</w:t>
      </w:r>
    </w:p>
    <w:p>
      <w:pPr>
        <w:pStyle w:val="ManualConsidrant"/>
        <w:rPr>
          <w:noProof/>
        </w:rPr>
      </w:pPr>
      <w:r>
        <w:t>(4)</w:t>
      </w:r>
      <w:r>
        <w:tab/>
      </w:r>
      <w:r>
        <w:rPr>
          <w:noProof/>
        </w:rPr>
        <w:t>Kontingentet på 120 000 hl ren alkohol for 2016 var allerede opbrugt inden udgangen af 2016, og hvis ikke kontingentet forhøjes med tilbagevirkende kraft fra den 1. januar 2016 vil producenterne blive påført omfattende og sandsynligvis uoprettelig skade. Forretningsforbindelserne mellem producenterne af rom og de store detailforretninger i Frankrig er baseret på årlige kontrakter, hvori der indgås forpligtelser med hensyn til leverede mængder, købspris og eventuelle rabatter og tilbud. Overskridelsen af kontingentet indebærer en efterfølgende forhøjelse af afgiften for de mængder, hvormed kontingentet overskrides, samtidig med at producenterne ved årets start, når kontrakterne indgås, ikke kan forudse, om kontingentet bliver overskredet og i givet fald med hvilken mængde.  Uden en forhøjelse af kontingentet med tilbagevirkende kraft vil producenterne af rom blive påført omfattende tab for de mængder, hvormed kontingentet overskrides. Det er derfor nødvendigt at give bemyndigelse til at forhøje kontingentet med tilbagevirkende kraft med virkning fra den 1. januar 2016.</w:t>
      </w:r>
    </w:p>
    <w:p>
      <w:pPr>
        <w:pStyle w:val="ManualConsidrant"/>
        <w:rPr>
          <w:noProof/>
        </w:rPr>
      </w:pPr>
      <w:r>
        <w:t>(5)</w:t>
      </w:r>
      <w:r>
        <w:tab/>
      </w:r>
      <w:r>
        <w:rPr>
          <w:noProof/>
        </w:rPr>
        <w:t>De øvrige faktorer i afgørelse nr. 189/2014/EU forbliver uændrede, og i en uafhængig økonomisk undersøgelse, der blev gennemført af Kommissionens tjenestegrene og afsluttet i juli 2016 blev det bekræftet, at importen til Frankrig af traditionel rom fra Guadeloupe, Fransk Guyana, Martinique og Réunion kun vedrører en mindre andel af det totale forbrug af alkohol i Frankrig. Derfor forventes anvendelsen af en reduceret afgiftssats ikke at medføre en forvridning af konkurrencen på markedet for rom i Frankrig og dermed heller ikke på det indre marked.</w:t>
      </w:r>
    </w:p>
    <w:p>
      <w:pPr>
        <w:pStyle w:val="ManualConsidrant"/>
        <w:rPr>
          <w:noProof/>
        </w:rPr>
      </w:pPr>
      <w:r>
        <w:t>(6)</w:t>
      </w:r>
      <w:r>
        <w:tab/>
      </w:r>
      <w:r>
        <w:rPr>
          <w:noProof/>
        </w:rPr>
        <w:t>Denne afgørelse gælder med forbehold af en eventuel anvendelse af artikel 107 og 108 TEUF.</w:t>
      </w:r>
    </w:p>
    <w:p>
      <w:pPr>
        <w:pStyle w:val="ManualConsidrant"/>
        <w:rPr>
          <w:noProof/>
        </w:rPr>
      </w:pPr>
      <w:r>
        <w:t>(7)</w:t>
      </w:r>
      <w:r>
        <w:tab/>
      </w:r>
      <w:r>
        <w:rPr>
          <w:noProof/>
        </w:rPr>
        <w:t>Afgørelse nr. 189/2014/EU bør ændres i overensstemmelse hermed.</w:t>
      </w:r>
    </w:p>
    <w:p>
      <w:pPr>
        <w:pStyle w:val="Formuledadoption"/>
        <w:rPr>
          <w:noProof/>
        </w:rPr>
      </w:pPr>
      <w:r>
        <w:rPr>
          <w:noProof/>
        </w:rPr>
        <w:t>VEDTAGET DENNE AFGØRELSE:</w:t>
      </w:r>
    </w:p>
    <w:p>
      <w:pPr>
        <w:pStyle w:val="Titrearticle"/>
        <w:rPr>
          <w:noProof/>
        </w:rPr>
      </w:pPr>
      <w:r>
        <w:rPr>
          <w:noProof/>
        </w:rPr>
        <w:t>Artikel 1</w:t>
      </w:r>
    </w:p>
    <w:p>
      <w:pPr>
        <w:rPr>
          <w:noProof/>
        </w:rPr>
      </w:pPr>
      <w:r>
        <w:rPr>
          <w:noProof/>
        </w:rPr>
        <w:t xml:space="preserve">1. Artikel 3, stk. 1, i afgørelse nr. 189/2014/EU affattes således: </w:t>
      </w:r>
    </w:p>
    <w:p>
      <w:pPr>
        <w:rPr>
          <w:noProof/>
        </w:rPr>
      </w:pPr>
      <w:r>
        <w:rPr>
          <w:noProof/>
        </w:rPr>
        <w:t>"1.  De reducerede satser for punktafgiften og VSS-afgiften, der er nævnt i artikel 1, og som gælder for den rom, der er nævnt i artikel 2, anvendes på et årligt kontingent på 120 000 hl ren alkohol indtil den 31. december 2015. Mellem den 1. januar 2016 og den 31. december 2020 anvendes den på et årligt kontingent på 144 000 hl en alkohol."</w:t>
      </w:r>
    </w:p>
    <w:p>
      <w:pPr>
        <w:pStyle w:val="Titrearticle"/>
        <w:rPr>
          <w:noProof/>
        </w:rPr>
      </w:pPr>
      <w:r>
        <w:rPr>
          <w:noProof/>
        </w:rPr>
        <w:t>Artikel 2</w:t>
      </w:r>
    </w:p>
    <w:p>
      <w:pPr>
        <w:keepNext/>
        <w:keepLines/>
        <w:rPr>
          <w:noProof/>
        </w:rPr>
      </w:pPr>
      <w:r>
        <w:rPr>
          <w:noProof/>
        </w:rPr>
        <w:t xml:space="preserve">Denne afgørelse træder i kraft dagen efter offentliggørelsen i </w:t>
      </w:r>
      <w:r>
        <w:rPr>
          <w:i/>
          <w:noProof/>
        </w:rPr>
        <w:t>Den Europæiske Unions Tidende</w:t>
      </w:r>
      <w:r>
        <w:rPr>
          <w:noProof/>
        </w:rPr>
        <w:t>.</w:t>
      </w:r>
    </w:p>
    <w:p>
      <w:pPr>
        <w:pStyle w:val="Fait"/>
        <w:rPr>
          <w:noProof/>
        </w:rPr>
      </w:pPr>
      <w:r>
        <w:rPr>
          <w:noProof/>
        </w:rPr>
        <w:t>Udfærdiget i Bruxelles, den .</w:t>
      </w:r>
    </w:p>
    <w:p>
      <w:pPr>
        <w:pStyle w:val="Institutionquisigne"/>
        <w:rPr>
          <w:noProof/>
        </w:rPr>
      </w:pPr>
      <w:r>
        <w:rPr>
          <w:noProof/>
        </w:rPr>
        <w:tab/>
        <w:t>På Rådets vegne</w:t>
      </w:r>
    </w:p>
    <w:p>
      <w:pPr>
        <w:pStyle w:val="Personnequisigne"/>
        <w:rPr>
          <w:noProof/>
          <w:sz w:val="20"/>
        </w:rPr>
      </w:pPr>
      <w:r>
        <w:rPr>
          <w:noProof/>
        </w:rPr>
        <w:tab/>
        <w:t>Formand</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Rådets beslutning 2002/166/EF af 18. februar 2002 om bemyndigelse af Frankrig til at forlænge gyldighedsperioden for anvendelsen af en reduceret </w:t>
      </w:r>
      <w:r>
        <w:br/>
        <w:t>punktafgiftssats på "traditionel" rom fremstillet i dets oversøiske departementer (EFT L [55] af [26.02.2002], s. [33]).</w:t>
      </w:r>
    </w:p>
  </w:footnote>
  <w:footnote w:id="3">
    <w:p>
      <w:pPr>
        <w:pStyle w:val="FootnoteText"/>
      </w:pPr>
      <w:r>
        <w:rPr>
          <w:rStyle w:val="FootnoteReference"/>
        </w:rPr>
        <w:footnoteRef/>
      </w:r>
      <w:r>
        <w:tab/>
        <w:t>Rådets beslutning 2007/659/EF af 9. oktober 2007 om bemyndigelse af Frankrig til at anvende en reduceret punktafgiftssats på "traditionel" rom fremstillet i dets oversøiske departementer og om ophævelse af beslutning 2002/166/EF (EUT L 270 af 13.10.2007, s. 12).</w:t>
      </w:r>
    </w:p>
  </w:footnote>
  <w:footnote w:id="4">
    <w:p>
      <w:pPr>
        <w:pStyle w:val="FootnoteText"/>
      </w:pPr>
      <w:r>
        <w:rPr>
          <w:rStyle w:val="FootnoteReference"/>
        </w:rPr>
        <w:footnoteRef/>
      </w:r>
      <w:r>
        <w:tab/>
        <w:t>Rådets afgørelse nr. 896/2011/EU af 19. december 2011 om ændring af beslutning 2007/659/EF for så vidt angår anvendelsesperioden og det årlige kontingent, der kan pålægges en reduceret punktafgiftssats (EUT L 345 af 29.12.2011, s. 18).</w:t>
      </w:r>
    </w:p>
  </w:footnote>
  <w:footnote w:id="5">
    <w:p>
      <w:pPr>
        <w:pStyle w:val="FootnoteText"/>
      </w:pPr>
      <w:r>
        <w:rPr>
          <w:rStyle w:val="FootnoteReference"/>
        </w:rPr>
        <w:footnoteRef/>
      </w:r>
      <w:r>
        <w:tab/>
        <w:t>Rådets afgørelse nr. 189/2014/EU af 20. februar 2014 om bemyndigelse af Frankrig til at anvende en reduceret sats for visse indirekte skatter på "traditionel" rom fremstillet i Guadeloupe, Fransk Guyana, Martinique eller Réunion og om ophævelse af beslutning 2007/659/EF (EUT L [59] af [28.2.2014], s. [1]).</w:t>
      </w:r>
    </w:p>
  </w:footnote>
  <w:footnote w:id="6">
    <w:p>
      <w:pPr>
        <w:pStyle w:val="FootnoteText"/>
      </w:pPr>
      <w:r>
        <w:rPr>
          <w:rStyle w:val="FootnoteReference"/>
        </w:rPr>
        <w:footnoteRef/>
      </w:r>
      <w:r>
        <w:tab/>
        <w:t>Side 28 i rapporten og bilag 7, side 17-20.</w:t>
      </w:r>
    </w:p>
    <w:p>
      <w:pPr>
        <w:pStyle w:val="FootnoteText"/>
        <w:ind w:firstLine="0"/>
      </w:pPr>
      <w:hyperlink r:id="rId1">
        <w:r>
          <w:rPr>
            <w:rStyle w:val="Hyperlink"/>
          </w:rPr>
          <w:t>https://circabc.europa.eu/sd/a/3e197d56-02d3-4efd-b056-5b7d53b8e196/Evaluation%20of%20Council%20Directive%2092-83-EEC%20on%20the%20harmonisation%20of%20the%20structures%20of%20excise%20duties%20on%20alcohol%20and%20alcoholic%20beverages.pdf</w:t>
        </w:r>
      </w:hyperlink>
    </w:p>
    <w:p>
      <w:pPr>
        <w:pStyle w:val="FootnoteText"/>
      </w:pPr>
    </w:p>
  </w:footnote>
  <w:footnote w:id="7">
    <w:p>
      <w:pPr>
        <w:pStyle w:val="FootnoteText"/>
      </w:pPr>
      <w:r>
        <w:rPr>
          <w:rStyle w:val="FootnoteReference"/>
        </w:rPr>
        <w:footnoteRef/>
      </w:r>
      <w:r>
        <w:tab/>
      </w:r>
      <w:hyperlink r:id="rId2">
        <w:r>
          <w:rPr>
            <w:rStyle w:val="Hyperlink"/>
          </w:rPr>
          <w:t>https://circabc.europa.eu/sd/a/c1011602-0d01-4d97-9ce1-56a23fa57929/Appendix%209a%20-%20Open%20public%20consultation%20summary%20report.pdf</w:t>
        </w:r>
      </w:hyperlink>
    </w:p>
    <w:p>
      <w:pPr>
        <w:pStyle w:val="FootnoteText"/>
      </w:pPr>
    </w:p>
  </w:footnote>
  <w:footnote w:id="8">
    <w:p>
      <w:pPr>
        <w:pStyle w:val="FootnoteText"/>
      </w:pPr>
      <w:r>
        <w:rPr>
          <w:rStyle w:val="FootnoteReference"/>
        </w:rPr>
        <w:footnoteRef/>
      </w:r>
      <w:r>
        <w:tab/>
      </w:r>
    </w:p>
  </w:footnote>
  <w:footnote w:id="9">
    <w:p>
      <w:pPr>
        <w:pStyle w:val="FootnoteText"/>
      </w:pPr>
      <w:r>
        <w:rPr>
          <w:rStyle w:val="FootnoteReference"/>
        </w:rPr>
        <w:footnoteRef/>
      </w:r>
      <w:r>
        <w:tab/>
      </w:r>
    </w:p>
  </w:footnote>
  <w:footnote w:id="10">
    <w:p>
      <w:pPr>
        <w:pStyle w:val="FootnoteText"/>
      </w:pPr>
      <w:r>
        <w:rPr>
          <w:rStyle w:val="FootnoteReference"/>
        </w:rPr>
        <w:footnoteRef/>
      </w:r>
      <w:r>
        <w:tab/>
        <w:t>EUT C  af , s. .</w:t>
      </w:r>
    </w:p>
  </w:footnote>
  <w:footnote w:id="11">
    <w:p>
      <w:pPr>
        <w:pStyle w:val="FootnoteText"/>
      </w:pPr>
      <w:r>
        <w:rPr>
          <w:rStyle w:val="FootnoteReference"/>
        </w:rPr>
        <w:footnoteRef/>
      </w:r>
      <w:r>
        <w:tab/>
        <w:t>Rådets afgørelse nr. 189/2014/EU af 20. februar 2014 om bemyndigelse af Frankrig til at anvende en reduceret sats for visse indirekte skatter på "traditionel" rom fremstillet i Guadeloupe, Fransk Guyana, Martinique eller Réunion og om ophævelse af beslutning 2007/659/EF (EUT L 59 af 28.2.2014, s. 1).</w:t>
      </w:r>
    </w:p>
  </w:footnote>
  <w:footnote w:id="12">
    <w:p>
      <w:pPr>
        <w:pStyle w:val="FootnoteText"/>
      </w:pPr>
      <w:r>
        <w:rPr>
          <w:rStyle w:val="FootnoteReference"/>
        </w:rPr>
        <w:footnoteRef/>
      </w:r>
      <w:r>
        <w:tab/>
        <w:t>Rådets direktiv 92/84/EØF af 19. oktober 1992 om indbyrdes tilnærmelse af punktafgiftssatserne for alkohol og alkoholholdige drikkevarer (EFT L 316 af 31.10.1992, s. 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7C2298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C1CBE66"/>
    <w:lvl w:ilvl="0">
      <w:start w:val="1"/>
      <w:numFmt w:val="decimal"/>
      <w:pStyle w:val="ListNumber3"/>
      <w:lvlText w:val="%1."/>
      <w:lvlJc w:val="left"/>
      <w:pPr>
        <w:tabs>
          <w:tab w:val="num" w:pos="926"/>
        </w:tabs>
        <w:ind w:left="926" w:hanging="360"/>
      </w:pPr>
    </w:lvl>
  </w:abstractNum>
  <w:abstractNum w:abstractNumId="2">
    <w:nsid w:val="FFFFFF7F"/>
    <w:multiLevelType w:val="singleLevel"/>
    <w:tmpl w:val="425C1F74"/>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0231D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7FAAD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9"/>
    <w:multiLevelType w:val="singleLevel"/>
    <w:tmpl w:val="2EACCC3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2"/>
  </w:num>
  <w:num w:numId="5">
    <w:abstractNumId w:val="23"/>
  </w:num>
  <w:num w:numId="6">
    <w:abstractNumId w:val="5"/>
  </w:num>
  <w:num w:numId="7">
    <w:abstractNumId w:val="4"/>
  </w:num>
  <w:num w:numId="8">
    <w:abstractNumId w:val="3"/>
  </w:num>
  <w:num w:numId="9">
    <w:abstractNumId w:val="24"/>
    <w:lvlOverride w:ilvl="0">
      <w:startOverride w:val="1"/>
    </w:lvlOverride>
  </w:num>
  <w:num w:numId="10">
    <w:abstractNumId w:val="2"/>
  </w:num>
  <w:num w:numId="11">
    <w:abstractNumId w:val="1"/>
  </w:num>
  <w:num w:numId="12">
    <w:abstractNumId w:val="0"/>
  </w:num>
  <w:num w:numId="13">
    <w:abstractNumId w:val="19"/>
  </w:num>
  <w:num w:numId="14">
    <w:abstractNumId w:val="11"/>
  </w:num>
  <w:num w:numId="15">
    <w:abstractNumId w:val="21"/>
  </w:num>
  <w:num w:numId="16">
    <w:abstractNumId w:val="10"/>
  </w:num>
  <w:num w:numId="17">
    <w:abstractNumId w:val="12"/>
  </w:num>
  <w:num w:numId="18">
    <w:abstractNumId w:val="8"/>
  </w:num>
  <w:num w:numId="19">
    <w:abstractNumId w:val="20"/>
  </w:num>
  <w:num w:numId="20">
    <w:abstractNumId w:val="7"/>
  </w:num>
  <w:num w:numId="21">
    <w:abstractNumId w:val="13"/>
  </w:num>
  <w:num w:numId="22">
    <w:abstractNumId w:val="17"/>
  </w:num>
  <w:num w:numId="23">
    <w:abstractNumId w:val="18"/>
  </w:num>
  <w:num w:numId="24">
    <w:abstractNumId w:val="9"/>
  </w:num>
  <w:num w:numId="25">
    <w:abstractNumId w:val="16"/>
  </w:num>
  <w:num w:numId="26">
    <w:abstractNumId w:val="24"/>
  </w:num>
  <w:num w:numId="27">
    <w:abstractNumId w:val="19"/>
  </w:num>
  <w:num w:numId="28">
    <w:abstractNumId w:val="11"/>
  </w:num>
  <w:num w:numId="29">
    <w:abstractNumId w:val="21"/>
  </w:num>
  <w:num w:numId="30">
    <w:abstractNumId w:val="10"/>
  </w:num>
  <w:num w:numId="31">
    <w:abstractNumId w:val="12"/>
  </w:num>
  <w:num w:numId="32">
    <w:abstractNumId w:val="8"/>
  </w:num>
  <w:num w:numId="33">
    <w:abstractNumId w:val="20"/>
  </w:num>
  <w:num w:numId="34">
    <w:abstractNumId w:val="7"/>
  </w:num>
  <w:num w:numId="35">
    <w:abstractNumId w:val="13"/>
  </w:num>
  <w:num w:numId="36">
    <w:abstractNumId w:val="17"/>
  </w:num>
  <w:num w:numId="37">
    <w:abstractNumId w:val="18"/>
  </w:num>
  <w:num w:numId="38">
    <w:abstractNumId w:val="9"/>
  </w:num>
  <w:num w:numId="39">
    <w:abstractNumId w:val="16"/>
  </w:num>
  <w:num w:numId="40">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5"/>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29 12:18:1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5"/>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17DBC2F934334AA1A249BAE9692F70F0"/>
    <w:docVar w:name="LW_CROSSREFERENCE" w:val="&lt;UNUSED&gt;"/>
    <w:docVar w:name="LW_DocType" w:val="COM"/>
    <w:docVar w:name="LW_EMISSION" w:val="9.6.2017"/>
    <w:docVar w:name="LW_EMISSION_ISODATE" w:val="2017-06-09"/>
    <w:docVar w:name="LW_EMISSION_LOCATION" w:val="BRX"/>
    <w:docVar w:name="LW_EMISSION_PREFIX" w:val="Bruxelles, den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DA"/>
    <w:docVar w:name="LW_MARKING" w:val="&lt;UNUSED&gt;"/>
    <w:docVar w:name="LW_NOM.INST" w:val="EUROPA-KOMMISSIONEN"/>
    <w:docVar w:name="LW_NOM.INST_JOINTDOC" w:val="&lt;EMPTY&gt;"/>
    <w:docVar w:name="LW_PART_NBR" w:val="1"/>
    <w:docVar w:name="LW_PART_NBR_TOTAL" w:val="1"/>
    <w:docVar w:name="LW_REF.II.NEW.CP" w:val="CNS"/>
    <w:docVar w:name="LW_REF.II.NEW.CP_NUMBER" w:val="0127"/>
    <w:docVar w:name="LW_REF.II.NEW.CP_YEAR" w:val="2017"/>
    <w:docVar w:name="LW_REF.INST.NEW" w:val="COM"/>
    <w:docVar w:name="LW_REF.INST.NEW_ADOPTED" w:val="final"/>
    <w:docVar w:name="LW_REF.INST.NEW_TEXT" w:val="(2017) 297"/>
    <w:docVar w:name="LW_REF.INTERNE" w:val="&lt;UNUSED&gt;"/>
    <w:docVar w:name="LW_SOUS.TITRE.OBJ.CP" w:val="&lt;UNUSED&gt;"/>
    <w:docVar w:name="LW_STATUT.CP" w:val="Forslag til"/>
    <w:docVar w:name="LW_SUPERTITRE" w:val="&lt;UNUSED&gt;"/>
    <w:docVar w:name="LW_TITRE.OBJ.CP" w:val="om ændring af Rådets afgørelse nr. 189/2014/EU af 20. februar 2014 om bemyndigelse af Frankrig til at anvende en reduceret sats for visse indirekte skatter på &quot;traditionel&quot; rom fremstillet i Guadeloupe, Fransk Guyana, Martinique eller Réunion og om ophævelse af beslutning 2007/659/EF"/>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2">
    <w:name w:val="List Bullet 2"/>
    <w:basedOn w:val="Normal"/>
    <w:pPr>
      <w:numPr>
        <w:numId w:val="5"/>
      </w:numPr>
    </w:pPr>
    <w:rPr>
      <w:rFonts w:eastAsia="Times New Roman"/>
    </w:rPr>
  </w:style>
  <w:style w:type="paragraph" w:styleId="ListBullet">
    <w:name w:val="List Bullet"/>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2">
    <w:name w:val="List Bullet 2"/>
    <w:basedOn w:val="Normal"/>
    <w:pPr>
      <w:numPr>
        <w:numId w:val="5"/>
      </w:numPr>
    </w:pPr>
    <w:rPr>
      <w:rFonts w:eastAsia="Times New Roman"/>
    </w:rPr>
  </w:style>
  <w:style w:type="paragraph" w:styleId="ListBullet">
    <w:name w:val="List Bullet"/>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7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ircabc.europa.eu/sd/a/c1011602-0d01-4d97-9ce1-56a23fa57929/Appendix%209a%20-%20Open%20public%20consultation%20summary%20report.pdf" TargetMode="External"/><Relationship Id="rId1" Type="http://schemas.openxmlformats.org/officeDocument/2006/relationships/hyperlink" Target="https://circabc.europa.eu/sd/a/3e197d56-02d3-4efd-b056-5b7d53b8e196/Evaluation%20of%20Council%20Directive%2092-83-EEC%20on%20the%20harmonisation%20of%20the%20structures%20of%20excise%20duties%20on%20alcohol%20and%20alcoholic%20beverag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AD2D-A7C3-4687-912B-F1C0F9A4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4032</Words>
  <Characters>22179</Characters>
  <Application>Microsoft Office Word</Application>
  <DocSecurity>0</DocSecurity>
  <Lines>482</Lines>
  <Paragraphs>247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2017-05-24T12:52:00Z</cp:lastPrinted>
  <dcterms:created xsi:type="dcterms:W3CDTF">2017-05-29T10:17:00Z</dcterms:created>
  <dcterms:modified xsi:type="dcterms:W3CDTF">2017-05-31T06:10:00Z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Yellow (DQC version 03)</vt:lpwstr>
  </property>
</Properties>
</file>