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630AC0" w:rsidP="000E730C">
      <w:pPr>
        <w:pStyle w:val="PS-hlavika2"/>
      </w:pPr>
      <w:r>
        <w:t>2017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DE1A29" w:rsidP="000E730C">
      <w:pPr>
        <w:pStyle w:val="PS-slousnesen"/>
      </w:pPr>
      <w:r>
        <w:t>396</w:t>
      </w:r>
      <w:r w:rsidR="00656C37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 xml:space="preserve">z </w:t>
      </w:r>
      <w:r w:rsidR="00106003">
        <w:t>67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106003">
        <w:t>1</w:t>
      </w:r>
      <w:r>
        <w:t xml:space="preserve">. </w:t>
      </w:r>
      <w:r w:rsidR="00106003">
        <w:t>června</w:t>
      </w:r>
      <w:r w:rsidR="00630AC0">
        <w:t xml:space="preserve"> 2017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Pr="00136646" w:rsidRDefault="00136646" w:rsidP="00136646">
      <w:pPr>
        <w:pStyle w:val="Bezmezer"/>
      </w:pPr>
    </w:p>
    <w:p w:rsidR="00BA00F3" w:rsidRDefault="00BA00F3" w:rsidP="00A46CDA">
      <w:pPr>
        <w:pStyle w:val="PS-uvodnodstavec"/>
      </w:pPr>
    </w:p>
    <w:p w:rsidR="00106003" w:rsidRPr="00390552" w:rsidRDefault="00106003" w:rsidP="00106003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/>
          <w:sz w:val="24"/>
          <w:szCs w:val="20"/>
          <w:lang w:eastAsia="zh-CN" w:bidi="hi-IN"/>
        </w:rPr>
        <w:t>k n</w:t>
      </w:r>
      <w:r w:rsidRPr="00390552">
        <w:rPr>
          <w:rFonts w:ascii="Times New Roman" w:eastAsia="Times New Roman" w:hAnsi="Times New Roman"/>
          <w:sz w:val="24"/>
          <w:szCs w:val="20"/>
          <w:lang w:eastAsia="zh-CN" w:bidi="hi-IN"/>
        </w:rPr>
        <w:t>ávrh</w:t>
      </w:r>
      <w:r>
        <w:rPr>
          <w:rFonts w:ascii="Times New Roman" w:eastAsia="Times New Roman" w:hAnsi="Times New Roman"/>
          <w:sz w:val="24"/>
          <w:szCs w:val="20"/>
          <w:lang w:eastAsia="zh-CN" w:bidi="hi-IN"/>
        </w:rPr>
        <w:t>u</w:t>
      </w:r>
      <w:r w:rsidRPr="00390552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 směrnice Evropského parlamentu a Rady o posílení postavení orgánů pro hospodářskou soutěž v členských státech tak, aby mohly účinněji prosazovat pravidla, a o zajištění řádného fungování vnitřního trhu /kód dokumentu 7621/17, KOM(2017) 142 v konečném znění/</w:t>
      </w:r>
    </w:p>
    <w:p w:rsidR="00BA00F3" w:rsidRDefault="00BA00F3" w:rsidP="00BA00F3">
      <w:pPr>
        <w:pStyle w:val="PS-uvodnodstavec"/>
        <w:pBdr>
          <w:bottom w:val="single" w:sz="4" w:space="1" w:color="auto"/>
        </w:pBdr>
        <w:jc w:val="center"/>
      </w:pPr>
    </w:p>
    <w:p w:rsidR="00D46ACA" w:rsidRDefault="00D46ACA" w:rsidP="00A46CDA">
      <w:pPr>
        <w:pStyle w:val="PS-uvodnodstavec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 vyslechnutí</w:t>
      </w:r>
      <w:r w:rsidR="00A93982">
        <w:t xml:space="preserve"> informace</w:t>
      </w:r>
      <w:r w:rsidR="00EB5A31">
        <w:t xml:space="preserve"> zástupce</w:t>
      </w:r>
      <w:r w:rsidR="00B038BF">
        <w:t xml:space="preserve"> předsedy Úřadu pro </w:t>
      </w:r>
      <w:r w:rsidR="00EB5A31">
        <w:t>ochranu hospodářské soutěže Petra Solského</w:t>
      </w:r>
      <w:r>
        <w:t>, po vyslechnutí zpravodajské zprávy</w:t>
      </w:r>
      <w:r w:rsidR="00A93982">
        <w:t xml:space="preserve"> posl. </w:t>
      </w:r>
      <w:r w:rsidR="00B038BF">
        <w:t xml:space="preserve">Romana Váni </w:t>
      </w:r>
      <w:r w:rsidR="00DC29E4">
        <w:t>a po rozpravě</w:t>
      </w:r>
    </w:p>
    <w:p w:rsidR="002B60B3" w:rsidRDefault="00A93982" w:rsidP="00A93982">
      <w:pPr>
        <w:pStyle w:val="PS-slovanseznam"/>
        <w:numPr>
          <w:ilvl w:val="0"/>
          <w:numId w:val="0"/>
        </w:numPr>
      </w:pPr>
      <w:r>
        <w:rPr>
          <w:rStyle w:val="proloenChar"/>
        </w:rPr>
        <w:tab/>
      </w:r>
      <w:r w:rsidRPr="00A93982">
        <w:rPr>
          <w:rStyle w:val="proloenChar"/>
          <w:b/>
        </w:rPr>
        <w:t>schvaluje</w:t>
      </w:r>
      <w:r w:rsidR="002B60B3">
        <w:t xml:space="preserve"> </w:t>
      </w:r>
      <w:r>
        <w:t>stanovisko, které je přílohou tohoto usnesení.</w:t>
      </w:r>
    </w:p>
    <w:p w:rsidR="00A93982" w:rsidRDefault="00A9398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DE1A29">
        <w:rPr>
          <w:rFonts w:ascii="Times New Roman" w:hAnsi="Times New Roman"/>
          <w:sz w:val="24"/>
        </w:rPr>
        <w:t>Jan Zahradník</w:t>
      </w:r>
      <w:r w:rsidR="00902D71">
        <w:rPr>
          <w:rFonts w:ascii="Times New Roman" w:hAnsi="Times New Roman"/>
          <w:sz w:val="24"/>
        </w:rPr>
        <w:t xml:space="preserve"> v. r.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B038BF">
        <w:rPr>
          <w:rFonts w:ascii="Times New Roman" w:hAnsi="Times New Roman"/>
          <w:sz w:val="24"/>
        </w:rPr>
        <w:t>Roman Váňa</w:t>
      </w:r>
      <w:r w:rsidRPr="00106842">
        <w:rPr>
          <w:rFonts w:ascii="Times New Roman" w:hAnsi="Times New Roman"/>
          <w:sz w:val="24"/>
        </w:rPr>
        <w:t xml:space="preserve"> </w:t>
      </w:r>
      <w:r w:rsidR="00902D71">
        <w:rPr>
          <w:rFonts w:ascii="Times New Roman" w:hAnsi="Times New Roman"/>
          <w:sz w:val="24"/>
        </w:rPr>
        <w:t>v. r.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106842" w:rsidRPr="00254049" w:rsidRDefault="00106842" w:rsidP="00106842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A93982">
        <w:rPr>
          <w:rFonts w:ascii="Times New Roman" w:hAnsi="Times New Roman"/>
          <w:sz w:val="24"/>
        </w:rPr>
        <w:t>Ondřej Benešík</w:t>
      </w:r>
      <w:r w:rsidRPr="00106842">
        <w:rPr>
          <w:rFonts w:ascii="Times New Roman" w:hAnsi="Times New Roman"/>
          <w:sz w:val="24"/>
        </w:rPr>
        <w:t xml:space="preserve"> </w:t>
      </w:r>
      <w:r w:rsidR="00902D71">
        <w:rPr>
          <w:rFonts w:ascii="Times New Roman" w:hAnsi="Times New Roman"/>
          <w:sz w:val="24"/>
        </w:rPr>
        <w:t>v. r.</w:t>
      </w:r>
    </w:p>
    <w:p w:rsidR="00106842" w:rsidRDefault="00106842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B715B6"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D066DF" w:rsidRDefault="00D066DF" w:rsidP="00D066DF">
      <w:pPr>
        <w:spacing w:after="0" w:line="240" w:lineRule="auto"/>
        <w:rPr>
          <w:rFonts w:ascii="Times New Roman" w:hAnsi="Times New Roman"/>
          <w:sz w:val="24"/>
        </w:rPr>
        <w:sectPr w:rsidR="00D066DF" w:rsidSect="000C5278">
          <w:footerReference w:type="default" r:id="rId7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3A1DF9" w:rsidRDefault="003A1DF9" w:rsidP="00D066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D066DF">
        <w:rPr>
          <w:rFonts w:ascii="Times New Roman" w:hAnsi="Times New Roman"/>
          <w:sz w:val="24"/>
        </w:rPr>
        <w:t xml:space="preserve">Příloha k usnesení č. </w:t>
      </w:r>
      <w:r w:rsidR="00DE1A29">
        <w:rPr>
          <w:rFonts w:ascii="Times New Roman" w:hAnsi="Times New Roman"/>
          <w:sz w:val="24"/>
        </w:rPr>
        <w:t>396</w:t>
      </w:r>
    </w:p>
    <w:p w:rsidR="0004695B" w:rsidRDefault="0004695B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04695B" w:rsidRPr="00230387" w:rsidRDefault="0004695B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04695B" w:rsidRPr="00FC5496" w:rsidRDefault="0004695B" w:rsidP="00FC5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496">
        <w:rPr>
          <w:rFonts w:ascii="Times New Roman" w:hAnsi="Times New Roman"/>
          <w:b/>
          <w:sz w:val="28"/>
          <w:szCs w:val="28"/>
        </w:rPr>
        <w:t>Návrh směrnice Evropského parlamentu a Rady o posílení postavení orgánů pro hospodářskou soutěž v členských státech tak, aby mohly účinněji prosazovat pravidla, a o zajištění řádného fungování vnitřního trhu</w:t>
      </w:r>
    </w:p>
    <w:p w:rsidR="00FC5496" w:rsidRDefault="00FC5496" w:rsidP="00FC5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95B" w:rsidRPr="00FC5496" w:rsidRDefault="0004695B" w:rsidP="00FC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496">
        <w:rPr>
          <w:rFonts w:ascii="Times New Roman" w:hAnsi="Times New Roman"/>
          <w:b/>
          <w:sz w:val="24"/>
          <w:szCs w:val="24"/>
        </w:rPr>
        <w:t>KOM(2017) 142 v konečném znění, kód Rady 7621/17</w:t>
      </w:r>
    </w:p>
    <w:p w:rsidR="0004695B" w:rsidRPr="00FC5496" w:rsidRDefault="0004695B" w:rsidP="00FC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496">
        <w:rPr>
          <w:rFonts w:ascii="Times New Roman" w:hAnsi="Times New Roman"/>
          <w:b/>
          <w:sz w:val="24"/>
          <w:szCs w:val="24"/>
        </w:rPr>
        <w:t>Interinstitucionální spis 2017/0063/COD</w:t>
      </w:r>
    </w:p>
    <w:p w:rsidR="0004695B" w:rsidRDefault="0004695B" w:rsidP="0004695B">
      <w:pPr>
        <w:spacing w:after="0" w:line="240" w:lineRule="auto"/>
        <w:jc w:val="both"/>
        <w:rPr>
          <w:rFonts w:ascii="Times New Roman" w:eastAsia="Times New Roman" w:hAnsi="Times New Roman"/>
          <w:caps/>
          <w:sz w:val="20"/>
          <w:szCs w:val="20"/>
          <w:lang w:eastAsia="cs-CZ"/>
        </w:rPr>
      </w:pPr>
    </w:p>
    <w:p w:rsidR="00FC5496" w:rsidRDefault="00FC5496" w:rsidP="0004695B">
      <w:pPr>
        <w:spacing w:after="0" w:line="240" w:lineRule="auto"/>
        <w:jc w:val="both"/>
        <w:rPr>
          <w:rFonts w:ascii="Times New Roman" w:eastAsia="Times New Roman" w:hAnsi="Times New Roman"/>
          <w:caps/>
          <w:sz w:val="20"/>
          <w:szCs w:val="20"/>
          <w:lang w:eastAsia="cs-CZ"/>
        </w:rPr>
      </w:pPr>
    </w:p>
    <w:p w:rsidR="00FC5496" w:rsidRPr="00230387" w:rsidRDefault="00FC5496" w:rsidP="0004695B">
      <w:pPr>
        <w:spacing w:after="0" w:line="240" w:lineRule="auto"/>
        <w:jc w:val="both"/>
        <w:rPr>
          <w:rFonts w:ascii="Times New Roman" w:eastAsia="Times New Roman" w:hAnsi="Times New Roman"/>
          <w:caps/>
          <w:sz w:val="20"/>
          <w:szCs w:val="20"/>
          <w:lang w:eastAsia="cs-CZ"/>
        </w:rPr>
      </w:pP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04695B" w:rsidRPr="00230387" w:rsidRDefault="0004695B" w:rsidP="0004695B">
      <w:pPr>
        <w:keepNext/>
        <w:keepLines/>
        <w:numPr>
          <w:ilvl w:val="0"/>
          <w:numId w:val="17"/>
        </w:numPr>
        <w:suppressAutoHyphens/>
        <w:autoSpaceDN w:val="0"/>
        <w:spacing w:after="0" w:line="254" w:lineRule="auto"/>
        <w:ind w:left="0"/>
        <w:jc w:val="both"/>
        <w:textAlignment w:val="baseline"/>
        <w:rPr>
          <w:rFonts w:ascii="Times New Roman" w:hAnsi="Times New Roman"/>
          <w:b/>
          <w:sz w:val="24"/>
        </w:rPr>
      </w:pPr>
      <w:bookmarkStart w:id="0" w:name="_Toc445380604"/>
      <w:r w:rsidRPr="00230387">
        <w:rPr>
          <w:rFonts w:ascii="Times New Roman" w:hAnsi="Times New Roman"/>
          <w:b/>
          <w:sz w:val="24"/>
        </w:rPr>
        <w:t>Právní základ:</w:t>
      </w:r>
      <w:bookmarkEnd w:id="0"/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Článek 103, 114 Smlouvy o fungování Evropské unie.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230387" w:rsidRDefault="0004695B" w:rsidP="0004695B">
      <w:pPr>
        <w:keepNext/>
        <w:keepLines/>
        <w:numPr>
          <w:ilvl w:val="0"/>
          <w:numId w:val="17"/>
        </w:numPr>
        <w:suppressAutoHyphens/>
        <w:autoSpaceDN w:val="0"/>
        <w:spacing w:after="0" w:line="254" w:lineRule="auto"/>
        <w:ind w:left="0"/>
        <w:jc w:val="both"/>
        <w:textAlignment w:val="baseline"/>
        <w:rPr>
          <w:rFonts w:ascii="Times New Roman" w:hAnsi="Times New Roman"/>
          <w:b/>
          <w:sz w:val="24"/>
        </w:rPr>
      </w:pPr>
      <w:bookmarkStart w:id="1" w:name="_Toc445380605"/>
      <w:r w:rsidRPr="00230387">
        <w:rPr>
          <w:rFonts w:ascii="Times New Roman" w:hAnsi="Times New Roman"/>
          <w:b/>
          <w:sz w:val="24"/>
        </w:rPr>
        <w:t>Datum zaslání Poslanecké sněmovně prostřednictvím VEZ:</w:t>
      </w:r>
      <w:bookmarkEnd w:id="1"/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31. 3. 2017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230387" w:rsidRDefault="0004695B" w:rsidP="0004695B">
      <w:pPr>
        <w:keepNext/>
        <w:keepLines/>
        <w:numPr>
          <w:ilvl w:val="0"/>
          <w:numId w:val="17"/>
        </w:numPr>
        <w:suppressAutoHyphens/>
        <w:autoSpaceDN w:val="0"/>
        <w:spacing w:after="0" w:line="254" w:lineRule="auto"/>
        <w:ind w:left="0"/>
        <w:jc w:val="both"/>
        <w:textAlignment w:val="baseline"/>
        <w:rPr>
          <w:rFonts w:ascii="Times New Roman" w:hAnsi="Times New Roman"/>
          <w:b/>
          <w:sz w:val="24"/>
        </w:rPr>
      </w:pPr>
      <w:bookmarkStart w:id="2" w:name="_Toc445380606"/>
      <w:r w:rsidRPr="00230387">
        <w:rPr>
          <w:rFonts w:ascii="Times New Roman" w:hAnsi="Times New Roman"/>
          <w:b/>
          <w:sz w:val="24"/>
        </w:rPr>
        <w:t>Datum projednání ve VEZ:</w:t>
      </w:r>
      <w:bookmarkEnd w:id="2"/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4. 5. 2017 (1. kolo)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230387" w:rsidRDefault="0004695B" w:rsidP="0004695B">
      <w:pPr>
        <w:keepNext/>
        <w:keepLines/>
        <w:numPr>
          <w:ilvl w:val="0"/>
          <w:numId w:val="17"/>
        </w:numPr>
        <w:suppressAutoHyphens/>
        <w:autoSpaceDN w:val="0"/>
        <w:spacing w:after="0" w:line="254" w:lineRule="auto"/>
        <w:ind w:left="0"/>
        <w:jc w:val="both"/>
        <w:textAlignment w:val="baseline"/>
        <w:rPr>
          <w:rFonts w:ascii="Times New Roman" w:hAnsi="Times New Roman"/>
          <w:b/>
          <w:sz w:val="24"/>
        </w:rPr>
      </w:pPr>
      <w:bookmarkStart w:id="3" w:name="_Toc445380607"/>
      <w:r w:rsidRPr="00230387">
        <w:rPr>
          <w:rFonts w:ascii="Times New Roman" w:hAnsi="Times New Roman"/>
          <w:b/>
          <w:sz w:val="24"/>
        </w:rPr>
        <w:t>Procedura:</w:t>
      </w:r>
      <w:bookmarkEnd w:id="3"/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Řádný legislativní postup.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230387" w:rsidRDefault="0004695B" w:rsidP="0004695B">
      <w:pPr>
        <w:keepNext/>
        <w:keepLines/>
        <w:numPr>
          <w:ilvl w:val="0"/>
          <w:numId w:val="17"/>
        </w:numPr>
        <w:suppressAutoHyphens/>
        <w:autoSpaceDN w:val="0"/>
        <w:spacing w:after="0" w:line="254" w:lineRule="auto"/>
        <w:ind w:left="0"/>
        <w:jc w:val="both"/>
        <w:textAlignment w:val="baseline"/>
        <w:rPr>
          <w:rFonts w:ascii="Times New Roman" w:hAnsi="Times New Roman"/>
          <w:b/>
          <w:sz w:val="24"/>
        </w:rPr>
      </w:pPr>
      <w:bookmarkStart w:id="4" w:name="_Toc445380608"/>
      <w:r w:rsidRPr="00230387">
        <w:rPr>
          <w:rFonts w:ascii="Times New Roman" w:hAnsi="Times New Roman"/>
          <w:b/>
          <w:sz w:val="24"/>
        </w:rPr>
        <w:t>Předběžné stanovisko vlády (dle § 109a odst. 1 jednacího řádu PS):</w:t>
      </w:r>
      <w:bookmarkEnd w:id="4"/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Datované dnem 29. května 2017</w:t>
      </w:r>
      <w:r w:rsidR="00DE1A29">
        <w:rPr>
          <w:rFonts w:ascii="Times New Roman" w:hAnsi="Times New Roman"/>
          <w:sz w:val="24"/>
        </w:rPr>
        <w:t>.</w:t>
      </w:r>
      <w:r w:rsidRPr="00230387">
        <w:rPr>
          <w:rFonts w:ascii="Times New Roman" w:hAnsi="Times New Roman"/>
          <w:sz w:val="24"/>
        </w:rPr>
        <w:t xml:space="preserve"> 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FC5496" w:rsidRDefault="0004695B" w:rsidP="00FC5496">
      <w:pPr>
        <w:pStyle w:val="Odstavecseseznamem"/>
        <w:numPr>
          <w:ilvl w:val="0"/>
          <w:numId w:val="17"/>
        </w:numPr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bookmarkStart w:id="5" w:name="_Toc445380609"/>
      <w:bookmarkStart w:id="6" w:name="_Toc448302188"/>
      <w:r w:rsidRPr="00FC5496">
        <w:rPr>
          <w:rFonts w:ascii="Times New Roman" w:eastAsia="Times New Roman" w:hAnsi="Times New Roman"/>
          <w:b/>
          <w:sz w:val="24"/>
          <w:szCs w:val="20"/>
          <w:lang w:eastAsia="cs-CZ"/>
        </w:rPr>
        <w:t>Hodnocení z hlediska principu</w:t>
      </w:r>
      <w:r w:rsidRPr="00FC5496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FC5496">
        <w:rPr>
          <w:rFonts w:ascii="Times New Roman" w:eastAsia="Times New Roman" w:hAnsi="Times New Roman"/>
          <w:b/>
          <w:sz w:val="24"/>
          <w:szCs w:val="20"/>
          <w:lang w:eastAsia="cs-CZ"/>
        </w:rPr>
        <w:t>subsidiarity:</w:t>
      </w:r>
      <w:bookmarkEnd w:id="5"/>
      <w:bookmarkEnd w:id="6"/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Návrh je v souladu s principem subsidiarity.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FC5496" w:rsidRDefault="0004695B" w:rsidP="00FC5496">
      <w:pPr>
        <w:pStyle w:val="Odstavecseseznamem"/>
        <w:numPr>
          <w:ilvl w:val="0"/>
          <w:numId w:val="17"/>
        </w:numPr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bookmarkStart w:id="7" w:name="_Toc445380610"/>
      <w:bookmarkStart w:id="8" w:name="_Toc448302189"/>
      <w:r w:rsidRPr="00FC5496">
        <w:rPr>
          <w:rFonts w:ascii="Times New Roman" w:eastAsia="Times New Roman" w:hAnsi="Times New Roman"/>
          <w:b/>
          <w:sz w:val="24"/>
          <w:szCs w:val="20"/>
          <w:lang w:eastAsia="cs-CZ"/>
        </w:rPr>
        <w:t>Odůvodnění a předmět:</w:t>
      </w:r>
      <w:bookmarkEnd w:id="7"/>
      <w:bookmarkEnd w:id="8"/>
    </w:p>
    <w:p w:rsidR="0004695B" w:rsidRPr="00230387" w:rsidRDefault="0004695B" w:rsidP="00FC549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je součástí pracovního programu Komise na rok 2017. Jeho cílem je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posílení postavení vnitrostátních orgánů pro hospodářskou soutěž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tak, aby mohly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účinněji prosazovat pravidla EU v oblasti hospodářské soutěže.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Směrnice obsahuje návrhy opatření, jejichž cílem je zajistit, že vnitrostátní orgány pro hospodářskou soutěž mají k dispozici potřebné záruky nezávislosti a zdroje k prosazování práva EU. 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má mimo jiné také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usnadnit vzájemnou pomoc a spolupráci mezi vnitrostátními orgány pro hospodářskou soutěž v rámci Evropské sítě pro hospodářskou soutěž (ECN).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Vnitrostátní orgány pro hospodářskou soutěž jsou od roku 2004 zmocněny nařízením Rady (ES) č. 1/2003 k uplatňování pravidel EU v oblasti hospodářské soutěže spolu s Komisí. Vzhledem k tomu, že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vnitrostátní orgány pro hospodářskou soutěž uplatňují i vnitrostátní právní předpisy v případech, kdy je jejich použití souběžné s články 101 a 102 SFEU</w:t>
      </w:r>
      <w:r w:rsidRPr="00230387">
        <w:rPr>
          <w:rFonts w:ascii="Times New Roman" w:eastAsia="Times New Roman" w:hAnsi="Times New Roman"/>
          <w:sz w:val="23"/>
          <w:szCs w:val="23"/>
          <w:u w:val="single"/>
          <w:vertAlign w:val="superscript"/>
          <w:lang w:eastAsia="cs-CZ"/>
        </w:rPr>
        <w:footnoteReference w:id="1"/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, bude mít návrh směrnice dopad i na dotčené vnitrostátní předpisy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. Pro tyto vnitrostátní právní předpisy musí být zavedeny stejné záruky a nástroje, jako v případě práva EU za účelem zajištění právní jistoty a rovných podmínek.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 xml:space="preserve">Evropská komise dospěla při vyhodnocení zkušeností při prosazování práva, které získávala v rámci ECN od roku 2004, k závěru, že články 101 a 102 SFEU jsou v Evropě prosazovány rozdílným způsobem, což narušuje hospodářskou soutěž na vnitřním trhu. 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S tím souvisí skutečnost, že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mnoho orgánů pro hospodářskou soutěž nemá veškeré prostředky a nástroje, jež jsou zapotřebí k účinnému prosazování článků 101 a 102 SFEU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. Komise v důvodové zprávě uvádí, že se tyto orgány potýkají např. s nedostatkem lidských a finančních zdrojů, neexistencí klíčových vyšetřovacích pravomocí, rozdílech v programech shovívavosti apod. Důsledkem je, že v řízeních vedených proti podnikům, které se dopouštějí praktik narušujících hospodářskou soutěž, může být napříč členskými státy dosaženo různých výsledků. Nestejné prosazování článků 101 a 102 SFEU v EU přitom narušuje hospodářskou soutěž na vnitřním trhu a oslabuje jeho řádné fungování.</w:t>
      </w:r>
    </w:p>
    <w:p w:rsidR="0004695B" w:rsidRPr="00FC5496" w:rsidRDefault="0004695B" w:rsidP="00FC5496">
      <w:pPr>
        <w:pStyle w:val="Odstavecseseznamem"/>
        <w:numPr>
          <w:ilvl w:val="0"/>
          <w:numId w:val="17"/>
        </w:numPr>
        <w:spacing w:before="240"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bookmarkStart w:id="9" w:name="_Toc445380611"/>
      <w:bookmarkStart w:id="10" w:name="_Toc448302190"/>
      <w:r w:rsidRPr="00FC5496">
        <w:rPr>
          <w:rFonts w:ascii="Times New Roman" w:eastAsia="Times New Roman" w:hAnsi="Times New Roman"/>
          <w:b/>
          <w:sz w:val="24"/>
          <w:szCs w:val="20"/>
          <w:lang w:eastAsia="cs-CZ"/>
        </w:rPr>
        <w:t>Obsah a dopad:</w:t>
      </w:r>
      <w:bookmarkEnd w:id="9"/>
      <w:bookmarkEnd w:id="10"/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Návrh směrnice obsahuje 10 kapitol a 34 článků.</w:t>
      </w: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I – Předmět, oblast působnosti a definice</w:t>
      </w: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V této kapitole návrhu směrnice je vymezena oblast působnosti a hlavní pojmy použité v návrhu.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Použité definice zohledňují definice použité v nařízení (ES) č. 1/2003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vertAlign w:val="superscript"/>
          <w:lang w:eastAsia="cs-CZ"/>
        </w:rPr>
        <w:footnoteReference w:id="2"/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 xml:space="preserve"> a směrnici 2014/104/EU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vertAlign w:val="superscript"/>
          <w:lang w:eastAsia="cs-CZ"/>
        </w:rPr>
        <w:footnoteReference w:id="3"/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 xml:space="preserve">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o náhradě škody v případě porušení pravidel hospodářské soutěže.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II - Základní práva</w:t>
      </w: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členským státům ukládá, aby zajistily, že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při výkonu pravomocí uvedených v návrhu směrnice ze strany vnitrostátních orgánů pro hospodářskou soutěž budou poskytnuty vhodné záruky v oblasti dodržování základních práv (např. pokud se jedná o právo podniků na obhajobu a právo na účinné prostředky nápravy před soudem).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Tyto záruky musí odpovídat přinejmenším standardům Listiny základních práv Evropské unie a obecným zásadám práva EU.</w:t>
      </w: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III – Nezávislost a zdroje</w:t>
      </w:r>
    </w:p>
    <w:p w:rsidR="0004695B" w:rsidRPr="00230387" w:rsidRDefault="0004695B" w:rsidP="000469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Tato kapitola návrhu směrnice má za cíl zavedení potřebných záruk nezávislosti pro vnitrostátní orgány pro hospodářskou soutěž, jež mají zajišťovat ochranu jejich zaměstnanců a vedoucích pracovníků před vnějšími vlivy při prosazování práva hospodářské soutěže EU. Konkrétně se jedná o následující záruky:</w:t>
      </w:r>
    </w:p>
    <w:p w:rsidR="0004695B" w:rsidRPr="00230387" w:rsidRDefault="0004695B" w:rsidP="0004695B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0469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Zajištění možnosti plnění povinností vnitrostátních orgánů pro hospodářskou soutěž a výkonu jejich pravomocí nezávisle na politických či jiných vnějších vlivech;</w:t>
      </w:r>
    </w:p>
    <w:p w:rsidR="0004695B" w:rsidRPr="00230387" w:rsidRDefault="0004695B" w:rsidP="000469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t>Výslovné vyloučení pokynů vlády či jiného veřejného nebo soukromého subjektu;</w:t>
      </w:r>
    </w:p>
    <w:p w:rsidR="0004695B" w:rsidRPr="00230387" w:rsidRDefault="0004695B" w:rsidP="000469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t>Zajištění zdržení se jakéhokoli jednání ze strany zaměstnanců vnitrostátních orgánů pro hospodářskou soutěž, které není slučitelné s plněním jejich povinností a výkonem jejich pravomocí;</w:t>
      </w:r>
    </w:p>
    <w:p w:rsidR="0004695B" w:rsidRPr="00230387" w:rsidRDefault="0004695B" w:rsidP="000469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t>Zákaz propouštění vedoucích pracovníků z důvodů souvisejících s rozhodováním v určitých věcech;</w:t>
      </w:r>
    </w:p>
    <w:p w:rsidR="0004695B" w:rsidRPr="00230387" w:rsidRDefault="0004695B" w:rsidP="000469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lastRenderedPageBreak/>
        <w:t>Zajištěním pravomoci stanovit své priority v jednotlivých případech, včetně pravomoci zamítnout stížnost z důvodu priority.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Návrh směrnice v této kapitole výslovně požaduje, aby členské státy vnitrostátním orgánům pro hospodářskou soutěž zajistily dostatečné lidské, finanční a technické zdroje, které jsou nezbytné pro plnění hlavních úkolů podle článků 101 a 102 SFEU.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IV – Pravomoci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V současnosti se výrazně liší rozsah vyšetřovacích a rozhodovacích pravomocí vnitrostátních orgánů pro hospodářskou soutěž. Systém pravomocí vnitrostátní orgánů pro hospodářskou soutěž je nepřehledný a mnoho z nich nemá veškeré potřebné pravomoci. Lišící se rozsah vyšetřovacích a rozhodovacích pravomocí však podle důvodové zprávy k návrhu směrnice může mít negativní dopad na jejich účinnost.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Z výše uvedených důvodů stanoví návrh směrnice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soubor minimálních základních pravomocí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, které by měly mít k dispozici vnitrostátní orgány pro hospodářskou soutěž. Jedná se o základní účinné pravomoci: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0469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K provádění šetření (pravomoc kontrolovat podnikatelské a nepodnikatelské prostory a vydávat žádosti o informace);</w:t>
      </w:r>
    </w:p>
    <w:p w:rsidR="0004695B" w:rsidRPr="00230387" w:rsidRDefault="0004695B" w:rsidP="000469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K přijímání rozhodnutí (pravomoc přijímat rozhodnutí o zákazu včetně pravomoci uložit strukturální nápravná opatření a nápravná opatření z hlediska tržního chování, rozhodnutí o závazcích a předběžná opatření);</w:t>
      </w:r>
    </w:p>
    <w:p w:rsidR="0004695B" w:rsidRPr="00230387" w:rsidRDefault="0004695B" w:rsidP="00FC5496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Návrh směrnice dále stanovuje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účinné sankce v případě nedodržení práva hospodářské soutěže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, které by měly být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vypočítány v poměru k celkovému obratu podniku,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 s tím, že členské státy budou moci postupovat pružně ve vztahu k jejich uplatňování (nebudou stanoveny konkrétní procentní podíly pro výši sankce).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V – Pokuty a penále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Návrh směrnice ukládá členským státům zajistit, aby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vnitrostátní orgány pro hospodářskou soutěž měly pravomoc přijímat rozhodnutí o uložení pokuty buď přímo, nebo soudem v jiném, než trestněprávním soudním řízení.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Maximální výše pokuty, kterou lze za porušování práva hospodářské soutěže uložit, by neměla být nižší, než 10% celosvětového obratu dotčeného podniku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a vnitrostátní orgány pro hospodářskou soutěž by při ukládání pokut měly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zohledňovat závažnost a dobu trvání porušování práva hospodářské soutěže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Je-li ukládána pokuta sdružení podniků, měl by být zohledněn obrat jeho členů. Pokud sdružení podniků samo není platby schopné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pak návrh směrnice předpokládá, že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sdružení bude povinno požadovat příspěvky na pokrytí pokuty od svých členů.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Vnitrostátní orgány pro hospodářskou soutěž by zásadně měly mít pravomoc požadovat uhrazení zbývající částky pokuty od všech podniků, jejichž zástupci byli členy rozhodovacích orgánů sdružení.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Pokuta by nově mohla být uložena „podniku“,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přičemž pojem podnik je definován v judikatuře Soudního dvora Evropské unie (dále také jen „SDEU“). Tento způsob ukládání pokut by zaručil, že za protiprávní jednání, které je v rozporu s právem hospodářské soutěže, by mohly být odpovědné i mateřské společnosti dceřiných společností, které se jej dopustily, nebo jejich právní či hospodářský nástupce. Podle návrhu směrnice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 xml:space="preserve">by se tedy pojem „podnik“ za účelem ukládání pokut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lastRenderedPageBreak/>
        <w:t>vztahoval i na mateřské společnosti a právní a hospodářské nástupce společností, jež se dopustily protiprávního jednání, a pokuta by tak mohla být uložena i těmto subjektům.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také členským státům ukládá, aby vnitrostátním orgánům pro hospodářskou soutěž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umožnily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 xml:space="preserve">uložit 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podnikům rozhodnutím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penále stanovené poměrem k jejich celkovému dennímu obratu za tím účelem, aby se podrobily kontrole, poskytly informace nebo dodržely rozhodnutí.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VI – Shovívavost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členským státům ukládá zajistit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zavedení programů shovívavosti, které umožňují přiznat podnikům ochranu před pokutami nebo snížení pokut,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a stanoví podmínky, za kterých je možné tyto programy shovívavosti využít. Cílem je umožnit všem vnitrostátním orgánům pro hospodářskou soutěž přiznat podnikům ochranu před pokutami nebo snížení pokut za stejných podmínek.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Podnik, který má zájem požádat o ochranu před pokutami, by měl mít podle návrhu směrnice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možnost požádat vnitrostátní orgány pro hospodářskou soutěž o rezervaci pořadí.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Tato rezervace pořadí by podnikům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umožnila shromáždit informace a důkazy potřebné ke splnění příslušných důkazních kritérií pro ochranu před pokutami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. Dobu, po kterou by se žadateli přiznávalo určité místo v pořadí, by určovaly vnitrostátní orgány pro hospodářskou soutěž v každém jednotlivém případě.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také umožňuje, aby žadatelé o shovívavost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mohli podat vnitrostátním orgánům pro hospodářskou soutěž v souvislosti s týmž kartelem zjednodušené žádosti, pokud již předtím požádali o shovívavost Komisi podáním úplné žádosti.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řeší mimo jiné i otázku vztahu mezi programy shovívavosti a sankcemi ukládanými fyzickým osobám.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Stávající a bývalí zaměstnanci a ředitelé podniků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které žádají o ochranu v rámci programu shovívavosti,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jsou chráněni před trestními a správními sankcemi a sankcemi ukládanými v jiném než trestním soudním řízení za účast v tajném kartelu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jehož se žádost týká. Podmínkou však je, že tito zaměstnanci a ředitelé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aktivně spolupracují s orgány pro hospodářskou soutěž.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VII – Vzájemná pomoc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Návrh směrnice členským státům ukládá zajistit, aby se v případě, že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vnitrostátní správní orgány pro hospodářskou soutěž provádějí kontrolu jménem a na účet jiných vnitrostátních orgánů pro hospodářskou soutěž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mohli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úředníci a ostatní doprovázející osoby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zmocněné dožadujícím vnitrostátním orgánem pro hospodářskou soutěž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účastnit této kontroly a aktivně při ní napomáhat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se zabývá i žádostmi o oznámení předběžných námitek a rozhodnutí, kdy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dožádaný orgán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na žádost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oznámí adresátovi námitky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žádajícího orgánu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vůči údajnému porušení článku 101 nebo článku 102 SFEU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stejně tak jako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rozhodnutí uplatňující tyto články a dokumenty související s výkonem rozhodnutí, jímž se ukládají pokuty nebo penále.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Vnitrostátní orgán pro hospodářskou soutěž může požádat jiný vnitrostátní orgán pro hospodářskou soutěž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aby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vykonal jeho rozhodnutí, jímž ukládá pokuty nebo penále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pokud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podnik povinný k zaplacení pokuty nebo penále nemá právní přítomnost v členském státě žádajícího orgánu nebo zde zjevně nemá dostatečný majetek.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VIII – Promlčení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Návrh směrnice stanoví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pozastavení běhu promlčecích lhůt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platných pro ostatní vnitrostátní orgány pro hospodářskou soutěž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po dobu průběhu řízení zahájeného ve stejné věci u Komise nebo u jiného vnitrostátního orgánu pro hospodářskou soutěž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. Tímto způsobem není ostatním vnitrostátním 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>orgánům pro hospodářskou soutěž bráněno v přijetí následných opatření, neboť jim v důsledku řízení probíhajícího před Komisí nebo jiným vnitrostátním orgánem pro hospodářskou soutěž neuplyne promlčecí lhůta.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  <w:r w:rsidRPr="00230387"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  <w:t>Kapitola IX – Obecná ustanovení</w:t>
      </w:r>
    </w:p>
    <w:p w:rsidR="0004695B" w:rsidRPr="00230387" w:rsidRDefault="0004695B" w:rsidP="00FC549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cs-CZ"/>
        </w:rPr>
      </w:pPr>
    </w:p>
    <w:p w:rsidR="0004695B" w:rsidRPr="00230387" w:rsidRDefault="0004695B" w:rsidP="00547463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Návrh směrnice se mimo jiné zabývá úlohou vnitrostátních správních orgánů pro hospodářskou soutěž u vnitrostátních soudů. Členským státům v tomto směru ukládá zajistit, aby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vnitrostátní orgán pro hospodářskou soutěž mohl přímo podat žalobu vnitrostátnímu justičnímu orgánu pro hospodářskou soutěž.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 Účelem této navrhované právní úpravy je poskytnout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vnitrostátním orgánům pro hospodářskou soutěž možnost předložit své případy soudům nebo je hájit u soudů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, neboť jsou to právě ony, kdo mohou vysvětlit obsah svých rozhodnutí. Tímto způsobem mají být také šetřeny náklady a úsilí spojené s obhajobou relevantních případů jiným subjektem.</w:t>
      </w:r>
    </w:p>
    <w:p w:rsidR="0004695B" w:rsidRPr="00230387" w:rsidRDefault="0004695B" w:rsidP="00547463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547463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Tato kapitola návrhu směrnice dále obsahuje omezení týkající se používání informací shromážděných při vyšetřováních prováděných na základě návrhu směrnice, přičemž:</w:t>
      </w:r>
    </w:p>
    <w:p w:rsidR="0004695B" w:rsidRPr="00230387" w:rsidRDefault="0004695B" w:rsidP="00547463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</w:p>
    <w:p w:rsidR="0004695B" w:rsidRPr="00230387" w:rsidRDefault="0004695B" w:rsidP="000469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Tyto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informace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 mohou být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použity pouze k účelu, k němuž byly získány, a neměly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 by se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použít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 při dokazování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za účelem uložení sankcí fyzickým osobám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;</w:t>
      </w:r>
    </w:p>
    <w:p w:rsidR="0004695B" w:rsidRPr="00230387" w:rsidRDefault="0004695B" w:rsidP="000469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Do doby, kdy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 xml:space="preserve"> vnitrostátní orgán pro hospodářskou soutěž ukončí řízení se všemi vyšetřovanými stranami přijetím rozhodnutí nebo jiným způsobem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, nesmějí být v rámci řízení před vnitrostátními soudy použity následující kategorie informací získaných u vnitrostátního orgánu pro hospodářskou soutěž:</w:t>
      </w:r>
    </w:p>
    <w:p w:rsidR="0004695B" w:rsidRPr="00230387" w:rsidRDefault="0004695B" w:rsidP="0004695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Informace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, které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vypracovala jiná fyzická nebo právnická osoba výhradně pro řízení vedené vnitrostátním orgánem pro hospodářskou soutěž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, a </w:t>
      </w:r>
    </w:p>
    <w:p w:rsidR="0004695B" w:rsidRPr="00230387" w:rsidRDefault="0004695B" w:rsidP="0004695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Informace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, které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vnitrostátní orgán pro hospodářskou soutěž vypracoval a zaslal stranám v průběhu svého řízení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.</w:t>
      </w:r>
    </w:p>
    <w:p w:rsidR="0004695B" w:rsidRPr="00230387" w:rsidRDefault="0004695B" w:rsidP="000469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Prohlášení v rámci programu shovívavosti si vnitrostátní orgány pro hospodářskou soutěž mohou vyměňovat pouze: </w:t>
      </w:r>
    </w:p>
    <w:p w:rsidR="0004695B" w:rsidRPr="00230387" w:rsidRDefault="0004695B" w:rsidP="0004695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Se souhlasem žadatele o shovívavost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>;</w:t>
      </w:r>
    </w:p>
    <w:p w:rsidR="0004695B" w:rsidRPr="00230387" w:rsidRDefault="0004695B" w:rsidP="0004695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Pokud přijímající vnitrostátní orgán pro hospodářskou soutěž </w:t>
      </w:r>
      <w:r w:rsidRPr="00230387">
        <w:rPr>
          <w:rFonts w:ascii="Times New Roman" w:eastAsia="Times New Roman" w:hAnsi="Times New Roman"/>
          <w:bCs/>
          <w:sz w:val="23"/>
          <w:szCs w:val="23"/>
          <w:u w:val="single"/>
          <w:lang w:eastAsia="cs-CZ"/>
        </w:rPr>
        <w:t>rovněž obdržel žádost o shovívavost</w:t>
      </w:r>
      <w:r w:rsidRPr="00230387">
        <w:rPr>
          <w:rFonts w:ascii="Times New Roman" w:eastAsia="Times New Roman" w:hAnsi="Times New Roman"/>
          <w:bCs/>
          <w:sz w:val="23"/>
          <w:szCs w:val="23"/>
          <w:lang w:eastAsia="cs-CZ"/>
        </w:rPr>
        <w:t xml:space="preserve"> 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v souvislosti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s týmž protiprávním jednáním od téhož žadatele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;</w:t>
      </w:r>
    </w:p>
    <w:p w:rsidR="0004695B" w:rsidRPr="00230387" w:rsidRDefault="0004695B" w:rsidP="0004695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cs-CZ"/>
        </w:rPr>
      </w:pP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Jestliže přijímající vnitrostátní orgán pro hospodářskou soutěž poskytl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písemný závazek, že informace, které mu byly předány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, ani jakékoliv jiné informace, které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případně získá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 xml:space="preserve"> po datu a okamžiku předání zaznamenaném předávajícím orgánem, </w:t>
      </w:r>
      <w:r w:rsidRPr="00230387">
        <w:rPr>
          <w:rFonts w:ascii="Times New Roman" w:eastAsia="Times New Roman" w:hAnsi="Times New Roman"/>
          <w:sz w:val="23"/>
          <w:szCs w:val="23"/>
          <w:u w:val="single"/>
          <w:lang w:eastAsia="cs-CZ"/>
        </w:rPr>
        <w:t>nepoužije on sám ani jiný orgán, jemuž budou tyto informace následně předány za účelem uložení sankcí</w:t>
      </w:r>
      <w:r w:rsidRPr="00230387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04695B" w:rsidRPr="00547463" w:rsidRDefault="0004695B" w:rsidP="00547463">
      <w:pPr>
        <w:pStyle w:val="Odstavecseseznamem"/>
        <w:numPr>
          <w:ilvl w:val="0"/>
          <w:numId w:val="17"/>
        </w:numPr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bookmarkStart w:id="11" w:name="_Toc445380612"/>
      <w:bookmarkStart w:id="12" w:name="_Toc448302191"/>
      <w:r w:rsidRPr="00547463">
        <w:rPr>
          <w:rFonts w:ascii="Times New Roman" w:eastAsia="Times New Roman" w:hAnsi="Times New Roman"/>
          <w:b/>
          <w:sz w:val="24"/>
          <w:szCs w:val="20"/>
          <w:lang w:eastAsia="cs-CZ"/>
        </w:rPr>
        <w:t>Stanovisko vlády ČR:</w:t>
      </w:r>
      <w:bookmarkEnd w:id="11"/>
      <w:bookmarkEnd w:id="12"/>
    </w:p>
    <w:p w:rsidR="0004695B" w:rsidRPr="00230387" w:rsidRDefault="0004695B" w:rsidP="005474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Vláda ČR je vzhledem k potřebě posílení pravomocí vnitrostátních orgánů pro hospodářskou soutěž ochotna spolupracovat na vyjednávání textu směrnice. Značná část institutů obsažených v návrhu směrnice je však již nyní součástí naší právní úpravy.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Pokud se jedná o definice použité v návrhu směrnice, vláda ČR předpokládá spory např. u pojmu tzv. tajných kartelů („secret cartel“) nebo ohledně možnosti návrhu na narovnání nejen podle čl. 101, ale i podle čl. 102 SFEU.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>Pokud se jedná o možnost ochrany proti postupu orgánů před soudem, ČR má již zajištěn dostatečný a fungující systém soudní ochrany týkající se postupu a rozhodování ve správním řízení, a to jednak v rámci správního řízení, jednak následně v rámci správního soudnictví.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 xml:space="preserve">V oblasti zajištění nezávislosti a ochrany vedoucích pracovníků i zaměstnanců vnitrostátních orgánů pro hospodářskou soutěž je dle názoru vlády ČR nutno vyjasnit např. účel čl. 4 odst. 2 </w:t>
      </w: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>písm. c) návrhu směrnice a jeho případný výklad jako plošného zavedení konkurenčních doložek pro zaměstnance orgánů pro hospodářskou soutěž.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Návrh směrnice počítá mimo jiné i s tím, že orgány pro ochranu hospodářské soutěže budou mít možnost požádat při provádění neohlášených kontrol o pomoc policie nebo jiného rovnocenného orgánu (i jako zajišťovací opatření). Podle české právní úpravy je sice možno přizvat policejní orgány, které ale nemají možnost úředně sjednat přístup do dotčených prostor. Z tohoto důvodu by eventuálně přicházela v úvahu novelizace zákona o policii ČR.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Pokud se jedná o požadavek zajistit pravomoc kontrolovat veškeré prostory i pro „ostatní doprovázející osoby“, je podle názoru vlády ČR třeba vyjasnit, zda tento pojem zahrnuje i přítomnost zástupců orgánů pro hospodářskou soutěž z jiných členských států ve smyslu čl. 23 návrhu směrnice.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U pravomocí orgánů pro hospodářskou soutěž žádat o informace bude dle stanoviska vlády ČR třeba požadovat, aby byl vysvětlen nebo upraven čl. 8 návrhu směrnice, podle kterého by orgány pro hospodářskou soutěž měly žádat o informace formou rozhodnutí. Ze stávající české právní úpravy nevyplývá požadavek žádat o informace pouze formou rozhodnutí a vláda ČR jej především ve fázi předběžného šetření neshledává praktickým.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Ve vztahu k ukládání pokut za zaviněné porušení čl. 101 a 102 SFEU vláda ČR zdůrazňuje, že pokuty za porušení zákazů nebo neplnění opatření podle českého zákona o ochraně hospodářské soutěže již nejsou vázány na subjektivní složku (zavinění).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U úkonů vzájemné pomoci orgánů pro hospodářskou soutěž je podle stanoviska vlády třeba vyjasnit formu a jazyk těchto úkonů a případně i úhradu nákladů na překlad.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Návrh směrnice mimo jiné stanoví i povinnost dožádaného vnitrostátního orgánu vykonat rozhodnutí žádajícího orgánu jiného členského státu, jímž se ukládají pokuty či penále. Ve smyslu daňového řádu však v ČR vybírá pokuty uložené Úřadem pro ochranu hospodářské soutěže (ÚHOS) celní správa, a proto ÚHOS nemůže sám vykonat rozhodnutí o uložení peněžité sankce.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Podle návrhu směrnice mají členské státy zajistit pozastavení běhu promlčecích lhůt pro uložení pokut po dobu, kdy probíhá řízení u jiných vnitrostátních orgánů pro hospodářskou soutěž nebo Komise. V českém právní řádu je obsažen pouze institut lhůt pro zahájení řízení, a ne pro uložení pokut. Tento požadavek bude proto nezbytné vyjasnit včetně toho, jak by fungoval např. systém informování.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Návrh směrnice obsahuje mimo jiné požadavek, aby informace shromážděné na základě institutů v něm obsažených nesloužily k ukládání sankcí fyzickým osobám. V ČR je tato problematika řešena prostřednictvím ustanovení o účinné lítosti pro osoby spolupracující na základě programu shovívavosti. Jinak platí oznamovací povinnost ve smyslu trestního řádu, a je proto nezbytné vyjasnit, zda se navrhovaná ustanovení nedostávají s touto právní úpravou do konfliktu.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  <w:r w:rsidRPr="00230387"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  <w:t>Dopad na rozpočet a právní řád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30387">
        <w:rPr>
          <w:rFonts w:ascii="Times New Roman" w:eastAsia="Times New Roman" w:hAnsi="Times New Roman"/>
          <w:sz w:val="24"/>
          <w:szCs w:val="20"/>
          <w:lang w:eastAsia="cs-CZ"/>
        </w:rPr>
        <w:t>Návrh směrnice může v závislosti na jeho výsledné podobě vyžadovat změny zákona o hospodářské soutěži, daňového řádu a zákona o Policii ČR. V tuto chvíli nejsou známy dopady na státní rozpočet.</w:t>
      </w: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4695B" w:rsidRPr="00547463" w:rsidRDefault="0004695B" w:rsidP="00547463">
      <w:pPr>
        <w:pStyle w:val="Odstavecseseznamem"/>
        <w:numPr>
          <w:ilvl w:val="0"/>
          <w:numId w:val="17"/>
        </w:numPr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bookmarkStart w:id="13" w:name="_Toc445380613"/>
      <w:bookmarkStart w:id="14" w:name="_Toc448302192"/>
      <w:r w:rsidRPr="00547463">
        <w:rPr>
          <w:rFonts w:ascii="Times New Roman" w:eastAsia="Times New Roman" w:hAnsi="Times New Roman"/>
          <w:b/>
          <w:sz w:val="24"/>
          <w:szCs w:val="20"/>
          <w:lang w:eastAsia="cs-CZ"/>
        </w:rPr>
        <w:t>Předpokládaný harmonogram projednávání v orgánech EU:</w:t>
      </w:r>
      <w:bookmarkEnd w:id="13"/>
      <w:bookmarkEnd w:id="14"/>
    </w:p>
    <w:p w:rsidR="0004695B" w:rsidRPr="00230387" w:rsidRDefault="0004695B" w:rsidP="005474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Pr="00230387" w:rsidRDefault="0004695B" w:rsidP="0004695B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30387">
        <w:rPr>
          <w:rFonts w:ascii="Times New Roman" w:hAnsi="Times New Roman"/>
          <w:sz w:val="24"/>
        </w:rPr>
        <w:t xml:space="preserve">V Evropském parlamentu byl návrh směrnice dne 26. dubna 2017 přidělen příslušnému výboru, kterým je výbor pro hospodářství a měnu (ECON). O stanovisko byly požádány i některé další </w:t>
      </w:r>
      <w:r w:rsidRPr="00230387">
        <w:rPr>
          <w:rFonts w:ascii="Times New Roman" w:hAnsi="Times New Roman"/>
          <w:sz w:val="24"/>
        </w:rPr>
        <w:lastRenderedPageBreak/>
        <w:t>výbory (ITRE, IMCO a JURI). Další harmonogram projednávání návrhu směrnice v orgánech EU prozatím není znám.</w:t>
      </w:r>
    </w:p>
    <w:p w:rsidR="0004695B" w:rsidRPr="00547463" w:rsidRDefault="0004695B" w:rsidP="00547463">
      <w:pPr>
        <w:pStyle w:val="Odstavecseseznamem"/>
        <w:numPr>
          <w:ilvl w:val="0"/>
          <w:numId w:val="17"/>
        </w:numPr>
        <w:spacing w:before="240"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bookmarkStart w:id="15" w:name="_Toc445380614"/>
      <w:bookmarkStart w:id="16" w:name="_Toc448302193"/>
      <w:r w:rsidRPr="00547463">
        <w:rPr>
          <w:rFonts w:ascii="Times New Roman" w:eastAsia="Times New Roman" w:hAnsi="Times New Roman"/>
          <w:b/>
          <w:sz w:val="24"/>
          <w:szCs w:val="20"/>
          <w:lang w:eastAsia="cs-CZ"/>
        </w:rPr>
        <w:t>Závěr:</w:t>
      </w:r>
      <w:bookmarkEnd w:id="15"/>
      <w:bookmarkEnd w:id="16"/>
    </w:p>
    <w:p w:rsidR="0004695B" w:rsidRPr="00547463" w:rsidRDefault="0004695B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4695B" w:rsidRPr="00547463" w:rsidRDefault="0004695B" w:rsidP="00547463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47463">
        <w:rPr>
          <w:rFonts w:ascii="Times New Roman" w:hAnsi="Times New Roman"/>
          <w:iCs/>
          <w:sz w:val="24"/>
        </w:rPr>
        <w:t>Výbor pro evropské záležitosti</w:t>
      </w:r>
    </w:p>
    <w:p w:rsidR="0004695B" w:rsidRPr="00547463" w:rsidRDefault="0004695B" w:rsidP="005474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95B" w:rsidRDefault="00547463" w:rsidP="0054746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60"/>
          <w:sz w:val="24"/>
        </w:rPr>
        <w:t>b</w:t>
      </w:r>
      <w:r w:rsidR="0004695B" w:rsidRPr="00547463">
        <w:rPr>
          <w:rFonts w:ascii="Times New Roman" w:hAnsi="Times New Roman"/>
          <w:b/>
          <w:spacing w:val="60"/>
          <w:sz w:val="24"/>
        </w:rPr>
        <w:t xml:space="preserve">ere na vědomí </w:t>
      </w:r>
      <w:r w:rsidR="0004695B" w:rsidRPr="00547463">
        <w:rPr>
          <w:rFonts w:ascii="Times New Roman" w:hAnsi="Times New Roman"/>
          <w:sz w:val="24"/>
        </w:rPr>
        <w:t>návrh směrnice Evropského parlamentu a Rady o posílení postavení orgánů pro hospodářskou soutěž v členských státech tak, aby mohly účinněji prosazovat pravidla, a o zajištění řádného fungování vnitřního trhu, KOM(2017) 142 v konečném znění, kód Rady 7621/17;</w:t>
      </w:r>
    </w:p>
    <w:p w:rsidR="00547463" w:rsidRPr="00547463" w:rsidRDefault="00547463" w:rsidP="00547463">
      <w:pPr>
        <w:spacing w:after="0" w:line="240" w:lineRule="auto"/>
        <w:ind w:left="1"/>
        <w:jc w:val="both"/>
        <w:rPr>
          <w:rFonts w:ascii="Times New Roman" w:hAnsi="Times New Roman"/>
          <w:sz w:val="24"/>
        </w:rPr>
      </w:pPr>
    </w:p>
    <w:p w:rsidR="0004695B" w:rsidRDefault="00547463" w:rsidP="0054746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60"/>
          <w:sz w:val="24"/>
        </w:rPr>
        <w:t>b</w:t>
      </w:r>
      <w:r w:rsidR="0004695B" w:rsidRPr="00547463">
        <w:rPr>
          <w:rFonts w:ascii="Times New Roman" w:hAnsi="Times New Roman"/>
          <w:b/>
          <w:spacing w:val="60"/>
          <w:sz w:val="24"/>
        </w:rPr>
        <w:t xml:space="preserve">ere na vědomí </w:t>
      </w:r>
      <w:r w:rsidR="0004695B" w:rsidRPr="00547463">
        <w:rPr>
          <w:rFonts w:ascii="Times New Roman" w:hAnsi="Times New Roman"/>
          <w:sz w:val="24"/>
        </w:rPr>
        <w:t>návrh rámcové pozice vlády ze dne 29. května 2017 k návrhu směrnice Evropského parlamentu a Rady o posílení postavení orgánů pro hospodářskou soutěž v členských státech tak, aby mohly účinněji prosazovat pravidla, a o zajištění řádného fungování vnitřního trhu, KOM(2017) 142 v konečném znění, kód Rady 7621/17;</w:t>
      </w:r>
    </w:p>
    <w:p w:rsidR="00547463" w:rsidRPr="00547463" w:rsidRDefault="00547463" w:rsidP="00547463">
      <w:pPr>
        <w:spacing w:after="0" w:line="240" w:lineRule="auto"/>
        <w:ind w:left="1"/>
        <w:jc w:val="both"/>
        <w:rPr>
          <w:rFonts w:ascii="Times New Roman" w:hAnsi="Times New Roman"/>
          <w:sz w:val="24"/>
        </w:rPr>
      </w:pPr>
    </w:p>
    <w:p w:rsidR="0004695B" w:rsidRPr="00547463" w:rsidRDefault="00547463" w:rsidP="0054746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60"/>
          <w:sz w:val="24"/>
        </w:rPr>
        <w:t>d</w:t>
      </w:r>
      <w:r w:rsidR="0004695B" w:rsidRPr="00547463">
        <w:rPr>
          <w:rFonts w:ascii="Times New Roman" w:hAnsi="Times New Roman"/>
          <w:b/>
          <w:spacing w:val="60"/>
          <w:sz w:val="24"/>
        </w:rPr>
        <w:t>omnívá se</w:t>
      </w:r>
      <w:r w:rsidR="0004695B" w:rsidRPr="00547463">
        <w:rPr>
          <w:rFonts w:ascii="Times New Roman" w:hAnsi="Times New Roman"/>
          <w:b/>
          <w:sz w:val="24"/>
        </w:rPr>
        <w:t>,</w:t>
      </w:r>
      <w:r w:rsidR="0004695B" w:rsidRPr="005474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04695B" w:rsidRPr="00547463">
        <w:rPr>
          <w:rFonts w:ascii="Times New Roman" w:hAnsi="Times New Roman"/>
          <w:sz w:val="24"/>
        </w:rPr>
        <w:t>že ochrana před sankcemi za účast v tajném kartelu, která je článkem 22 návrhu směrnice poskytovaná stávajícím a bývalým zaměstnancům a ředitelům podniků žádajících o ochranu před pokutami v rámci programů shovívavosti, je nastavena příliš široce a měla by být určitým způsobem omezena.</w:t>
      </w:r>
    </w:p>
    <w:p w:rsidR="0004695B" w:rsidRPr="00230387" w:rsidRDefault="0004695B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4695B" w:rsidRDefault="0004695B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67DC" w:rsidRPr="00230387" w:rsidRDefault="006967DC" w:rsidP="005474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bookmarkStart w:id="17" w:name="_GoBack"/>
      <w:bookmarkEnd w:id="17"/>
    </w:p>
    <w:p w:rsidR="00230387" w:rsidRPr="00106842" w:rsidRDefault="00230387" w:rsidP="00230387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DE1A29">
        <w:rPr>
          <w:rFonts w:ascii="Times New Roman" w:hAnsi="Times New Roman"/>
          <w:sz w:val="24"/>
        </w:rPr>
        <w:t>Jan Zahradník</w:t>
      </w:r>
      <w:r w:rsidR="00CC2B0A">
        <w:rPr>
          <w:rFonts w:ascii="Times New Roman" w:hAnsi="Times New Roman"/>
          <w:sz w:val="24"/>
        </w:rPr>
        <w:t xml:space="preserve"> v. r. </w:t>
      </w: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Roman Váňa</w:t>
      </w:r>
      <w:r w:rsidRPr="00106842">
        <w:rPr>
          <w:rFonts w:ascii="Times New Roman" w:hAnsi="Times New Roman"/>
          <w:sz w:val="24"/>
        </w:rPr>
        <w:t xml:space="preserve"> </w:t>
      </w:r>
      <w:r w:rsidR="00CC2B0A">
        <w:rPr>
          <w:rFonts w:ascii="Times New Roman" w:hAnsi="Times New Roman"/>
          <w:sz w:val="24"/>
        </w:rPr>
        <w:t xml:space="preserve">v. r. </w:t>
      </w:r>
    </w:p>
    <w:p w:rsidR="00230387" w:rsidRPr="00106842" w:rsidRDefault="00230387" w:rsidP="00230387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230387" w:rsidRPr="00254049" w:rsidRDefault="00230387" w:rsidP="00230387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Ondřej Benešík</w:t>
      </w:r>
      <w:r w:rsidRPr="00106842">
        <w:rPr>
          <w:rFonts w:ascii="Times New Roman" w:hAnsi="Times New Roman"/>
          <w:sz w:val="24"/>
        </w:rPr>
        <w:t xml:space="preserve"> </w:t>
      </w:r>
      <w:r w:rsidR="00CC2B0A">
        <w:rPr>
          <w:rFonts w:ascii="Times New Roman" w:hAnsi="Times New Roman"/>
          <w:sz w:val="24"/>
        </w:rPr>
        <w:t>v. r.</w:t>
      </w:r>
    </w:p>
    <w:p w:rsidR="00230387" w:rsidRDefault="00230387" w:rsidP="00230387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ředseda</w:t>
      </w:r>
    </w:p>
    <w:p w:rsidR="0004695B" w:rsidRPr="00230387" w:rsidRDefault="0004695B" w:rsidP="00D066DF">
      <w:pPr>
        <w:spacing w:after="0" w:line="240" w:lineRule="auto"/>
        <w:rPr>
          <w:rFonts w:ascii="Times New Roman" w:hAnsi="Times New Roman"/>
          <w:sz w:val="24"/>
        </w:rPr>
      </w:pPr>
    </w:p>
    <w:sectPr w:rsidR="0004695B" w:rsidRPr="00230387" w:rsidSect="003F4EC8"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5B" w:rsidRDefault="0004695B" w:rsidP="0004695B">
      <w:pPr>
        <w:spacing w:after="0" w:line="240" w:lineRule="auto"/>
      </w:pPr>
      <w:r>
        <w:separator/>
      </w:r>
    </w:p>
  </w:endnote>
  <w:endnote w:type="continuationSeparator" w:id="0">
    <w:p w:rsidR="0004695B" w:rsidRDefault="0004695B" w:rsidP="0004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0171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F4EC8" w:rsidRPr="003F4EC8" w:rsidRDefault="003F4EC8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3F4EC8">
          <w:rPr>
            <w:rFonts w:ascii="Times New Roman" w:hAnsi="Times New Roman"/>
            <w:sz w:val="24"/>
            <w:szCs w:val="24"/>
          </w:rPr>
          <w:fldChar w:fldCharType="begin"/>
        </w:r>
        <w:r w:rsidRPr="003F4E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4EC8">
          <w:rPr>
            <w:rFonts w:ascii="Times New Roman" w:hAnsi="Times New Roman"/>
            <w:sz w:val="24"/>
            <w:szCs w:val="24"/>
          </w:rPr>
          <w:fldChar w:fldCharType="separate"/>
        </w:r>
        <w:r w:rsidR="006967DC">
          <w:rPr>
            <w:rFonts w:ascii="Times New Roman" w:hAnsi="Times New Roman"/>
            <w:noProof/>
            <w:sz w:val="24"/>
            <w:szCs w:val="24"/>
          </w:rPr>
          <w:t>7</w:t>
        </w:r>
        <w:r w:rsidRPr="003F4E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F4EC8" w:rsidRDefault="003F4E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5B" w:rsidRDefault="0004695B" w:rsidP="0004695B">
      <w:pPr>
        <w:spacing w:after="0" w:line="240" w:lineRule="auto"/>
      </w:pPr>
      <w:r>
        <w:separator/>
      </w:r>
    </w:p>
  </w:footnote>
  <w:footnote w:type="continuationSeparator" w:id="0">
    <w:p w:rsidR="0004695B" w:rsidRDefault="0004695B" w:rsidP="0004695B">
      <w:pPr>
        <w:spacing w:after="0" w:line="240" w:lineRule="auto"/>
      </w:pPr>
      <w:r>
        <w:continuationSeparator/>
      </w:r>
    </w:p>
  </w:footnote>
  <w:footnote w:id="1">
    <w:p w:rsidR="0004695B" w:rsidRPr="00FC5496" w:rsidRDefault="0004695B" w:rsidP="0004695B">
      <w:pPr>
        <w:pStyle w:val="Textpoznpodarou"/>
        <w:rPr>
          <w:rFonts w:ascii="Times New Roman" w:hAnsi="Times New Roman"/>
          <w:bCs/>
        </w:rPr>
      </w:pPr>
      <w:r w:rsidRPr="00FC5496">
        <w:rPr>
          <w:rStyle w:val="Znakapoznpodarou"/>
          <w:rFonts w:ascii="Times New Roman" w:hAnsi="Times New Roman"/>
        </w:rPr>
        <w:footnoteRef/>
      </w:r>
      <w:r w:rsidRPr="00FC5496">
        <w:rPr>
          <w:rFonts w:ascii="Times New Roman" w:hAnsi="Times New Roman"/>
        </w:rPr>
        <w:t xml:space="preserve"> </w:t>
      </w:r>
      <w:r w:rsidRPr="00FC5496">
        <w:rPr>
          <w:rFonts w:ascii="Times New Roman" w:hAnsi="Times New Roman"/>
          <w:bCs/>
        </w:rPr>
        <w:t>Články 101 a 102 SFEU zakazují dohody mezi podniky omezující hospodářskou soutěž a zneužití dominantního postavení na vnitřním trhu, může-li to ovlivnit obchod mezi členskými státy.</w:t>
      </w:r>
    </w:p>
  </w:footnote>
  <w:footnote w:id="2">
    <w:p w:rsidR="0004695B" w:rsidRPr="00FC5496" w:rsidRDefault="0004695B" w:rsidP="0004695B">
      <w:pPr>
        <w:pStyle w:val="Textpoznpodarou"/>
        <w:rPr>
          <w:rFonts w:ascii="Times New Roman" w:hAnsi="Times New Roman"/>
          <w:b/>
          <w:bCs/>
        </w:rPr>
      </w:pPr>
      <w:r w:rsidRPr="00FC5496">
        <w:rPr>
          <w:rFonts w:ascii="Times New Roman" w:hAnsi="Times New Roman"/>
          <w:bCs/>
        </w:rPr>
        <w:footnoteRef/>
      </w:r>
      <w:r w:rsidRPr="00FC5496">
        <w:rPr>
          <w:rFonts w:ascii="Times New Roman" w:hAnsi="Times New Roman"/>
          <w:bCs/>
        </w:rPr>
        <w:t xml:space="preserve"> Nařízení Rady (ES) č. 1/2003 ze dne 16. prosince 2002 o provádění pravidel hospodářské soutěže stanovených v článcích 81 a 82 Smlouvy, dostupné na: </w:t>
      </w:r>
      <w:hyperlink r:id="rId1" w:history="1">
        <w:r w:rsidRPr="00FC5496">
          <w:rPr>
            <w:rStyle w:val="Hypertextovodkaz"/>
            <w:rFonts w:ascii="Times New Roman" w:hAnsi="Times New Roman"/>
            <w:bCs/>
          </w:rPr>
          <w:t>http://eur-lex.europa.eu/legal-content/CS/TXT/?qid=1495199174286&amp;uri=CELEX:32003R0001</w:t>
        </w:r>
      </w:hyperlink>
    </w:p>
  </w:footnote>
  <w:footnote w:id="3">
    <w:p w:rsidR="0004695B" w:rsidRPr="00FC5496" w:rsidRDefault="0004695B" w:rsidP="0004695B">
      <w:pPr>
        <w:pStyle w:val="Textpoznpodarou"/>
        <w:rPr>
          <w:rFonts w:ascii="Times New Roman" w:hAnsi="Times New Roman"/>
          <w:bCs/>
        </w:rPr>
      </w:pPr>
      <w:r w:rsidRPr="00FC5496">
        <w:rPr>
          <w:rStyle w:val="Znakapoznpodarou"/>
          <w:rFonts w:ascii="Times New Roman" w:hAnsi="Times New Roman"/>
        </w:rPr>
        <w:footnoteRef/>
      </w:r>
      <w:r w:rsidRPr="00FC5496">
        <w:rPr>
          <w:rFonts w:ascii="Times New Roman" w:hAnsi="Times New Roman"/>
        </w:rPr>
        <w:t xml:space="preserve"> </w:t>
      </w:r>
      <w:r w:rsidRPr="00FC5496">
        <w:rPr>
          <w:rFonts w:ascii="Times New Roman" w:hAnsi="Times New Roman"/>
          <w:bCs/>
        </w:rPr>
        <w:t xml:space="preserve">Směrnice Evropského parlamentu a Rady 2014/104/EU ze dne 26. listopadu 2014 o určitých pravidlech upravujících žaloby o náhradu škody podle vnitrostátního práva v případě porušení právních předpisů členských států a Evropské unie o hospodářské soutěži, dostupná na: </w:t>
      </w:r>
      <w:hyperlink r:id="rId2" w:history="1">
        <w:r w:rsidRPr="00FC5496">
          <w:rPr>
            <w:rStyle w:val="Hypertextovodkaz"/>
            <w:rFonts w:ascii="Times New Roman" w:hAnsi="Times New Roman"/>
            <w:bCs/>
          </w:rPr>
          <w:t>http://eur-lex.europa.eu/legal-content/CS/TXT/?qid=1495199260204&amp;uri=CELEX:32014L0104</w:t>
        </w:r>
      </w:hyperlink>
    </w:p>
    <w:p w:rsidR="0004695B" w:rsidRPr="005463DF" w:rsidRDefault="0004695B" w:rsidP="0004695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40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41A16C39"/>
    <w:multiLevelType w:val="hybridMultilevel"/>
    <w:tmpl w:val="1EB2DD4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27B2"/>
    <w:multiLevelType w:val="hybridMultilevel"/>
    <w:tmpl w:val="C2CA33CC"/>
    <w:lvl w:ilvl="0" w:tplc="A6BA9BB4">
      <w:start w:val="1"/>
      <w:numFmt w:val="decimal"/>
      <w:lvlText w:val="%1."/>
      <w:lvlJc w:val="left"/>
      <w:pPr>
        <w:ind w:left="1778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4AB431D6"/>
    <w:multiLevelType w:val="hybridMultilevel"/>
    <w:tmpl w:val="842A9E2A"/>
    <w:lvl w:ilvl="0" w:tplc="2032779C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A47AE"/>
    <w:multiLevelType w:val="hybridMultilevel"/>
    <w:tmpl w:val="3EB2C82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376BA"/>
    <w:multiLevelType w:val="hybridMultilevel"/>
    <w:tmpl w:val="AFF4A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54C2C"/>
    <w:multiLevelType w:val="hybridMultilevel"/>
    <w:tmpl w:val="1BBC6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3670F3"/>
    <w:multiLevelType w:val="hybridMultilevel"/>
    <w:tmpl w:val="3EB2C82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0"/>
    <w:rsid w:val="0004695B"/>
    <w:rsid w:val="000476E4"/>
    <w:rsid w:val="000C5278"/>
    <w:rsid w:val="000E730C"/>
    <w:rsid w:val="00103C04"/>
    <w:rsid w:val="00106003"/>
    <w:rsid w:val="00106842"/>
    <w:rsid w:val="00136646"/>
    <w:rsid w:val="001B45F3"/>
    <w:rsid w:val="001E6E20"/>
    <w:rsid w:val="00230024"/>
    <w:rsid w:val="00230387"/>
    <w:rsid w:val="00254049"/>
    <w:rsid w:val="00272E1B"/>
    <w:rsid w:val="002A2F32"/>
    <w:rsid w:val="002B0FB6"/>
    <w:rsid w:val="002B60B3"/>
    <w:rsid w:val="002C6BED"/>
    <w:rsid w:val="00356011"/>
    <w:rsid w:val="00377253"/>
    <w:rsid w:val="003A1DF9"/>
    <w:rsid w:val="003D2033"/>
    <w:rsid w:val="003F4EC8"/>
    <w:rsid w:val="005227BF"/>
    <w:rsid w:val="00547463"/>
    <w:rsid w:val="00566A4C"/>
    <w:rsid w:val="00597608"/>
    <w:rsid w:val="005C30D7"/>
    <w:rsid w:val="005E094C"/>
    <w:rsid w:val="005F6CAE"/>
    <w:rsid w:val="0061035F"/>
    <w:rsid w:val="00620764"/>
    <w:rsid w:val="00630AC0"/>
    <w:rsid w:val="00656C37"/>
    <w:rsid w:val="006967DC"/>
    <w:rsid w:val="007C62DA"/>
    <w:rsid w:val="007D5EE1"/>
    <w:rsid w:val="007E1D0B"/>
    <w:rsid w:val="00812496"/>
    <w:rsid w:val="00830BFE"/>
    <w:rsid w:val="00893C29"/>
    <w:rsid w:val="00902D71"/>
    <w:rsid w:val="00903269"/>
    <w:rsid w:val="00A46CDA"/>
    <w:rsid w:val="00A93982"/>
    <w:rsid w:val="00AA0D27"/>
    <w:rsid w:val="00B038BF"/>
    <w:rsid w:val="00B13892"/>
    <w:rsid w:val="00B53E8D"/>
    <w:rsid w:val="00B715B6"/>
    <w:rsid w:val="00BA00F3"/>
    <w:rsid w:val="00BA0357"/>
    <w:rsid w:val="00C56014"/>
    <w:rsid w:val="00CC2B0A"/>
    <w:rsid w:val="00D066DF"/>
    <w:rsid w:val="00D46ACA"/>
    <w:rsid w:val="00D76FB3"/>
    <w:rsid w:val="00DC29E4"/>
    <w:rsid w:val="00DE1A29"/>
    <w:rsid w:val="00EB5A31"/>
    <w:rsid w:val="00ED15A8"/>
    <w:rsid w:val="00EF3B15"/>
    <w:rsid w:val="00EF679B"/>
    <w:rsid w:val="00FB7B18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26CB-5D64-4419-954A-44FF3EA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4695B"/>
    <w:pPr>
      <w:numPr>
        <w:numId w:val="16"/>
      </w:numPr>
      <w:spacing w:after="0" w:line="240" w:lineRule="auto"/>
      <w:ind w:left="0"/>
      <w:outlineLvl w:val="0"/>
    </w:pPr>
    <w:rPr>
      <w:rFonts w:asciiTheme="majorHAnsi" w:eastAsia="Times New Roman" w:hAnsiTheme="majorHAnsi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4695B"/>
    <w:rPr>
      <w:rFonts w:asciiTheme="majorHAnsi" w:eastAsia="Times New Roman" w:hAnsiTheme="majorHAnsi"/>
      <w:b/>
      <w:sz w:val="24"/>
    </w:rPr>
  </w:style>
  <w:style w:type="character" w:styleId="Znakapoznpodarou">
    <w:name w:val="footnote reference"/>
    <w:uiPriority w:val="99"/>
    <w:rsid w:val="000469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4695B"/>
    <w:pPr>
      <w:spacing w:after="0" w:line="240" w:lineRule="auto"/>
    </w:pPr>
    <w:rPr>
      <w:rFonts w:asciiTheme="majorHAnsi" w:eastAsia="Times New Roman" w:hAnsiTheme="maj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695B"/>
    <w:rPr>
      <w:rFonts w:asciiTheme="majorHAnsi" w:eastAsia="Times New Roman" w:hAnsiTheme="majorHAnsi"/>
    </w:rPr>
  </w:style>
  <w:style w:type="character" w:styleId="Hypertextovodkaz">
    <w:name w:val="Hyperlink"/>
    <w:uiPriority w:val="99"/>
    <w:rsid w:val="000469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54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E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E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CS/TXT/?qid=1495199260204&amp;uri=CELEX:32014L0104" TargetMode="External"/><Relationship Id="rId1" Type="http://schemas.openxmlformats.org/officeDocument/2006/relationships/hyperlink" Target="http://eur-lex.europa.eu/legal-content/CS/TXT/?qid=1495199174286&amp;uri=CELEX:32003R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50</TotalTime>
  <Pages>8</Pages>
  <Words>2863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22</cp:revision>
  <dcterms:created xsi:type="dcterms:W3CDTF">2015-09-22T08:40:00Z</dcterms:created>
  <dcterms:modified xsi:type="dcterms:W3CDTF">2017-06-02T08:07:00Z</dcterms:modified>
</cp:coreProperties>
</file>