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5AE7BA0B5684C219F1B66021E5CCFD5" style="width:450.75pt;height:424.9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“ANNESS IV</w:t>
      </w:r>
      <w:r>
        <w:rPr>
          <w:noProof/>
        </w:rPr>
        <w:br/>
        <w:t>KARATTERISTIKI DISTINTIVI</w:t>
      </w:r>
    </w:p>
    <w:p>
      <w:pPr>
        <w:pStyle w:val="Text1"/>
        <w:ind w:left="0"/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Il-karatteristiki distintivi ġeneriċi u speċifiċi fil-kategorija B jistgħu jisqiesu biss meta jissodisfaw “il-kriterju tal-vantaġġ prinċipali”.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Il-kriterju tal-vantaġġ prinċipali</w:t>
      </w:r>
    </w:p>
    <w:p>
      <w:pPr>
        <w:rPr>
          <w:noProof/>
        </w:rPr>
      </w:pPr>
      <w:r>
        <w:rPr>
          <w:noProof/>
        </w:rPr>
        <w:t>Il-kriterju se jiġi ssodisfat jekk il-vantaġġ prinċipali ta’ arranġament jew ta’ serje ta’ arranġamenti huwa li jikseb vantaġġ fuq it-taxxa jekk jista’ jiġi stabbilit li l-vantaġġ huwa r-riżultat li wieħed jista’ jistenna li jikseb minn dan l-arranġament, jew minn serje ta’ arranġamenti, inkluż billi jieħu vantaġġ tal-mod speċifiku li l-arranġament jew is-serje ta’ arranġamenti huma strutturati.</w:t>
      </w:r>
    </w:p>
    <w:p>
      <w:pPr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Karatteristiki distintivi ġeneriċi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Arranġament jew serje ta’ arranġamenti fejn il-kontribwent jintrabat li jikkonforma ma’ kundizzjoni ta’ kunfidenzjalità li tista’ tirrikjedi li ma jiżvelax kif l-arranġament jista’ jikseb benefiċċju fuq it-taxxa fil-konfront ta’ intermedjarji oħra jew tal-awtoritajiet tat-taxxa.</w:t>
      </w:r>
    </w:p>
    <w:p>
      <w:pPr>
        <w:pStyle w:val="NumPar1"/>
        <w:rPr>
          <w:noProof/>
        </w:rPr>
      </w:pPr>
      <w:r>
        <w:rPr>
          <w:noProof/>
        </w:rPr>
        <w:t>Arranġament jew serje ta’ arranġamenti fejn l-intermedjajrju huwa intitolat li jirċievi ħlas (jew imgħax, remunerazzjoni għall-kostijiet finanzjarji u għal spejjeż oħra) għall-arranġament jew għal serje ta’ arranġamenti u li dan il-ħlas ikun stabbilit b’referenza għal: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l-ammont ta’ benefiċċju fuq it-taxxa miksub mill-arranġament jew minn serje ta’ arranġamenti; jew</w:t>
      </w:r>
    </w:p>
    <w:p>
      <w:pPr>
        <w:pStyle w:val="Point1letter"/>
        <w:rPr>
          <w:noProof/>
        </w:rPr>
      </w:pPr>
      <w:r>
        <w:rPr>
          <w:noProof/>
        </w:rPr>
        <w:t>jekk il-benefiċċju fuq it-taxxa jinkisibx jew le mill-arranġament jew minn serje ta’ arranġamenti. Dan ikun jinkludi obbligu fuq l-intermedjarju ta’ rifużjoni parzjali jew sħiħa tal-ħlas jekk il-benefiċċju maħsub fuq it-taxxa, miksub mill-arranġament jew minn serje ta’ arranġamenti ma jinkisibx parzjalment jew sħiħ.</w:t>
      </w:r>
    </w:p>
    <w:p>
      <w:pPr>
        <w:pStyle w:val="NumPar1"/>
        <w:rPr>
          <w:noProof/>
        </w:rPr>
      </w:pPr>
      <w:r>
        <w:rPr>
          <w:noProof/>
        </w:rPr>
        <w:t>Arranġament jew serje ta’ arranġamenti li jinvolvu l-użu ta’ dokumentazzjoni standardizzata inklużi l-formoli standard. Id-dokumentazzjoni hija komunement disponibbli għal aktar minn kontribwent wieħed u ma tridx tkun imfassla apposta biex il-kontribwent ikun jista’ jimplimenta l-arranġament jew is-serje ta’ arranġamenti.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>Karatteristiki distintivi speċifiċi li jistgħu jkunu relatati mal-kriterju tal-vantaġġ prinċipali</w:t>
      </w:r>
    </w:p>
    <w:p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Arranġament jew serje ta’ arranġamenti li permezz tagħhom il-kontribwent juża t-telf biex inaqqas l-obbligazzjoni tat-taxxa, anke bit-trasferiment ta’ dak it-telf f’ġurisdizzjoni oħra jew bl-aċċellerazzjoni fl-użu ta’ dak it-telf.</w:t>
      </w:r>
    </w:p>
    <w:p>
      <w:pPr>
        <w:pStyle w:val="NumPar1"/>
        <w:rPr>
          <w:noProof/>
        </w:rPr>
      </w:pPr>
      <w:r>
        <w:rPr>
          <w:noProof/>
        </w:rPr>
        <w:t>Arranġament jew serje ta’ arranġamenti li għandhom l-effett li jikkonvertu l-introjtu f’kapital, donazzjoni jew kategoriji oħra ta’ dħul li huma ntaxxati f’livell aktar baxx.</w:t>
      </w:r>
    </w:p>
    <w:p>
      <w:pPr>
        <w:pStyle w:val="NumPar1"/>
        <w:rPr>
          <w:noProof/>
        </w:rPr>
      </w:pPr>
      <w:r>
        <w:rPr>
          <w:noProof/>
        </w:rPr>
        <w:lastRenderedPageBreak/>
        <w:t>Arranġament jew serje ta’ arranġamenti li jinkludu tranżazzjonijiet ċirkolari (circular transactions) li jirriżultaw mir-round-tipping ta’ fondi, b’mod partikolari bl-involviment ta’ entitajiet intermedjajri mingħajr l-ebda funzjoni jew tranżazzjoni primarja kummerċjali oħra li jikkumpensaw jew jikkanċellaw lil xulxin jew li għandhom karatteristiċi simili oħra.</w:t>
      </w:r>
    </w:p>
    <w:p>
      <w:pPr>
        <w:pStyle w:val="Text1"/>
        <w:rPr>
          <w:noProof/>
        </w:rPr>
      </w:pPr>
    </w:p>
    <w:p>
      <w:pPr>
        <w:rPr>
          <w:b/>
          <w:i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>Karatterstiki distintivi speċifiċi relatati mat-tranżazzjonijiet transkonfinali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Arranġament jew serje ta’ arranġamenti li jinvolvu arranġamenti transkonfinali li jistgħu jitnaqqsu magħmula bejn żewġ partijiet relatati jew aktar fejn isseħħ mill-inqas waħda mill-kundizzjonijiet li ġejjin: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 xml:space="preserve">ir-riċevitur mhuwiex residenti għal finijiet ta’ taxxa fl-ebda ġurisdizzjoni tat-taxxa; </w:t>
      </w:r>
    </w:p>
    <w:p>
      <w:pPr>
        <w:pStyle w:val="Point1letter"/>
        <w:rPr>
          <w:noProof/>
        </w:rPr>
      </w:pPr>
      <w:r>
        <w:rPr>
          <w:noProof/>
        </w:rPr>
        <w:t>għalkemm ir-riċevitur huwa residenti f’ġursidizzjoni għal finijiet ta’ taxxa, dik il-ġurisdizzjoni:</w:t>
      </w:r>
    </w:p>
    <w:p>
      <w:pPr>
        <w:pStyle w:val="Point2"/>
        <w:rPr>
          <w:noProof/>
        </w:rPr>
      </w:pPr>
      <w:r>
        <w:rPr>
          <w:noProof/>
        </w:rPr>
        <w:t>i.</w:t>
      </w:r>
      <w:r>
        <w:rPr>
          <w:noProof/>
        </w:rPr>
        <w:tab/>
        <w:t>ma timponi l-ebda taxxa korporattiva; jew</w:t>
      </w:r>
    </w:p>
    <w:p>
      <w:pPr>
        <w:pStyle w:val="Point2"/>
        <w:rPr>
          <w:noProof/>
        </w:rPr>
      </w:pPr>
      <w:r>
        <w:rPr>
          <w:noProof/>
        </w:rPr>
        <w:t>ii.</w:t>
      </w:r>
      <w:r>
        <w:rPr>
          <w:noProof/>
        </w:rPr>
        <w:tab/>
        <w:t>timponi taxxa korporattiva b’rata tat-taxxa żero jew b’rata tat-taxxa korporattiva statutorja inqas minn nofs il-medja tar-rata tat-taxxa korporattiva statutorja fl-Unjoni, kif tkun tinsab fi tmiem is-sena kalendarja preċedenti; jew</w:t>
      </w:r>
    </w:p>
    <w:p>
      <w:pPr>
        <w:pStyle w:val="Point2"/>
        <w:rPr>
          <w:noProof/>
        </w:rPr>
      </w:pPr>
      <w:r>
        <w:rPr>
          <w:noProof/>
        </w:rPr>
        <w:t>iii.</w:t>
      </w:r>
      <w:r>
        <w:rPr>
          <w:noProof/>
        </w:rPr>
        <w:tab/>
        <w:t>tiġi inkluża f’lista ta’ ċerti ġurisdizzjonijiet ta’ pajjiżi terzi li ġew ivvalutati mill-Istati Membri b’mod kollettiv jew fi ħdan il-qafas ta’ organizzazzjoni internazzjonali li jitqiesu li għandhom sistemi tat-taxxa dannużi.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>il-pagament jibbenefika mill-eżenzjoni parzjali jew sħiħa mit-taxxa f’ġurisdizzjoni fejn ir-riċevitur huwa residenti għal finijiet ta’ taxxa;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>il-pagament jibbenefika minn sistema tat-taxxa preferenzjali f’ġurisdizzjoni fejn ir-riċevitur huwa residenti għal finijiet ta’ taxxa;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>hemm diskrepanza fil-kamp ta’ applikazzjoni tad-Direttiva tal-Kunsill li temenda d-Direttiva (UE) 2016/1164 fir-rigward tad-diskrepanzi ibridi ma’ pajjiżi terzi, li ġiet adottata mill-Kunsill tal-Ministri fit-23 ta’ Mejju 2017.</w:t>
      </w:r>
    </w:p>
    <w:p>
      <w:pPr>
        <w:pStyle w:val="NumPar1"/>
        <w:rPr>
          <w:noProof/>
        </w:rPr>
      </w:pPr>
      <w:r>
        <w:rPr>
          <w:noProof/>
        </w:rPr>
        <w:t>L-istess assi huma soġġetti għal deprezzament f’aktar minn ġurisdizzjoni waħda.</w:t>
      </w:r>
    </w:p>
    <w:p>
      <w:pPr>
        <w:pStyle w:val="NumPar1"/>
        <w:rPr>
          <w:noProof/>
        </w:rPr>
      </w:pPr>
      <w:r>
        <w:rPr>
          <w:noProof/>
        </w:rPr>
        <w:t>Aktar minn kontribwent wieħed jista’ jitlob il-ħelsien mit-tassazzjoni doppja fir-rigward tal-istess element ta’ introjtu f’ġurisdizzjonijiet differenti.</w:t>
      </w:r>
    </w:p>
    <w:p>
      <w:pPr>
        <w:pStyle w:val="NumPar1"/>
        <w:rPr>
          <w:noProof/>
        </w:rPr>
      </w:pPr>
      <w:r>
        <w:rPr>
          <w:noProof/>
        </w:rPr>
        <w:t>Hemm arranġament jew serje ta’ arranġamenti li jinkludu t-trasferimenti ta’ assi u fejn hemm differenza materjali fl-ammont li qed jiġi trattat bħala pagabbli, b’kunsiderazzjoni tal-assi involuti f’dawk il-ġurisdizzjonijiet.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D.</w:t>
      </w:r>
      <w:r>
        <w:rPr>
          <w:noProof/>
        </w:rPr>
        <w:tab/>
      </w:r>
      <w:r>
        <w:rPr>
          <w:b/>
          <w:noProof/>
        </w:rPr>
        <w:t>Karatterstiki distintivi speċifiċi dwar l-iskambju awtomatiku ta’ arranġamenti ta’ informazzjoni fl-Unjoni</w:t>
      </w:r>
    </w:p>
    <w:p>
      <w:pPr>
        <w:pStyle w:val="Text1"/>
        <w:rPr>
          <w:noProof/>
        </w:rPr>
      </w:pPr>
      <w:r>
        <w:rPr>
          <w:noProof/>
        </w:rPr>
        <w:t xml:space="preserve">Arranġament jew serje ta’ arranġamenti li jevitaw il-leġiżlazzjoni tal-Unjoni jew il-ftehimiet dwar l-iskambju awtomatiku ta’ informazzjoni, inklużi l-ftehimiet ma’ </w:t>
      </w:r>
      <w:r>
        <w:rPr>
          <w:noProof/>
        </w:rPr>
        <w:lastRenderedPageBreak/>
        <w:t>pajjiżi terzi, u li għandhom l-effett li jevitaw li jirrappurtaw l-intorjtu tal-kontribwent lill-Istat fejn huwa residenti fih għal finijiet ta’ taxxa. Dawn l-arranġamenti jistgħu jinkludu:</w:t>
      </w:r>
    </w:p>
    <w:p>
      <w:pPr>
        <w:pStyle w:val="Point1letter"/>
        <w:numPr>
          <w:ilvl w:val="3"/>
          <w:numId w:val="4"/>
        </w:numPr>
        <w:rPr>
          <w:noProof/>
        </w:rPr>
      </w:pPr>
      <w:r>
        <w:rPr>
          <w:noProof/>
        </w:rPr>
        <w:t>l-użu ta’ ġurisdizzjonijiet li mhumiex marbuta bil-leġiżlazzjoni tal-Unjoni jew bi ftehimiet dwar l-iskambju awtomatiku ta’ informazzjoni;</w:t>
      </w:r>
    </w:p>
    <w:p>
      <w:pPr>
        <w:pStyle w:val="Point1letter"/>
        <w:rPr>
          <w:noProof/>
        </w:rPr>
      </w:pPr>
      <w:r>
        <w:rPr>
          <w:noProof/>
        </w:rPr>
        <w:t>il-klassifikazzjoni mill-ġdid tat-tipi ta’ introjtu f’kategoriji li mhumiex soġġetti għall-iskambju awtomatiku ta’ informazzjoni;</w:t>
      </w:r>
    </w:p>
    <w:p>
      <w:pPr>
        <w:pStyle w:val="Point1letter"/>
        <w:rPr>
          <w:noProof/>
        </w:rPr>
      </w:pPr>
      <w:r>
        <w:rPr>
          <w:noProof/>
        </w:rPr>
        <w:t>l-użu ta’ entitajiet u strutturi ġuridiċi li mhumiex koperti bil-leġiżlazzjoni tal-Unjoni jew bi ftehimiet dwar l-iskambju awtomatiku ta’ informazzjoni;</w:t>
      </w:r>
    </w:p>
    <w:p>
      <w:pPr>
        <w:pStyle w:val="Point1letter"/>
        <w:rPr>
          <w:noProof/>
        </w:rPr>
      </w:pPr>
      <w:r>
        <w:rPr>
          <w:noProof/>
        </w:rPr>
        <w:t>l-użu ta’ ġurisdizzjonijet b’sistemi inadegwati jew dgħajfa ta’ infurzar tal-leġiżlazzjoni kontra l-ħasil tal-flus. Dan jinkludi s-sitwazzjonijiet ikkaratterizzati minn nuqqas ta’ regoli għall-identifikazzjoni tas-sjieda benefiċjarja tal-entitajiet ġuridiċi, inklużi t-trusts, il-fondazzjonijiet u l-veikoli bi skop speċjali jew meta jintużaw il-persuni nominati jew il-prokuri biex jaħbu l-identità tas-sid benefiċjarju.</w:t>
      </w:r>
    </w:p>
    <w:p>
      <w:pPr>
        <w:pStyle w:val="Text1"/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E.</w:t>
      </w:r>
      <w:r>
        <w:rPr>
          <w:noProof/>
        </w:rPr>
        <w:tab/>
      </w:r>
      <w:r>
        <w:rPr>
          <w:b/>
          <w:noProof/>
        </w:rPr>
        <w:t>Karatterstiki distintivi dwar il-prezzijiet ta’ trasferiment</w:t>
      </w:r>
    </w:p>
    <w:p>
      <w:pPr>
        <w:pStyle w:val="NumPar1"/>
        <w:numPr>
          <w:ilvl w:val="0"/>
          <w:numId w:val="5"/>
        </w:numPr>
        <w:rPr>
          <w:noProof/>
        </w:rPr>
      </w:pPr>
      <w:r>
        <w:rPr>
          <w:noProof/>
        </w:rPr>
        <w:t>Arranġament jew serje ta’ arranġamenti li ma jikkonformawx mal-prinċipju ta’ distakkament jew mal-linji gwida tal-OECD dwar il-prezzijiet ta’ trasferiment, inkluż id-distribuzzjoni tal-profitt bejn membri differenti tal-istess grupp korporattiv.</w:t>
      </w:r>
    </w:p>
    <w:p>
      <w:pPr>
        <w:pStyle w:val="NumPar1"/>
        <w:rPr>
          <w:noProof/>
        </w:rPr>
      </w:pPr>
      <w:r>
        <w:rPr>
          <w:noProof/>
        </w:rPr>
        <w:t>Arranġament jew serje ta’ arranġamenti li jaqgħu fil-kamp ta’ applikazzjoni tal-iskambju awtomatiku ta’ informazzjoni dwar deċiżjonijiet antiċipati transkonfinali iżda li ma jiġux irrappurtati jew skambjati.”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525D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26AD7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02822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94DA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8CADC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000F8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60AFB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3829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20"/>
  </w:num>
  <w:num w:numId="19">
    <w:abstractNumId w:val="11"/>
  </w:num>
  <w:num w:numId="20">
    <w:abstractNumId w:val="13"/>
  </w:num>
  <w:num w:numId="21">
    <w:abstractNumId w:val="9"/>
  </w:num>
  <w:num w:numId="22">
    <w:abstractNumId w:val="19"/>
  </w:num>
  <w:num w:numId="23">
    <w:abstractNumId w:val="8"/>
  </w:num>
  <w:num w:numId="24">
    <w:abstractNumId w:val="14"/>
  </w:num>
  <w:num w:numId="25">
    <w:abstractNumId w:val="16"/>
  </w:num>
  <w:num w:numId="26">
    <w:abstractNumId w:val="17"/>
  </w:num>
  <w:num w:numId="27">
    <w:abstractNumId w:val="10"/>
  </w:num>
  <w:num w:numId="28">
    <w:abstractNumId w:val="15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27 10:57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F5AE7BA0B5684C219F1B66021E5CCFD5"/>
    <w:docVar w:name="LW_CROSSREFERENCE" w:val="{SWD(2017) 236 final}_x000b_{SWD(2017) 237 final}"/>
    <w:docVar w:name="LW_DocType" w:val="ANNEX"/>
    <w:docVar w:name="LW_EMISSION" w:val="21.6.2017"/>
    <w:docVar w:name="LW_EMISSION_ISODATE" w:val="2017-06-21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" w:val="li temenda d-Direttiva&lt;LWCR:NBS&gt;2011/16/UE dwar l-iskambju awtomatiku u obbligatorju ta\u8217? informazzjoni fil-qasam tat-tassazzjoni fir-rigward tal-arran\u289?amenti transkonfinali rapportabbli"/>
    <w:docVar w:name="LW_OBJETACTEPRINCIPAL.CP" w:val="li temenda d-Direttiva 2011/16/UE dwar l-iskambju awtomatiku u obbligatorju ta\u8217? informazzjoni fil-qasam tat-tassazzjoni fir-rigward tal-arran\u289?amenti transkonfinali rapportabbli"/>
    <w:docVar w:name="LW_PART_NBR" w:val="1"/>
    <w:docVar w:name="LW_PART_NBR_TOTAL" w:val="1"/>
    <w:docVar w:name="LW_REF.INST.NEW" w:val="COM"/>
    <w:docVar w:name="LW_REF.INST.NEW_ADOPTED" w:val="final"/>
    <w:docVar w:name="LW_REF.INST.NEW_TEXT" w:val="(2017) 335"/>
    <w:docVar w:name="LW_REF.INTERNE" w:val="&lt;UNUSED&gt;"/>
    <w:docVar w:name="LW_SUPERTITRE" w:val="&lt;UNUSED&gt;"/>
    <w:docVar w:name="LW_TITRE.OBJ.CP" w:val="&lt;UNUSED&gt;"/>
    <w:docVar w:name="LW_TYPE.DOC" w:val="ANNESS"/>
    <w:docVar w:name="LW_TYPE.DOC.CP" w:val="ANNESS"/>
    <w:docVar w:name="LW_TYPEACTEPRINCIPAL" w:val="Proposta g\u295?al Direttiva tal-Kunsill"/>
    <w:docVar w:name="LW_TYPEACTEPRINCIPAL.CP" w:val="Proposta g\u295?al Direttiva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Verdana" w:eastAsia="Times New Roman" w:hAnsi="Verdana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Verdana" w:eastAsia="Times New Roman" w:hAnsi="Verdana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809</Words>
  <Characters>5802</Characters>
  <Application>Microsoft Office Word</Application>
  <DocSecurity>0</DocSecurity>
  <Lines>107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QUADRI Eva (TAXUD)</dc:creator>
  <cp:lastModifiedBy>DIGIT/A3</cp:lastModifiedBy>
  <cp:revision>8</cp:revision>
  <dcterms:created xsi:type="dcterms:W3CDTF">2017-06-26T05:51:00Z</dcterms:created>
  <dcterms:modified xsi:type="dcterms:W3CDTF">2017-06-27T08:57:00Z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