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4C160F5B25740858EC269158BCD59D6"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«ΠΑΡΑΡΤΗΜΑ IV</w:t>
      </w:r>
      <w:r>
        <w:rPr>
          <w:noProof/>
        </w:rPr>
        <w:br/>
        <w:t>ΔΙΑΚΡΙΤΙΚΑ</w:t>
      </w:r>
    </w:p>
    <w:p>
      <w:pPr>
        <w:pStyle w:val="Text1"/>
        <w:ind w:left="0"/>
        <w:jc w:val="center"/>
        <w:rPr>
          <w:noProof/>
        </w:rPr>
      </w:pPr>
    </w:p>
    <w:p>
      <w:pPr>
        <w:rPr>
          <w:noProof/>
        </w:rPr>
      </w:pPr>
      <w:r>
        <w:rPr>
          <w:noProof/>
        </w:rPr>
        <w:t>Γενικά και ειδικά διακριτικά της κατηγορίας Β δέον να λαμβάνονται υπόψη μόνον όταν πληρούν τη «δοκιμή του κυρίου οφέλους».</w:t>
      </w:r>
    </w:p>
    <w:p>
      <w:pPr>
        <w:rPr>
          <w:noProof/>
        </w:rPr>
      </w:pPr>
    </w:p>
    <w:p>
      <w:pPr>
        <w:rPr>
          <w:b/>
          <w:noProof/>
        </w:rPr>
      </w:pPr>
      <w:r>
        <w:rPr>
          <w:b/>
          <w:noProof/>
        </w:rPr>
        <w:t>Η δοκιμή του κυρίου οφέλους</w:t>
      </w:r>
    </w:p>
    <w:p>
      <w:pPr>
        <w:rPr>
          <w:noProof/>
        </w:rPr>
      </w:pPr>
      <w:r>
        <w:rPr>
          <w:noProof/>
        </w:rPr>
        <w:t>Η δοκιμή θα πληρούται όταν το κύριο όφελος μιας ρύθμισης ή σειράς ρυθμίσεων συνίσταται στην απόκτηση φορολογικού πλεονεκτήματος εάν μπορεί να αποδειχθεί ότι το πλεονέκτημα είναι το αποτέλεσμα το οποίο δύναται να αναμένει κάποιος από μια τοιαύτη ρύθμιση, ή σειρά ρυθμίσεων, μεταξύ άλλων επωφελούμενος του ειδικού τρόπου δομής της ρύθμισης ή της σειράς ρυθμίσεων.</w:t>
      </w:r>
    </w:p>
    <w:p>
      <w:pPr>
        <w:rPr>
          <w:b/>
          <w:noProof/>
        </w:rPr>
      </w:pPr>
      <w:r>
        <w:rPr>
          <w:b/>
          <w:noProof/>
        </w:rPr>
        <w:t>A.</w:t>
      </w:r>
      <w:r>
        <w:rPr>
          <w:noProof/>
        </w:rPr>
        <w:tab/>
      </w:r>
      <w:r>
        <w:rPr>
          <w:b/>
          <w:noProof/>
        </w:rPr>
        <w:t>Γενικά διακριτικά</w:t>
      </w:r>
    </w:p>
    <w:p>
      <w:pPr>
        <w:pStyle w:val="NumPar1"/>
        <w:numPr>
          <w:ilvl w:val="0"/>
          <w:numId w:val="10"/>
        </w:numPr>
        <w:rPr>
          <w:noProof/>
        </w:rPr>
      </w:pPr>
      <w:r>
        <w:rPr>
          <w:noProof/>
        </w:rPr>
        <w:t>Ρύθμιση ή σειρά ρυθμίσεων, όταν ο φορολογούμενος αναλαμβάνει την υποχρέωση να συμμορφώνεται με μια προϋπόθεση εμπιστευτικότητας που μπορεί να απαιτεί από αυτόν να μην αποκαλύπτει τον τρόπο με τον οποίο η ρύθμιση θα μπορούσε να εξασφαλίσει φορολογικό πλεονέκτημα απέναντι σε άλλους ενδιαμέσους ή τις φορολογικές αρχές.</w:t>
      </w:r>
    </w:p>
    <w:p>
      <w:pPr>
        <w:pStyle w:val="NumPar1"/>
        <w:rPr>
          <w:noProof/>
        </w:rPr>
      </w:pPr>
      <w:r>
        <w:rPr>
          <w:noProof/>
        </w:rPr>
        <w:t>Η ρύθμιση ή η σειρά ρυθμίσεων όταν ο ενδιάμεσος δικαιούται να λάβει αμοιβή (ή τόκο, αντιπαροχή για χρηματοδοτικές δαπάνες και άλλες επιβαρύνσεις) για τη ρύθμιση ή σειρά ρυθμίσεων και η αμοιβή αυτή καθορίζεται σε σχέση με:</w:t>
      </w:r>
    </w:p>
    <w:p>
      <w:pPr>
        <w:pStyle w:val="Point1letter"/>
        <w:numPr>
          <w:ilvl w:val="3"/>
          <w:numId w:val="11"/>
        </w:numPr>
        <w:rPr>
          <w:noProof/>
        </w:rPr>
      </w:pPr>
      <w:r>
        <w:rPr>
          <w:noProof/>
        </w:rPr>
        <w:t>το ποσό του φορολογικού πλεονεκτήματος που προκύπτει από τη ρύθμιση ή σειρά ρυθμίσεων· ή</w:t>
      </w:r>
    </w:p>
    <w:p>
      <w:pPr>
        <w:pStyle w:val="Point1letter"/>
        <w:rPr>
          <w:noProof/>
        </w:rPr>
      </w:pPr>
      <w:r>
        <w:rPr>
          <w:noProof/>
        </w:rPr>
        <w:t>το αν πράγματι προκύπτει φορολογικό πλεονέκτημα από τη ρύθμιση ή τη σειρά ρυθμίσεων. Αυτό θα περιλαμβάνει την υποχρέωση του ενδιαμέσου για μερική ή πλήρη επιστροφή της αμοιβής εφόσον το επιδιωκόμενο φορολογικό πλεονέκτημα που προκύπτει από τη ρύθμιση ή σειρά ρυθμίσεων δεν επιτεύχθηκε εν μέρει ή πλήρως.</w:t>
      </w:r>
    </w:p>
    <w:p>
      <w:pPr>
        <w:pStyle w:val="NumPar1"/>
        <w:rPr>
          <w:noProof/>
        </w:rPr>
      </w:pPr>
      <w:r>
        <w:rPr>
          <w:noProof/>
        </w:rPr>
        <w:t>Ρύθμιση ή σειρά ρυθμίσεων που περιλαμβάνει τη χρήση τυποποιημένης τεκμηρίωσης συμπεριλαμβανομένων των τυποποιημένων εντύπων. Η τεκμηρίωση είναι ευκόλως διαθέσιμη σε περισσότερους από έναν φορολογούμενο και δεν χρειάζεται να είναι ειδικά σχεδιασμένη ώστε να μπορεί ο φορολογούμενος να εφαρμόσει τη ρύθμιση ή τη σειρά ρυθμίσεων.</w:t>
      </w:r>
    </w:p>
    <w:p>
      <w:pPr>
        <w:rPr>
          <w:noProof/>
        </w:rPr>
      </w:pPr>
    </w:p>
    <w:p>
      <w:pPr>
        <w:rPr>
          <w:b/>
          <w:noProof/>
        </w:rPr>
      </w:pPr>
      <w:r>
        <w:rPr>
          <w:b/>
          <w:noProof/>
        </w:rPr>
        <w:t>B.</w:t>
      </w:r>
      <w:r>
        <w:rPr>
          <w:noProof/>
        </w:rPr>
        <w:tab/>
      </w:r>
      <w:r>
        <w:rPr>
          <w:b/>
          <w:noProof/>
        </w:rPr>
        <w:t>Ειδικά διακριτικά που μπορεί να συνδέονται με τη δοκιμή του κυρίου οφέλους</w:t>
      </w:r>
    </w:p>
    <w:p>
      <w:pPr>
        <w:pStyle w:val="NumPar1"/>
        <w:numPr>
          <w:ilvl w:val="0"/>
          <w:numId w:val="1"/>
        </w:numPr>
        <w:rPr>
          <w:noProof/>
        </w:rPr>
      </w:pPr>
      <w:r>
        <w:rPr>
          <w:noProof/>
        </w:rPr>
        <w:t>Ρύθμιση ή σειρά ρυθμίσεων με την οποία ο φορολογούμενος χρησιμοποιεί ζημίες για τη μείωση των φορολογικών του υποχρεώσεων, μεταξύ άλλων μέσω της μεταφοράς των εν λόγω ζημιών σε άλλη δικαιοδοσία ή με την επιτάχυνση της χρήσης των εν λόγω ζημιών.</w:t>
      </w:r>
    </w:p>
    <w:p>
      <w:pPr>
        <w:pStyle w:val="NumPar1"/>
        <w:rPr>
          <w:noProof/>
        </w:rPr>
      </w:pPr>
      <w:r>
        <w:rPr>
          <w:noProof/>
        </w:rPr>
        <w:t>Ρύθμιση ή σειρά ρυθμίσεων που έχει ως αποτέλεσμα τη μετατροπή εσόδων σε κεφάλαιο, δωρεές ή άλλες κατηγορίες εσόδων τα οποία φορολογούνται σε χαμηλότερο επίπεδο.</w:t>
      </w:r>
    </w:p>
    <w:p>
      <w:pPr>
        <w:pStyle w:val="NumPar1"/>
        <w:rPr>
          <w:noProof/>
        </w:rPr>
      </w:pPr>
      <w:r>
        <w:rPr>
          <w:noProof/>
        </w:rPr>
        <w:lastRenderedPageBreak/>
        <w:t>Ρύθμιση ή σειρά ρυθμίσεων που περιλαμβάνει συναλλαγές κυκλικού χαρακτήρα που οδηγούν στις κυκλικές διαδρομές κεφαλαίων, δηλαδή μέσω της συμμετοχής παρεμβαλλόμενων οντοτήτων χωρίς άλλη πρωτογενή εμπορική λειτουργία ή συναλλαγές που αντισταθμίζουν ή ακυρώνουν η μία την άλλη ή που έχουν παρόμοια χαρακτηριστικά.</w:t>
      </w:r>
    </w:p>
    <w:p>
      <w:pPr>
        <w:pStyle w:val="Text1"/>
        <w:rPr>
          <w:noProof/>
        </w:rPr>
      </w:pPr>
    </w:p>
    <w:p>
      <w:pPr>
        <w:rPr>
          <w:b/>
          <w:i/>
          <w:noProof/>
        </w:rPr>
      </w:pPr>
      <w:r>
        <w:rPr>
          <w:b/>
          <w:noProof/>
        </w:rPr>
        <w:t>Γ.</w:t>
      </w:r>
      <w:r>
        <w:rPr>
          <w:noProof/>
        </w:rPr>
        <w:tab/>
      </w:r>
      <w:r>
        <w:rPr>
          <w:b/>
          <w:noProof/>
        </w:rPr>
        <w:t>Ειδικά διακριτικά που συνδέονται με διασυνοριακές συναλλαγές</w:t>
      </w:r>
    </w:p>
    <w:p>
      <w:pPr>
        <w:pStyle w:val="NumPar1"/>
        <w:numPr>
          <w:ilvl w:val="0"/>
          <w:numId w:val="2"/>
        </w:numPr>
        <w:rPr>
          <w:noProof/>
        </w:rPr>
      </w:pPr>
      <w:r>
        <w:rPr>
          <w:noProof/>
        </w:rPr>
        <w:t>Ρύθμιση ή σειρά ρυθμίσεων η οποία περιλαμβάνει εκπεστέες διασυνοριακές πληρωμές που πραγματοποιούνται μεταξύ δύο ή περισσότερων συνδεδεμένων μερών εφόσον συντρέχει τουλάχιστον μία από τις ακόλουθες προϋποθέσεις:</w:t>
      </w:r>
    </w:p>
    <w:p>
      <w:pPr>
        <w:pStyle w:val="Point1letter"/>
        <w:numPr>
          <w:ilvl w:val="3"/>
          <w:numId w:val="3"/>
        </w:numPr>
        <w:rPr>
          <w:noProof/>
        </w:rPr>
      </w:pPr>
      <w:r>
        <w:rPr>
          <w:noProof/>
        </w:rPr>
        <w:t xml:space="preserve">ο αποδέκτης δεν είναι κάτοικος για φορολογικούς σκοπούς σε οιαδήποτε φορολογική δικαιοδοσία· </w:t>
      </w:r>
    </w:p>
    <w:p>
      <w:pPr>
        <w:pStyle w:val="Point1letter"/>
        <w:rPr>
          <w:noProof/>
        </w:rPr>
      </w:pPr>
      <w:r>
        <w:rPr>
          <w:noProof/>
        </w:rPr>
        <w:t>μολονότι ο αποδέκτης είναι κάτοικος για φορολογικούς σκοπούς σε μια δικαιοδοσία, η δικαιοδοσία αυτή είτε:</w:t>
      </w:r>
    </w:p>
    <w:p>
      <w:pPr>
        <w:pStyle w:val="Point2"/>
        <w:rPr>
          <w:noProof/>
        </w:rPr>
      </w:pPr>
      <w:r>
        <w:rPr>
          <w:noProof/>
        </w:rPr>
        <w:t>i.</w:t>
      </w:r>
      <w:r>
        <w:rPr>
          <w:noProof/>
        </w:rPr>
        <w:tab/>
        <w:t>δεν επιβάλλει φόρο εταιρειών· είτε</w:t>
      </w:r>
    </w:p>
    <w:p>
      <w:pPr>
        <w:pStyle w:val="Point2"/>
        <w:rPr>
          <w:noProof/>
        </w:rPr>
      </w:pPr>
      <w:r>
        <w:rPr>
          <w:noProof/>
        </w:rPr>
        <w:t>ii.</w:t>
      </w:r>
      <w:r>
        <w:rPr>
          <w:noProof/>
        </w:rPr>
        <w:tab/>
        <w:t>επιβάλλει φόρο εταιρειών με μηδενικό συντελεστή ή με νόμιμο συντελεστή φορολογίας εταιρειών κατώτερο από το ήμισυ του μέσου νόμιμου συντελεστή φορολογίας εταιρειών στην Ένωση, όπως διαμορφώθηκε κατά τη λήξη του προηγούμενου ημερολογιακού έτους· είτε</w:t>
      </w:r>
    </w:p>
    <w:p>
      <w:pPr>
        <w:pStyle w:val="Point2"/>
        <w:rPr>
          <w:noProof/>
        </w:rPr>
      </w:pPr>
      <w:r>
        <w:rPr>
          <w:noProof/>
        </w:rPr>
        <w:t>iii.</w:t>
      </w:r>
      <w:r>
        <w:rPr>
          <w:noProof/>
        </w:rPr>
        <w:tab/>
        <w:t>περιλαμβάνεται σε κατάλογο με δικαιοδοσίες τρίτων χωρών που έχουν αξιολογηθεί από τα κράτη μέλη συλλογικά ή στο πλαίσιο διεθνούς οργανισμού ως έχουσες επιζήμια φορολογικά καθεστώτα.</w:t>
      </w:r>
    </w:p>
    <w:p>
      <w:pPr>
        <w:pStyle w:val="Point1letter"/>
        <w:numPr>
          <w:ilvl w:val="3"/>
          <w:numId w:val="3"/>
        </w:numPr>
        <w:rPr>
          <w:noProof/>
        </w:rPr>
      </w:pPr>
      <w:r>
        <w:rPr>
          <w:noProof/>
        </w:rPr>
        <w:t>η καταβολή τυγχάνει μερικής ή πλήρους απαλλαγής από τη φορολογία στην περιοχή δικαιοδοσίας όπου ο αποδέκτης είναι κάτοικος για φορολογικούς σκοπούς·</w:t>
      </w:r>
    </w:p>
    <w:p>
      <w:pPr>
        <w:pStyle w:val="Point1letter"/>
        <w:numPr>
          <w:ilvl w:val="3"/>
          <w:numId w:val="3"/>
        </w:numPr>
        <w:rPr>
          <w:noProof/>
        </w:rPr>
      </w:pPr>
      <w:r>
        <w:rPr>
          <w:noProof/>
        </w:rPr>
        <w:t>η καταβολή υπάγεται σε προτιμησιακό φορολογικό καθεστώς στην περιοχή δικαιοδοσίας όπου ο αποδέκτης είναι κάτοικος για φορολογικούς σκοπούς·</w:t>
      </w:r>
    </w:p>
    <w:p>
      <w:pPr>
        <w:pStyle w:val="Point1letter"/>
        <w:numPr>
          <w:ilvl w:val="3"/>
          <w:numId w:val="3"/>
        </w:numPr>
        <w:rPr>
          <w:noProof/>
        </w:rPr>
      </w:pPr>
      <w:r>
        <w:rPr>
          <w:noProof/>
        </w:rPr>
        <w:t>υπάρχει αναντιστοιχία εντός του πεδίου εφαρμογής της οδηγίας του Συμβουλίου για την τροποποίηση της οδηγίας (ΕΕ) 2016/1164 όσον αφορά τις ασυμφωνίες στη μεταχείριση υβριδικών μέσων με τρίτες χώρες, η οποία εγκρίθηκε από το Συμβούλιο των Υπουργών στις 23 Μαΐου 2017.</w:t>
      </w:r>
    </w:p>
    <w:p>
      <w:pPr>
        <w:pStyle w:val="NumPar1"/>
        <w:rPr>
          <w:noProof/>
        </w:rPr>
      </w:pPr>
      <w:r>
        <w:rPr>
          <w:noProof/>
        </w:rPr>
        <w:t>Το ίδιο περιουσιακό στοιχείο υπόκειται σε απόσβεση σε περισσότερες της μίας δικαιοδοσίες.</w:t>
      </w:r>
    </w:p>
    <w:p>
      <w:pPr>
        <w:pStyle w:val="NumPar1"/>
        <w:rPr>
          <w:noProof/>
        </w:rPr>
      </w:pPr>
      <w:r>
        <w:rPr>
          <w:noProof/>
        </w:rPr>
        <w:t>Περισσότεροι του ενός φορολογούμενοι μπορούν να ζητήσουν απαλλαγή από τη διπλή φορολόγηση για το ίδιο στοιχείο εισοδήματος σε διαφορετικές δικαιοδοσίες.</w:t>
      </w:r>
    </w:p>
    <w:p>
      <w:pPr>
        <w:pStyle w:val="NumPar1"/>
        <w:rPr>
          <w:noProof/>
        </w:rPr>
      </w:pPr>
      <w:r>
        <w:rPr>
          <w:noProof/>
        </w:rPr>
        <w:t>Υφίσταται ρύθμιση ή σειρά ρυθμίσεων που περιλαμβάνει μεταβιβάσεις περιουσιακών στοιχείων και όταν υπάρχει ουσιαστική διαφορά στο ποσό που θεωρείται πληρωτέο σε αντάλλαγμα για τα περιουσιακά στοιχεία σε αυτές τις δικαιοδοσίες.</w:t>
      </w:r>
    </w:p>
    <w:p>
      <w:pPr>
        <w:rPr>
          <w:noProof/>
        </w:rPr>
      </w:pPr>
    </w:p>
    <w:p>
      <w:pPr>
        <w:rPr>
          <w:b/>
          <w:noProof/>
        </w:rPr>
      </w:pPr>
      <w:r>
        <w:rPr>
          <w:b/>
          <w:noProof/>
        </w:rPr>
        <w:lastRenderedPageBreak/>
        <w:t>Δ.</w:t>
      </w:r>
      <w:r>
        <w:rPr>
          <w:noProof/>
        </w:rPr>
        <w:tab/>
      </w:r>
      <w:r>
        <w:rPr>
          <w:b/>
          <w:noProof/>
        </w:rPr>
        <w:t>Ειδικά διακριτικά σχετικά με συμφωνίες αυτόματης ανταλλαγής πληροφοριών στην Ένωση</w:t>
      </w:r>
    </w:p>
    <w:p>
      <w:pPr>
        <w:pStyle w:val="Text1"/>
        <w:rPr>
          <w:noProof/>
        </w:rPr>
      </w:pPr>
      <w:r>
        <w:rPr>
          <w:noProof/>
        </w:rPr>
        <w:t>Ρύθμιση ή σειρά ρυθμίσεων που καταστρατηγούν νομοθεσία ή συμφωνίες της Ένωσης σχετικά με την αυτόματη ανταλλαγή πληροφοριών, συμπεριλαμβανομένων των συμφωνιών με τρίτες χώρες, και έχουν ως αποτέλεσμα την αποφυγή της αναφοράς εισοδημάτων στο κράτος της φορολογικής κατοικίας του φορολογουμένου. Οι ρυθμίσεις αυτές μπορεί να περιλαμβάνουν:</w:t>
      </w:r>
    </w:p>
    <w:p>
      <w:pPr>
        <w:pStyle w:val="Point1letter"/>
        <w:numPr>
          <w:ilvl w:val="3"/>
          <w:numId w:val="4"/>
        </w:numPr>
        <w:rPr>
          <w:noProof/>
        </w:rPr>
      </w:pPr>
      <w:r>
        <w:rPr>
          <w:noProof/>
        </w:rPr>
        <w:t>τη χρήση δικαιοδοσιών που δεν δεσμεύονται από τη νομοθεσία ή συμφωνίες της Ένωσης σχετικά με την αυτόματη ανταλλαγή πληροφοριών·</w:t>
      </w:r>
    </w:p>
    <w:p>
      <w:pPr>
        <w:pStyle w:val="Point1letter"/>
        <w:rPr>
          <w:noProof/>
        </w:rPr>
      </w:pPr>
      <w:r>
        <w:rPr>
          <w:noProof/>
        </w:rPr>
        <w:t>την εκ νέου ταξινόμηση των ειδών εισοδημάτων σε κατηγορίες που δεν υπόκεινται στην αυτόματη ανταλλαγή πληροφοριών·</w:t>
      </w:r>
    </w:p>
    <w:p>
      <w:pPr>
        <w:pStyle w:val="Point1letter"/>
        <w:rPr>
          <w:noProof/>
        </w:rPr>
      </w:pPr>
      <w:r>
        <w:rPr>
          <w:noProof/>
        </w:rPr>
        <w:t>τη χρήση νομικών οντοτήτων και δομών που δεν προβλέπονται από τη νομοθεσία ή συμφωνίες της Ένωσης σχετικά με την αυτόματη ανταλλαγή πληροφοριών·</w:t>
      </w:r>
    </w:p>
    <w:p>
      <w:pPr>
        <w:pStyle w:val="Point1letter"/>
        <w:rPr>
          <w:noProof/>
        </w:rPr>
      </w:pPr>
      <w:r>
        <w:rPr>
          <w:noProof/>
        </w:rPr>
        <w:t>τη χρήση δικαιοδοσιών με ανεπαρκή ή αδύναμα καθεστώτα επιβολής της νομοθεσίας περί νομιμοποίησης εσόδων από παράνομες δραστηριότητες. Αυτό περιλαμβάνει τις περιπτώσεις όπου δεν υπάρχουν κανόνες για τον προσδιορισμό των πραγματικών δικαιούχων νομικών οντοτήτων, συμπεριλαμβανομένων των καταπιστευμάτων, ιδρυμάτων και φορέων ειδικού σκοπού ή όταν υπάρχει χρήση εντολοδόχων ή πληρεξουσίου για απόκρυψη της ταυτότητας του πραγματικού δικαιούχου.</w:t>
      </w:r>
    </w:p>
    <w:p>
      <w:pPr>
        <w:pStyle w:val="Text1"/>
        <w:rPr>
          <w:noProof/>
        </w:rPr>
      </w:pPr>
    </w:p>
    <w:p>
      <w:pPr>
        <w:rPr>
          <w:b/>
          <w:noProof/>
        </w:rPr>
      </w:pPr>
      <w:r>
        <w:rPr>
          <w:b/>
          <w:noProof/>
        </w:rPr>
        <w:t>E.</w:t>
      </w:r>
      <w:r>
        <w:rPr>
          <w:noProof/>
        </w:rPr>
        <w:tab/>
      </w:r>
      <w:r>
        <w:rPr>
          <w:b/>
          <w:noProof/>
        </w:rPr>
        <w:t>Ειδικά διακριτικά σχετικά με την ενδοομιλική τιμολόγηση</w:t>
      </w:r>
    </w:p>
    <w:p>
      <w:pPr>
        <w:pStyle w:val="NumPar1"/>
        <w:numPr>
          <w:ilvl w:val="0"/>
          <w:numId w:val="5"/>
        </w:numPr>
        <w:rPr>
          <w:noProof/>
        </w:rPr>
      </w:pPr>
      <w:r>
        <w:rPr>
          <w:noProof/>
        </w:rPr>
        <w:t>Ρύθμιση ή σειρά ρυθμίσεων που δεν είναι σύμφωνες με την αρχή του πλήρους ανταγωνισμού ή με τις κατευθυντήριες γραμμές του ΟΟΣΑ για τις τιμές των ενδοομιλικών συναλλαγών, συμπεριλαμβανομένου του επιμερισμού των κερδών μεταξύ διαφορετικών μελών του ίδιου ομίλου εταιρειών.</w:t>
      </w:r>
    </w:p>
    <w:p>
      <w:pPr>
        <w:pStyle w:val="NumPar1"/>
        <w:rPr>
          <w:noProof/>
        </w:rPr>
      </w:pPr>
      <w:r>
        <w:rPr>
          <w:noProof/>
        </w:rPr>
        <w:t>Ρύθμιση ή σειρά ρυθμίσεων που εμπίπτει στο πεδίο εφαρμογής της αυτόματης ανταλλαγής πληροφοριών όσον αφορά τις εκ των προτέρων διασυνοριακές αποφάσεις, η οποία δεν δηλώνεται ούτε αποτελεί αντικείμενο ανταλλαγής.»</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525D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6AD7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822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94DA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CADC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00F8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0AFB32"/>
    <w:lvl w:ilvl="0">
      <w:start w:val="1"/>
      <w:numFmt w:val="decimal"/>
      <w:pStyle w:val="ListNumber"/>
      <w:lvlText w:val="%1."/>
      <w:lvlJc w:val="left"/>
      <w:pPr>
        <w:tabs>
          <w:tab w:val="num" w:pos="360"/>
        </w:tabs>
        <w:ind w:left="360" w:hanging="360"/>
      </w:pPr>
    </w:lvl>
  </w:abstractNum>
  <w:abstractNum w:abstractNumId="7">
    <w:nsid w:val="FFFFFF89"/>
    <w:multiLevelType w:val="singleLevel"/>
    <w:tmpl w:val="83829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2 10:41: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ACCOMPAGNANT" w:val="\u963?\u964?\u951?\u957?"/>
    <w:docVar w:name="LW_ACCOMPAGNANT.CP" w:val="\u963?\u964?\u951?\u957?"/>
    <w:docVar w:name="LW_ANNEX_NBR_FIRST" w:val="1"/>
    <w:docVar w:name="LW_ANNEX_NBR_LAST" w:val="1"/>
    <w:docVar w:name="LW_CONFIDENCE" w:val=" "/>
    <w:docVar w:name="LW_CONST_RESTREINT_UE" w:val="RESTREINT UE"/>
    <w:docVar w:name="LW_CORRIGENDUM" w:val="&lt;UNUSED&gt;"/>
    <w:docVar w:name="LW_COVERPAGE_GUID" w:val="E4C160F5B25740858EC269158BCD59D6"/>
    <w:docVar w:name="LW_CROSSREFERENCE" w:val="{SWD(2017) 236 final}_x000b_{SWD(2017) 237 final}"/>
    <w:docVar w:name="LW_DocType" w:val="ANNEX"/>
    <w:docVar w:name="LW_EMISSION" w:val="21.6.2017"/>
    <w:docVar w:name="LW_EMISSION_ISODATE" w:val="2017-06-21"/>
    <w:docVar w:name="LW_EMISSION_LOCATION" w:val="BRX"/>
    <w:docVar w:name="LW_EMISSION_PREFIX" w:val="\u914?\u961?\u965?\u958?\u941?\u955?\u955?\u949?\u962?, "/>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 w:val="\u947?\u953?\u945? \u964?\u951?\u957? \u964?\u961?\u959?\u960?\u959?\u960?\u959?\u943?\u951?\u963?\u951? \u964?\u951?\u962? \u959?\u948?\u951?\u947?\u943?\u945?\u962? 2011/16/\u917?\u917? \u972?\u963?\u959?\u957? \u945?\u966?\u959?\u961?\u940? \u964?\u951?\u957? \u965?\u960?\u959?\u967?\u961?\u949?\u969?\u964?\u953?\u954?\u942? \u945?\u965?\u964?\u972?\u956?\u945?\u964?\u951? \u945?\u957?\u964?\u945?\u955?\u955?\u945?\u947?\u942? \u960?\u955?\u951?\u961?\u959?\u966?\u959?\u961?\u953?\u974?\u957? \u963?\u964?\u959?\u957? \u964?\u959?\u956?\u941?\u945? \u964?\u951?\u962? \u966?\u959?\u961?\u959?\u955?\u959?\u947?\u943?\u945?\u962? \u963?\u967?\u949?\u964?\u953?\u954?\u940? \u956?\u949? \u948?\u951?\u955?\u969?\u964?\u941?\u949?\u962? \u948?\u953?\u945?\u963?\u965?\u957?\u959?\u961?\u953?\u945?\u954?\u941?\u962? \u961?\u965?\u952?\u956?\u943?\u963?\u949?\u953?\u962?"/>
    <w:docVar w:name="LW_OBJETACTEPRINCIPAL.CP" w:val="\u947?\u953?\u945? \u964?\u951?\u957? \u964?\u961?\u959?\u960?\u959?\u960?\u959?\u943?\u951?\u963?\u951? \u964?\u951?\u962? \u959?\u948?\u951?\u947?\u943?\u945?\u962? 2011/16/\u917?\u917? \u972?\u963?\u959?\u957? \u945?\u966?\u959?\u961?\u940? \u964?\u951?\u957? \u965?\u960?\u959?\u967?\u961?\u949?\u969?\u964?\u953?\u954?\u942? \u945?\u965?\u964?\u972?\u956?\u945?\u964?\u951? \u945?\u957?\u964?\u945?\u955?\u955?\u945?\u947?\u942? \u960?\u955?\u951?\u961?\u959?\u966?\u959?\u961?\u953?\u974?\u957? \u963?\u964?\u959?\u957? \u964?\u959?\u956?\u941?\u945? \u964?\u951?\u962? \u966?\u959?\u961?\u959?\u955?\u959?\u947?\u943?\u945?\u962? \u963?\u967?\u949?\u964?\u953?\u954?\u940? \u956?\u949? \u948?\u951?\u955?\u969?\u964?\u941?\u949?\u962? \u948?\u953?\u945?\u963?\u965?\u957?\u959?\u961?\u953?\u945?\u954?\u941?\u962? \u961?\u965?\u952?\u956?\u943?\u963?\u949?\u953?\u962?"/>
    <w:docVar w:name="LW_PART_NBR" w:val="1"/>
    <w:docVar w:name="LW_PART_NBR_TOTAL" w:val="1"/>
    <w:docVar w:name="LW_REF.INST.NEW" w:val="COM"/>
    <w:docVar w:name="LW_REF.INST.NEW_ADOPTED" w:val="final"/>
    <w:docVar w:name="LW_REF.INST.NEW_TEXT" w:val="(2017) 335"/>
    <w:docVar w:name="LW_REF.INTERNE" w:val="&lt;UNUSED&gt;"/>
    <w:docVar w:name="LW_SUPERTITRE" w:val="&lt;UNUSED&gt;"/>
    <w:docVar w:name="LW_TITRE.OBJ.CP" w:val="&lt;UNUSED&gt;"/>
    <w:docVar w:name="LW_TYPE.DOC" w:val="\u928?\u913?\u929?\u913?\u929?\u932?\u919?\u924?\u913?"/>
    <w:docVar w:name="LW_TYPE.DOC.CP" w:val="\u928?\u913?\u929?\u913?\u929?\u932?\u919?\u924?\u913?"/>
    <w:docVar w:name="LW_TYPEACTEPRINCIPAL" w:val="\u928?\u961?\u972?\u964?\u945?\u963?\u951? \u959?\u948?\u951?\u947?\u943?\u945?\u962? \u964?\u959?\u965? \u931?\u965?\u956?\u946?\u959?\u965?\u952?\u955?\u943?\u959?\u965?"/>
    <w:docVar w:name="LW_TYPEACTEPRINCIPAL.CP" w:val="\u928?\u961?\u972?\u964?\u945?\u963?\u951? \u959?\u948?\u951?\u947?\u943?\u945?\u962? \u964?\u959?\u965? \u931?\u965?\u956?\u946?\u959?\u965?\u952?\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l-G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l-G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22</TotalTime>
  <Pages>4</Pages>
  <Words>914</Words>
  <Characters>5485</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QUADRI Eva (TAXUD)</dc:creator>
  <cp:lastModifiedBy>DIGIT/A3</cp:lastModifiedBy>
  <cp:revision>9</cp:revision>
  <dcterms:created xsi:type="dcterms:W3CDTF">2017-06-02T08:40:00Z</dcterms:created>
  <dcterms:modified xsi:type="dcterms:W3CDTF">2017-06-27T08:57:00Z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