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C3" w:rsidRDefault="00D7065F">
      <w:pPr>
        <w:pStyle w:val="Pagedecouverture"/>
        <w:rPr>
          <w:noProof/>
        </w:rPr>
      </w:pPr>
      <w:bookmarkStart w:id="0" w:name="LW_BM_COVERPAGE"/>
      <w:bookmarkStart w:id="1" w:name="_Toc440028495"/>
      <w:bookmarkStart w:id="2" w:name="_Toc44061417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720DD778FC04ABD8DBE859774FC91C2" style="width:451pt;height:307pt">
            <v:imagedata r:id="rId9" o:title=""/>
          </v:shape>
        </w:pict>
      </w:r>
    </w:p>
    <w:bookmarkEnd w:id="0"/>
    <w:p w:rsidR="00B85BC3" w:rsidRDefault="00B85BC3">
      <w:pPr>
        <w:pStyle w:val="Heading1"/>
        <w:rPr>
          <w:noProof/>
        </w:rPr>
        <w:sectPr w:rsidR="00B85BC3">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B85BC3" w:rsidRDefault="00D7065F">
      <w:pPr>
        <w:pStyle w:val="Heading1"/>
        <w:rPr>
          <w:noProof/>
        </w:rPr>
      </w:pPr>
      <w:r>
        <w:rPr>
          <w:rStyle w:val="Heading1Char"/>
          <w:b/>
          <w:smallCaps/>
          <w:noProof/>
        </w:rPr>
        <w:lastRenderedPageBreak/>
        <w:t>Antimikroobikumiresistentsuse vastaste ELi meetmete vajadus</w:t>
      </w:r>
    </w:p>
    <w:p w:rsidR="00B85BC3" w:rsidRDefault="00D7065F">
      <w:pPr>
        <w:pStyle w:val="Heading2"/>
        <w:rPr>
          <w:noProof/>
        </w:rPr>
      </w:pPr>
      <w:r>
        <w:rPr>
          <w:noProof/>
        </w:rPr>
        <w:t>Olukorra ülevaade</w:t>
      </w:r>
    </w:p>
    <w:p w:rsidR="00B85BC3" w:rsidRDefault="00D7065F">
      <w:pPr>
        <w:autoSpaceDE w:val="0"/>
        <w:autoSpaceDN w:val="0"/>
        <w:adjustRightInd w:val="0"/>
        <w:spacing w:after="0"/>
        <w:rPr>
          <w:rFonts w:ascii="Times New Roman" w:hAnsi="Times New Roman"/>
          <w:noProof/>
          <w:sz w:val="24"/>
          <w:szCs w:val="24"/>
        </w:rPr>
      </w:pPr>
      <w:r>
        <w:rPr>
          <w:rFonts w:ascii="Times New Roman" w:hAnsi="Times New Roman"/>
          <w:noProof/>
          <w:sz w:val="24"/>
        </w:rPr>
        <w:t>Alates 1928. aastast,</w:t>
      </w:r>
      <w:r>
        <w:rPr>
          <w:rFonts w:ascii="Times New Roman" w:hAnsi="Times New Roman"/>
          <w:noProof/>
          <w:sz w:val="24"/>
        </w:rPr>
        <w:t xml:space="preserve"> kui esimesena avastati penitsilliin, on elupäästvad antimikroobikumid olnud murrangulise tähtsusega meie ühiskonnale ja majandusele. Endistest surmahaigustest on saanud tavalised haigusseisundid, mis vajavad lihtsalt veidi enamat kui kiirravi. Need saavut</w:t>
      </w:r>
      <w:r>
        <w:rPr>
          <w:rFonts w:ascii="Times New Roman" w:hAnsi="Times New Roman"/>
          <w:noProof/>
          <w:sz w:val="24"/>
        </w:rPr>
        <w:t>used on nüüd ohus põhiliselt antimikroobikumide liigse või väära kasutamise tõttu, mis on põhjustanud multiresistentsete bakterite tekke ja leviku. Võtmata tõhusaid meetmeid praeguste trendide muutmiseks, võime jõuda tagasi antibiootikumide-eelsesse ajastu</w:t>
      </w:r>
      <w:r>
        <w:rPr>
          <w:rFonts w:ascii="Times New Roman" w:hAnsi="Times New Roman"/>
          <w:noProof/>
          <w:sz w:val="24"/>
        </w:rPr>
        <w:t>sse, kus tüsistumata haavad ja nakkused põhjustavad olulist kahju ja isegi surma ning meditsiinilised tavaprotseduurid on väga suure riskiga.</w:t>
      </w:r>
    </w:p>
    <w:p w:rsidR="00B85BC3" w:rsidRDefault="00B85BC3">
      <w:pPr>
        <w:autoSpaceDE w:val="0"/>
        <w:autoSpaceDN w:val="0"/>
        <w:adjustRightInd w:val="0"/>
        <w:spacing w:after="0"/>
        <w:rPr>
          <w:rFonts w:ascii="Times New Roman" w:hAnsi="Times New Roman"/>
          <w:noProof/>
          <w:sz w:val="24"/>
          <w:szCs w:val="24"/>
        </w:rPr>
      </w:pPr>
    </w:p>
    <w:tbl>
      <w:tblPr>
        <w:tblStyle w:val="TableGrid"/>
        <w:tblW w:w="0" w:type="auto"/>
        <w:tblLook w:val="04A0" w:firstRow="1" w:lastRow="0" w:firstColumn="1" w:lastColumn="0" w:noHBand="0" w:noVBand="1"/>
      </w:tblPr>
      <w:tblGrid>
        <w:gridCol w:w="9288"/>
      </w:tblGrid>
      <w:tr w:rsidR="00B85BC3">
        <w:tc>
          <w:tcPr>
            <w:tcW w:w="9288" w:type="dxa"/>
            <w:tcBorders>
              <w:top w:val="single" w:sz="18" w:space="0" w:color="auto"/>
              <w:left w:val="single" w:sz="18" w:space="0" w:color="auto"/>
              <w:bottom w:val="single" w:sz="18" w:space="0" w:color="auto"/>
              <w:right w:val="single" w:sz="18" w:space="0" w:color="auto"/>
            </w:tcBorders>
          </w:tcPr>
          <w:p w:rsidR="00B85BC3" w:rsidRDefault="00D7065F">
            <w:pPr>
              <w:rPr>
                <w:rFonts w:ascii="Times New Roman" w:hAnsi="Times New Roman"/>
                <w:noProof/>
              </w:rPr>
            </w:pPr>
            <w:r>
              <w:rPr>
                <w:rFonts w:ascii="Times New Roman" w:hAnsi="Times New Roman"/>
                <w:b/>
                <w:noProof/>
                <w:sz w:val="24"/>
                <w:szCs w:val="24"/>
              </w:rPr>
              <w:t>Antimikroobikumid</w:t>
            </w:r>
            <w:r>
              <w:rPr>
                <w:rFonts w:ascii="Times New Roman" w:hAnsi="Times New Roman"/>
                <w:noProof/>
                <w:sz w:val="16"/>
              </w:rPr>
              <w:t xml:space="preserve"> –</w:t>
            </w:r>
            <w:r>
              <w:rPr>
                <w:rFonts w:ascii="Times New Roman" w:hAnsi="Times New Roman"/>
                <w:noProof/>
              </w:rPr>
              <w:t xml:space="preserve"> hõlmavad</w:t>
            </w:r>
            <w:r>
              <w:rPr>
                <w:noProof/>
              </w:rPr>
              <w:t xml:space="preserve"> </w:t>
            </w:r>
            <w:r>
              <w:rPr>
                <w:rFonts w:ascii="Times New Roman" w:hAnsi="Times New Roman"/>
                <w:noProof/>
              </w:rPr>
              <w:t>antibiootikume, viirus-, seene- ja algloomade vastaseid ravimeid. Need on sünteetili</w:t>
            </w:r>
            <w:r>
              <w:rPr>
                <w:rFonts w:ascii="Times New Roman" w:hAnsi="Times New Roman"/>
                <w:noProof/>
              </w:rPr>
              <w:t>sed või looduslikud toimeained, mis tapavad mikroorganisme või pärsivad nende kasvu. Neid kasutatakse tavameditsiinis (nt kuseteede nakkuste korral, kirurgias ning enneaegsete laste ravis), kus nad on olulised nii inimeste kui ka loomade nakkuste ennetuses</w:t>
            </w:r>
            <w:r>
              <w:rPr>
                <w:rFonts w:ascii="Times New Roman" w:hAnsi="Times New Roman"/>
                <w:noProof/>
              </w:rPr>
              <w:t xml:space="preserve"> ja ravis.</w:t>
            </w:r>
          </w:p>
          <w:p w:rsidR="00B85BC3" w:rsidRDefault="00D7065F">
            <w:pPr>
              <w:rPr>
                <w:rFonts w:ascii="Times New Roman" w:hAnsi="Times New Roman"/>
                <w:noProof/>
                <w:sz w:val="24"/>
                <w:szCs w:val="24"/>
              </w:rPr>
            </w:pPr>
            <w:r>
              <w:rPr>
                <w:rFonts w:ascii="Times New Roman" w:hAnsi="Times New Roman"/>
                <w:b/>
                <w:noProof/>
                <w:sz w:val="24"/>
                <w:szCs w:val="24"/>
              </w:rPr>
              <w:t>Antimikroobikumiresistentsus</w:t>
            </w:r>
            <w:r>
              <w:rPr>
                <w:rFonts w:ascii="Times New Roman" w:hAnsi="Times New Roman"/>
                <w:noProof/>
                <w:sz w:val="16"/>
              </w:rPr>
              <w:t xml:space="preserve"> –</w:t>
            </w:r>
            <w:r>
              <w:rPr>
                <w:rFonts w:ascii="Times New Roman" w:hAnsi="Times New Roman"/>
                <w:noProof/>
                <w:sz w:val="24"/>
              </w:rPr>
              <w:t xml:space="preserve"> </w:t>
            </w:r>
            <w:r>
              <w:rPr>
                <w:rFonts w:ascii="Times New Roman" w:hAnsi="Times New Roman"/>
                <w:noProof/>
              </w:rPr>
              <w:t>mikroorganismide (nt bakterid) võime muutuda üha enam resistentseks antimikroobikumile, mille suhtes nad olid varem tundlikud. Antimikroobikumiresistentsus on loodusliku valiku ja geneetilise mutatsiooni tulemus. S</w:t>
            </w:r>
            <w:r>
              <w:rPr>
                <w:rFonts w:ascii="Times New Roman" w:hAnsi="Times New Roman"/>
                <w:noProof/>
              </w:rPr>
              <w:t>elline mutatsioon kandub edasi, põhjustades resistentsuse teket. Seda loodusliku valiku protsessi soodustab inimtegevus, nt antimikroobikumide väärkasutus inim- ja veterinaartervishoius ning resistentsete mikroorganismide levikut hõlbustavad halvad hügieen</w:t>
            </w:r>
            <w:r>
              <w:rPr>
                <w:rFonts w:ascii="Times New Roman" w:hAnsi="Times New Roman"/>
                <w:noProof/>
              </w:rPr>
              <w:t>itingimused ja halb hügieenitava tervishoiuasutustes või toidutarneahelas. Aja jooksul vähendab see antimikroobikumid tõhusust ja muudab nad lõppkokkuvõttes kasutuks.</w:t>
            </w:r>
          </w:p>
        </w:tc>
      </w:tr>
    </w:tbl>
    <w:p w:rsidR="00B85BC3" w:rsidRDefault="00B85BC3">
      <w:pPr>
        <w:autoSpaceDE w:val="0"/>
        <w:autoSpaceDN w:val="0"/>
        <w:adjustRightInd w:val="0"/>
        <w:spacing w:after="0"/>
        <w:rPr>
          <w:rFonts w:ascii="Times New Roman" w:hAnsi="Times New Roman"/>
          <w:noProof/>
          <w:sz w:val="24"/>
          <w:szCs w:val="24"/>
        </w:rPr>
      </w:pPr>
    </w:p>
    <w:p w:rsidR="00B85BC3" w:rsidRDefault="00D7065F">
      <w:pPr>
        <w:spacing w:before="240"/>
        <w:rPr>
          <w:rFonts w:ascii="Times New Roman" w:hAnsi="Times New Roman"/>
          <w:noProof/>
          <w:sz w:val="24"/>
          <w:szCs w:val="24"/>
        </w:rPr>
      </w:pPr>
      <w:r>
        <w:rPr>
          <w:rFonts w:ascii="Times New Roman" w:hAnsi="Times New Roman"/>
          <w:noProof/>
          <w:sz w:val="24"/>
        </w:rPr>
        <w:t xml:space="preserve">Antimikroobikumiresistentsus on tõsine probleem nii ELis kui ka kogu maailmas. Maailma </w:t>
      </w:r>
      <w:r>
        <w:rPr>
          <w:rFonts w:ascii="Times New Roman" w:hAnsi="Times New Roman"/>
          <w:noProof/>
          <w:sz w:val="24"/>
        </w:rPr>
        <w:t>Terviseorganisatsiooni (edaspidi „WHO“) kohaselt</w:t>
      </w:r>
      <w:r>
        <w:rPr>
          <w:rStyle w:val="FootnoteReference"/>
          <w:rFonts w:ascii="Times New Roman" w:hAnsi="Times New Roman"/>
          <w:noProof/>
          <w:sz w:val="24"/>
        </w:rPr>
        <w:footnoteReference w:id="2"/>
      </w:r>
      <w:r>
        <w:rPr>
          <w:rFonts w:ascii="Times New Roman" w:hAnsi="Times New Roman"/>
          <w:noProof/>
          <w:sz w:val="24"/>
        </w:rPr>
        <w:t xml:space="preserve"> on antimikroobikumiresistentsuse esinemine paljudes maailma piirkondades juba saavutanud alarmeerivalt kõrge taseme. Paljude tavaliste nakkustega (nt kuseteede nakkused, kopsupõletik, tuberkuloos ja gonorrö</w:t>
      </w:r>
      <w:r>
        <w:rPr>
          <w:rFonts w:ascii="Times New Roman" w:hAnsi="Times New Roman"/>
          <w:noProof/>
          <w:sz w:val="24"/>
        </w:rPr>
        <w:t>a) seotud bakterite puhul on antimikroobikumiresistentsuse suurt esinemust täheldatud WHO kõigis piirkondades.</w:t>
      </w:r>
      <w:r>
        <w:rPr>
          <w:noProof/>
        </w:rPr>
        <w:t xml:space="preserve"> </w:t>
      </w:r>
      <w:r>
        <w:rPr>
          <w:rFonts w:ascii="Times New Roman" w:hAnsi="Times New Roman"/>
          <w:noProof/>
          <w:sz w:val="24"/>
        </w:rPr>
        <w:t>Samuti on suurenemas resistentsus selliste viirusevastaste ravimite suhtes, mida kasutatakse HIV-infektsiooni ravis.</w:t>
      </w:r>
    </w:p>
    <w:p w:rsidR="00B85BC3" w:rsidRDefault="00D7065F">
      <w:pPr>
        <w:spacing w:before="240"/>
        <w:rPr>
          <w:rFonts w:ascii="Times New Roman" w:hAnsi="Times New Roman"/>
          <w:noProof/>
          <w:sz w:val="24"/>
          <w:szCs w:val="24"/>
        </w:rPr>
      </w:pPr>
      <w:r>
        <w:rPr>
          <w:rFonts w:ascii="Times New Roman" w:hAnsi="Times New Roman"/>
          <w:noProof/>
          <w:sz w:val="24"/>
        </w:rPr>
        <w:t>Üleilmsed meetmed hõlmavad Ü</w:t>
      </w:r>
      <w:r>
        <w:rPr>
          <w:rFonts w:ascii="Times New Roman" w:hAnsi="Times New Roman"/>
          <w:noProof/>
          <w:sz w:val="24"/>
        </w:rPr>
        <w:t>hinenud Rahvaste Organisatsiooni (edaspidi „ÜRO“) 2016. aasta poliitilist deklaratsiooni antimikroobikumiresistentsuse kohta</w:t>
      </w:r>
      <w:r>
        <w:rPr>
          <w:rStyle w:val="FootnoteReference"/>
          <w:rFonts w:ascii="Times New Roman" w:hAnsi="Times New Roman"/>
          <w:noProof/>
          <w:sz w:val="24"/>
        </w:rPr>
        <w:footnoteReference w:id="3"/>
      </w:r>
      <w:r>
        <w:rPr>
          <w:rFonts w:ascii="Times New Roman" w:hAnsi="Times New Roman"/>
          <w:noProof/>
          <w:sz w:val="24"/>
        </w:rPr>
        <w:t xml:space="preserve"> ja WHO 2015. aasta üleilmset antimikroobikumiresistentsuse vastast tegevuskava,</w:t>
      </w:r>
      <w:r>
        <w:rPr>
          <w:rStyle w:val="FootnoteReference"/>
          <w:noProof/>
        </w:rPr>
        <w:footnoteReference w:id="4"/>
      </w:r>
      <w:r>
        <w:rPr>
          <w:rFonts w:ascii="Times New Roman" w:hAnsi="Times New Roman"/>
          <w:noProof/>
          <w:sz w:val="24"/>
        </w:rPr>
        <w:t xml:space="preserve"> mille on pärast vastu võtnud veel Maailma Loomaterviseorganisatsioon (OIE) ning ÜRO Toidu- ja Põllumajandusorganisatsioon (FAO). Antimikroobikumiresistentsust on käsitletud ka G7 ja G20 foorumitel.</w:t>
      </w:r>
    </w:p>
    <w:p w:rsidR="00B85BC3" w:rsidRDefault="00D7065F">
      <w:pPr>
        <w:autoSpaceDE w:val="0"/>
        <w:autoSpaceDN w:val="0"/>
        <w:adjustRightInd w:val="0"/>
        <w:spacing w:after="0"/>
        <w:rPr>
          <w:rFonts w:ascii="Times New Roman" w:hAnsi="Times New Roman"/>
          <w:noProof/>
          <w:sz w:val="24"/>
          <w:szCs w:val="24"/>
        </w:rPr>
      </w:pPr>
      <w:r>
        <w:rPr>
          <w:rFonts w:ascii="Times New Roman" w:hAnsi="Times New Roman"/>
          <w:noProof/>
          <w:sz w:val="24"/>
        </w:rPr>
        <w:lastRenderedPageBreak/>
        <w:t>Antimikroobikumiresistentsus põhjustab juba praegu olulis</w:t>
      </w:r>
      <w:r>
        <w:rPr>
          <w:rFonts w:ascii="Times New Roman" w:hAnsi="Times New Roman"/>
          <w:noProof/>
          <w:sz w:val="24"/>
        </w:rPr>
        <w:t>t sotsiaalset ja majanduslikku koormust. Arvestuslikult põhjustab see üksnes ELis 25 000 surma aastas</w:t>
      </w:r>
      <w:bookmarkStart w:id="3" w:name="_Ref484079547"/>
      <w:r>
        <w:rPr>
          <w:rStyle w:val="FootnoteReference"/>
          <w:rFonts w:ascii="Times New Roman" w:hAnsi="Times New Roman"/>
          <w:noProof/>
          <w:sz w:val="24"/>
        </w:rPr>
        <w:footnoteReference w:id="5"/>
      </w:r>
      <w:bookmarkEnd w:id="3"/>
      <w:r>
        <w:rPr>
          <w:rFonts w:ascii="Times New Roman" w:hAnsi="Times New Roman"/>
          <w:noProof/>
          <w:sz w:val="24"/>
        </w:rPr>
        <w:t xml:space="preserve"> ja kogu maailmas 700 000 surma aastas. Prognoositakse, et tegevusetus põhjustab miljoneid surmajuhtumeid kogu maailmas: hinnangute kohaselt võib antimikr</w:t>
      </w:r>
      <w:r>
        <w:rPr>
          <w:rFonts w:ascii="Times New Roman" w:hAnsi="Times New Roman"/>
          <w:noProof/>
          <w:sz w:val="24"/>
        </w:rPr>
        <w:t>oobikumiresistentsus 2050. aastaks põhjustada rohkem surmajuhtumeid kui vähk</w:t>
      </w:r>
      <w:r>
        <w:rPr>
          <w:rStyle w:val="FootnoteReference"/>
          <w:rFonts w:ascii="Times New Roman" w:hAnsi="Times New Roman"/>
          <w:noProof/>
          <w:sz w:val="24"/>
        </w:rPr>
        <w:footnoteReference w:id="6"/>
      </w:r>
      <w:r>
        <w:rPr>
          <w:rFonts w:ascii="Times New Roman" w:hAnsi="Times New Roman"/>
          <w:noProof/>
          <w:sz w:val="24"/>
        </w:rPr>
        <w:t>.</w:t>
      </w:r>
    </w:p>
    <w:p w:rsidR="00B85BC3" w:rsidRDefault="00B85BC3">
      <w:pPr>
        <w:autoSpaceDE w:val="0"/>
        <w:autoSpaceDN w:val="0"/>
        <w:adjustRightInd w:val="0"/>
        <w:spacing w:after="0"/>
        <w:rPr>
          <w:rFonts w:ascii="Times New Roman" w:hAnsi="Times New Roman"/>
          <w:noProof/>
          <w:sz w:val="24"/>
          <w:szCs w:val="24"/>
        </w:rPr>
      </w:pPr>
    </w:p>
    <w:p w:rsidR="00B85BC3" w:rsidRDefault="00D7065F">
      <w:pPr>
        <w:autoSpaceDE w:val="0"/>
        <w:autoSpaceDN w:val="0"/>
        <w:adjustRightInd w:val="0"/>
        <w:spacing w:after="0"/>
        <w:rPr>
          <w:rFonts w:ascii="Times New Roman" w:hAnsi="Times New Roman"/>
          <w:noProof/>
          <w:sz w:val="24"/>
          <w:szCs w:val="24"/>
        </w:rPr>
      </w:pPr>
      <w:r>
        <w:rPr>
          <w:rFonts w:ascii="Times New Roman" w:hAnsi="Times New Roman"/>
          <w:noProof/>
          <w:sz w:val="24"/>
        </w:rPr>
        <w:t>Lisaks olukorra sellise arenguga kaasnevatele inimkannatustele suurendab antimikroobikumiresistentsus ravikulusid ja vähendab haigestumise kasvu tõttu tootlikkust. Antimikroobi</w:t>
      </w:r>
      <w:r>
        <w:rPr>
          <w:rFonts w:ascii="Times New Roman" w:hAnsi="Times New Roman"/>
          <w:noProof/>
          <w:sz w:val="24"/>
        </w:rPr>
        <w:t>kumiresistentsuse hinnanguline kulu, mille moodustavad tervishoiukulud ja tootlikkuse vähenemine, on ainuüksi ELis 1,5 miljardit eurot aastas</w:t>
      </w:r>
      <w:r>
        <w:rPr>
          <w:rFonts w:ascii="Times New Roman" w:hAnsi="Times New Roman"/>
          <w:noProof/>
          <w:sz w:val="24"/>
          <w:szCs w:val="24"/>
          <w:vertAlign w:val="superscript"/>
        </w:rPr>
        <w:fldChar w:fldCharType="begin"/>
      </w:r>
      <w:r>
        <w:rPr>
          <w:rFonts w:ascii="Times New Roman" w:hAnsi="Times New Roman"/>
          <w:noProof/>
          <w:sz w:val="24"/>
          <w:szCs w:val="24"/>
          <w:vertAlign w:val="superscript"/>
        </w:rPr>
        <w:instrText xml:space="preserve"> NOTEREF _Ref484079547 \h  \* MERGEFORMAT </w:instrText>
      </w:r>
      <w:r>
        <w:rPr>
          <w:rFonts w:ascii="Times New Roman" w:hAnsi="Times New Roman"/>
          <w:noProof/>
          <w:sz w:val="24"/>
          <w:szCs w:val="24"/>
          <w:vertAlign w:val="superscript"/>
        </w:rPr>
      </w:r>
      <w:r>
        <w:rPr>
          <w:rFonts w:ascii="Times New Roman" w:hAnsi="Times New Roman"/>
          <w:noProof/>
          <w:sz w:val="24"/>
          <w:szCs w:val="24"/>
          <w:vertAlign w:val="superscript"/>
        </w:rPr>
        <w:fldChar w:fldCharType="separate"/>
      </w:r>
      <w:r>
        <w:rPr>
          <w:rFonts w:ascii="Times New Roman" w:hAnsi="Times New Roman"/>
          <w:noProof/>
          <w:sz w:val="24"/>
          <w:szCs w:val="24"/>
          <w:vertAlign w:val="superscript"/>
        </w:rPr>
        <w:t>4</w:t>
      </w:r>
      <w:r>
        <w:rPr>
          <w:rFonts w:ascii="Times New Roman" w:hAnsi="Times New Roman"/>
          <w:noProof/>
          <w:sz w:val="24"/>
          <w:szCs w:val="24"/>
          <w:vertAlign w:val="superscript"/>
        </w:rPr>
        <w:fldChar w:fldCharType="end"/>
      </w:r>
      <w:r>
        <w:rPr>
          <w:rFonts w:ascii="Times New Roman" w:hAnsi="Times New Roman"/>
          <w:noProof/>
          <w:sz w:val="24"/>
        </w:rPr>
        <w:t>. Ma</w:t>
      </w:r>
      <w:r>
        <w:rPr>
          <w:rFonts w:ascii="Times New Roman" w:hAnsi="Times New Roman"/>
          <w:noProof/>
          <w:sz w:val="24"/>
        </w:rPr>
        <w:t>ailmapanga</w:t>
      </w:r>
      <w:r>
        <w:rPr>
          <w:rStyle w:val="FootnoteReference"/>
          <w:rFonts w:ascii="Times New Roman" w:hAnsi="Times New Roman"/>
          <w:noProof/>
          <w:sz w:val="24"/>
        </w:rPr>
        <w:footnoteReference w:id="7"/>
      </w:r>
      <w:r>
        <w:rPr>
          <w:rFonts w:ascii="Times New Roman" w:hAnsi="Times New Roman"/>
          <w:noProof/>
          <w:sz w:val="24"/>
        </w:rPr>
        <w:t xml:space="preserve"> hoiatuse kohaselt võivad ravimresistentsed nakkused 2050. aastaks põhjustada üleilmset majanduskahju, mis on võrreldav 2008. aasta finantskriisiga. Antimikroobikumiresistentsus ohustab ka mitut ÜRO kestliku arengu eesmärki, eriti hea tervise ja</w:t>
      </w:r>
      <w:r>
        <w:rPr>
          <w:rFonts w:ascii="Times New Roman" w:hAnsi="Times New Roman"/>
          <w:noProof/>
          <w:sz w:val="24"/>
        </w:rPr>
        <w:t xml:space="preserve"> heaoluga seotud eesmärke</w:t>
      </w:r>
      <w:r>
        <w:rPr>
          <w:rStyle w:val="FootnoteReference"/>
          <w:rFonts w:ascii="Times New Roman" w:hAnsi="Times New Roman"/>
          <w:noProof/>
          <w:sz w:val="24"/>
        </w:rPr>
        <w:footnoteReference w:id="8"/>
      </w:r>
      <w:r>
        <w:rPr>
          <w:rFonts w:ascii="Times New Roman" w:hAnsi="Times New Roman"/>
          <w:noProof/>
          <w:sz w:val="24"/>
        </w:rPr>
        <w:t xml:space="preserve"> (3. eesmärk).</w:t>
      </w:r>
    </w:p>
    <w:p w:rsidR="00B85BC3" w:rsidRDefault="00B85BC3">
      <w:pPr>
        <w:autoSpaceDE w:val="0"/>
        <w:autoSpaceDN w:val="0"/>
        <w:adjustRightInd w:val="0"/>
        <w:spacing w:after="0"/>
        <w:rPr>
          <w:rFonts w:ascii="Times New Roman" w:hAnsi="Times New Roman"/>
          <w:noProof/>
          <w:sz w:val="24"/>
          <w:szCs w:val="24"/>
        </w:rPr>
      </w:pPr>
    </w:p>
    <w:p w:rsidR="00B85BC3" w:rsidRDefault="00D7065F">
      <w:pPr>
        <w:autoSpaceDE w:val="0"/>
        <w:autoSpaceDN w:val="0"/>
        <w:adjustRightInd w:val="0"/>
        <w:spacing w:after="0"/>
        <w:rPr>
          <w:rFonts w:ascii="Times New Roman" w:hAnsi="Times New Roman"/>
          <w:noProof/>
          <w:sz w:val="24"/>
          <w:szCs w:val="24"/>
        </w:rPr>
      </w:pPr>
      <w:r>
        <w:rPr>
          <w:rFonts w:ascii="Times New Roman" w:hAnsi="Times New Roman"/>
          <w:noProof/>
          <w:sz w:val="24"/>
        </w:rPr>
        <w:t>Tõhus antimikroobikumiresistentsuse kasvu vastane meede leevendab negatiivset mõju majandusele ning seda võib seega käsitada kui panust majanduskasvu, kestlikku tervishoiueelarvesse tervishoiukulude vähendamise kau</w:t>
      </w:r>
      <w:r>
        <w:rPr>
          <w:rFonts w:ascii="Times New Roman" w:hAnsi="Times New Roman"/>
          <w:noProof/>
          <w:sz w:val="24"/>
        </w:rPr>
        <w:t xml:space="preserve">du ning tootlikkusse ja tervesse elanikkonda. </w:t>
      </w:r>
    </w:p>
    <w:p w:rsidR="00B85BC3" w:rsidRDefault="00B85BC3">
      <w:pPr>
        <w:autoSpaceDE w:val="0"/>
        <w:autoSpaceDN w:val="0"/>
        <w:adjustRightInd w:val="0"/>
        <w:spacing w:after="0"/>
        <w:rPr>
          <w:rFonts w:ascii="Times New Roman" w:hAnsi="Times New Roman"/>
          <w:noProof/>
          <w:sz w:val="24"/>
          <w:szCs w:val="24"/>
        </w:rPr>
      </w:pPr>
    </w:p>
    <w:p w:rsidR="00B85BC3" w:rsidRDefault="00D7065F">
      <w:pPr>
        <w:autoSpaceDE w:val="0"/>
        <w:autoSpaceDN w:val="0"/>
        <w:adjustRightInd w:val="0"/>
        <w:spacing w:after="0"/>
        <w:rPr>
          <w:rFonts w:ascii="Times New Roman" w:hAnsi="Times New Roman"/>
          <w:noProof/>
          <w:sz w:val="24"/>
          <w:szCs w:val="24"/>
        </w:rPr>
      </w:pPr>
      <w:r>
        <w:rPr>
          <w:rFonts w:ascii="Times New Roman" w:hAnsi="Times New Roman"/>
          <w:noProof/>
          <w:sz w:val="24"/>
        </w:rPr>
        <w:t>Nagu tõendab ühenduse 2001. aasta strateegia antimikroobikumiresistentsuse vastu,</w:t>
      </w:r>
      <w:r>
        <w:rPr>
          <w:rStyle w:val="FootnoteReference"/>
          <w:rFonts w:ascii="Times New Roman" w:hAnsi="Times New Roman"/>
          <w:noProof/>
          <w:sz w:val="24"/>
        </w:rPr>
        <w:footnoteReference w:id="9"/>
      </w:r>
      <w:r>
        <w:rPr>
          <w:rFonts w:ascii="Times New Roman" w:hAnsi="Times New Roman"/>
          <w:noProof/>
          <w:sz w:val="24"/>
        </w:rPr>
        <w:t xml:space="preserve"> mõistis EL kiiresti antimikroobikumiresistentsuse probleemi lahendamise tähtsust. Seda poliitikat tugevdati komisjoni 2011. a</w:t>
      </w:r>
      <w:r>
        <w:rPr>
          <w:rFonts w:ascii="Times New Roman" w:hAnsi="Times New Roman"/>
          <w:noProof/>
          <w:sz w:val="24"/>
        </w:rPr>
        <w:t>asta tegevuskavaga,</w:t>
      </w:r>
      <w:r>
        <w:rPr>
          <w:rStyle w:val="FootnoteReference"/>
          <w:rFonts w:ascii="Times New Roman" w:hAnsi="Times New Roman"/>
          <w:noProof/>
          <w:sz w:val="24"/>
        </w:rPr>
        <w:footnoteReference w:id="10"/>
      </w:r>
      <w:r>
        <w:rPr>
          <w:rFonts w:ascii="Times New Roman" w:hAnsi="Times New Roman"/>
          <w:noProof/>
          <w:sz w:val="24"/>
        </w:rPr>
        <w:t xml:space="preserve"> mis on tähelepanuväärne oma ühtse lähenemisviisi poolest tervisele (nn terviseühtsuse põhimõte, </w:t>
      </w:r>
      <w:r>
        <w:rPr>
          <w:rFonts w:ascii="Times New Roman" w:hAnsi="Times New Roman"/>
          <w:i/>
          <w:noProof/>
          <w:sz w:val="24"/>
        </w:rPr>
        <w:t>One Health approach</w:t>
      </w:r>
      <w:r>
        <w:rPr>
          <w:rFonts w:ascii="Times New Roman" w:hAnsi="Times New Roman"/>
          <w:noProof/>
          <w:sz w:val="24"/>
        </w:rPr>
        <w:t>) ning milles käsitletakse korraga nii inimestel kui ka loomadel esinevat antimikroobikumiresistentsust.</w:t>
      </w:r>
    </w:p>
    <w:p w:rsidR="00B85BC3" w:rsidRDefault="00B85BC3">
      <w:pPr>
        <w:autoSpaceDE w:val="0"/>
        <w:autoSpaceDN w:val="0"/>
        <w:adjustRightInd w:val="0"/>
        <w:spacing w:after="0"/>
        <w:rPr>
          <w:rFonts w:ascii="Times New Roman" w:hAnsi="Times New Roman"/>
          <w:noProof/>
          <w:sz w:val="24"/>
          <w:szCs w:val="24"/>
        </w:rPr>
      </w:pPr>
    </w:p>
    <w:tbl>
      <w:tblPr>
        <w:tblStyle w:val="TableGrid"/>
        <w:tblW w:w="0" w:type="auto"/>
        <w:tblLook w:val="04A0" w:firstRow="1" w:lastRow="0" w:firstColumn="1" w:lastColumn="0" w:noHBand="0" w:noVBand="1"/>
      </w:tblPr>
      <w:tblGrid>
        <w:gridCol w:w="9288"/>
      </w:tblGrid>
      <w:tr w:rsidR="00B85BC3">
        <w:tc>
          <w:tcPr>
            <w:tcW w:w="9288" w:type="dxa"/>
            <w:tcBorders>
              <w:top w:val="single" w:sz="18" w:space="0" w:color="auto"/>
              <w:left w:val="single" w:sz="18" w:space="0" w:color="auto"/>
              <w:bottom w:val="single" w:sz="18" w:space="0" w:color="auto"/>
              <w:right w:val="single" w:sz="18" w:space="0" w:color="auto"/>
            </w:tcBorders>
          </w:tcPr>
          <w:p w:rsidR="00B85BC3" w:rsidRDefault="00D7065F">
            <w:pPr>
              <w:rPr>
                <w:rFonts w:ascii="Times New Roman" w:hAnsi="Times New Roman"/>
                <w:noProof/>
                <w:sz w:val="24"/>
                <w:szCs w:val="24"/>
              </w:rPr>
            </w:pPr>
            <w:r>
              <w:rPr>
                <w:rFonts w:ascii="Times New Roman" w:hAnsi="Times New Roman"/>
                <w:b/>
                <w:noProof/>
                <w:sz w:val="24"/>
                <w:szCs w:val="24"/>
              </w:rPr>
              <w:t xml:space="preserve">Terviseühtsus </w:t>
            </w:r>
            <w:r>
              <w:rPr>
                <w:rFonts w:ascii="Times New Roman" w:hAnsi="Times New Roman"/>
                <w:b/>
                <w:noProof/>
                <w:sz w:val="24"/>
                <w:szCs w:val="24"/>
              </w:rPr>
              <w:t>(One Health)</w:t>
            </w:r>
            <w:r>
              <w:rPr>
                <w:noProof/>
              </w:rPr>
              <w:t xml:space="preserve"> </w:t>
            </w:r>
            <w:r>
              <w:rPr>
                <w:rFonts w:ascii="Times New Roman" w:hAnsi="Times New Roman"/>
                <w:noProof/>
                <w:sz w:val="24"/>
              </w:rPr>
              <w:t>–</w:t>
            </w:r>
            <w:r>
              <w:rPr>
                <w:rFonts w:ascii="Times New Roman" w:hAnsi="Times New Roman"/>
                <w:noProof/>
              </w:rPr>
              <w:t xml:space="preserve"> termin, mida kasutatakse, et kirjeldada põhimõtet, millega tunnistatakse, et inimeste ja loomade tervis on omavahel seotud, et haigused levivad inimestelt loomadele ja vastupidi, ning seetõttu tuleb nii inimeste kui ka loomade haigusi koos k</w:t>
            </w:r>
            <w:r>
              <w:rPr>
                <w:rFonts w:ascii="Times New Roman" w:hAnsi="Times New Roman"/>
                <w:noProof/>
              </w:rPr>
              <w:t>äsitleda. Terviseühtsuse põhimõte hõlmab ka keskkonda, mis on samuti inimeste ja loomade kokkupuutepunkt</w:t>
            </w:r>
            <w:r>
              <w:rPr>
                <w:noProof/>
              </w:rPr>
              <w:t xml:space="preserve"> </w:t>
            </w:r>
            <w:r>
              <w:rPr>
                <w:rFonts w:ascii="Times New Roman" w:hAnsi="Times New Roman"/>
                <w:noProof/>
              </w:rPr>
              <w:t>ja uute resistentsete mikroorganismide võimalik allikas. See termin on üleilmselt tunnustatud, seda on palju kasutatud kogu ELis ning ka ÜRO 2016. aast</w:t>
            </w:r>
            <w:r>
              <w:rPr>
                <w:rFonts w:ascii="Times New Roman" w:hAnsi="Times New Roman"/>
                <w:noProof/>
              </w:rPr>
              <w:t>a poliitilises deklaratsioonis antimikroobikumiresistentsuse kohta.</w:t>
            </w:r>
          </w:p>
        </w:tc>
      </w:tr>
    </w:tbl>
    <w:p w:rsidR="00B85BC3" w:rsidRDefault="00B85BC3">
      <w:pPr>
        <w:autoSpaceDE w:val="0"/>
        <w:autoSpaceDN w:val="0"/>
        <w:adjustRightInd w:val="0"/>
        <w:spacing w:after="0"/>
        <w:rPr>
          <w:rFonts w:ascii="Times New Roman" w:hAnsi="Times New Roman"/>
          <w:noProof/>
          <w:sz w:val="24"/>
          <w:szCs w:val="24"/>
        </w:rPr>
      </w:pPr>
    </w:p>
    <w:p w:rsidR="00B85BC3" w:rsidRDefault="00D7065F">
      <w:pPr>
        <w:rPr>
          <w:rFonts w:ascii="Times New Roman" w:hAnsi="Times New Roman"/>
          <w:noProof/>
          <w:sz w:val="24"/>
          <w:szCs w:val="24"/>
        </w:rPr>
      </w:pPr>
      <w:r>
        <w:rPr>
          <w:rFonts w:ascii="Times New Roman" w:hAnsi="Times New Roman"/>
          <w:noProof/>
          <w:sz w:val="24"/>
        </w:rPr>
        <w:t xml:space="preserve">Alates 1999. aastast on komisjon investeerinud antimikroobikumiresistentsuse teadusuuringutesse üle 1,3 miljardi euro, tehes sellega Euroopa kõnealuse valdkonna liidriks. ELi saavutuste </w:t>
      </w:r>
      <w:r>
        <w:rPr>
          <w:rFonts w:ascii="Times New Roman" w:hAnsi="Times New Roman"/>
          <w:noProof/>
          <w:sz w:val="24"/>
        </w:rPr>
        <w:t xml:space="preserve">hulka kuulub maailma suurima antimikroobikumiresistentsuse teadusuuringute avaliku ja erasektori partnerluseprogrammi „New Drugs for Bad Bugs“ (ND4BB) </w:t>
      </w:r>
      <w:r>
        <w:rPr>
          <w:rStyle w:val="FootnoteReference"/>
          <w:rFonts w:ascii="Times New Roman" w:hAnsi="Times New Roman"/>
          <w:noProof/>
          <w:sz w:val="24"/>
        </w:rPr>
        <w:footnoteReference w:id="11"/>
      </w:r>
      <w:r>
        <w:rPr>
          <w:rFonts w:ascii="Times New Roman" w:hAnsi="Times New Roman"/>
          <w:noProof/>
          <w:sz w:val="24"/>
        </w:rPr>
        <w:t xml:space="preserve"> käivitamine innovatiivsete ravimite algatuse</w:t>
      </w:r>
      <w:r>
        <w:rPr>
          <w:rStyle w:val="FootnoteReference"/>
          <w:rFonts w:ascii="Times New Roman" w:hAnsi="Times New Roman"/>
          <w:noProof/>
          <w:sz w:val="24"/>
        </w:rPr>
        <w:footnoteReference w:id="12"/>
      </w:r>
      <w:r>
        <w:rPr>
          <w:rFonts w:ascii="Times New Roman" w:hAnsi="Times New Roman"/>
          <w:noProof/>
          <w:sz w:val="24"/>
        </w:rPr>
        <w:t xml:space="preserve"> osana. Samuti on EL loonud antimikroobikumiresistentsuse </w:t>
      </w:r>
      <w:r>
        <w:rPr>
          <w:rFonts w:ascii="Times New Roman" w:hAnsi="Times New Roman"/>
          <w:noProof/>
          <w:sz w:val="24"/>
        </w:rPr>
        <w:t>vastase ühise kavandamise algatuse (JPIAMR),</w:t>
      </w:r>
      <w:r>
        <w:rPr>
          <w:rStyle w:val="FootnoteReference"/>
          <w:rFonts w:ascii="Times New Roman" w:hAnsi="Times New Roman"/>
          <w:noProof/>
          <w:sz w:val="24"/>
        </w:rPr>
        <w:footnoteReference w:id="13"/>
      </w:r>
      <w:r>
        <w:rPr>
          <w:rFonts w:ascii="Times New Roman" w:hAnsi="Times New Roman"/>
          <w:noProof/>
          <w:sz w:val="24"/>
        </w:rPr>
        <w:t xml:space="preserve"> mille eesmärk on antimikroobikumiresistentsusega seotud teadusuuringuid üleilmselt paremini koordineerida ja omavahel vastavusse viia.</w:t>
      </w:r>
    </w:p>
    <w:p w:rsidR="00B85BC3" w:rsidRDefault="00D7065F">
      <w:pPr>
        <w:rPr>
          <w:rFonts w:ascii="Times New Roman" w:hAnsi="Times New Roman"/>
          <w:noProof/>
          <w:sz w:val="24"/>
          <w:szCs w:val="24"/>
        </w:rPr>
      </w:pPr>
      <w:r>
        <w:rPr>
          <w:rFonts w:ascii="Times New Roman" w:hAnsi="Times New Roman"/>
          <w:noProof/>
          <w:sz w:val="24"/>
        </w:rPr>
        <w:t>Sellele vaatamata on multiresistentsete või viimase valiku ravile</w:t>
      </w:r>
      <w:r>
        <w:rPr>
          <w:rStyle w:val="FootnoteReference"/>
          <w:rFonts w:ascii="Times New Roman" w:hAnsi="Times New Roman"/>
          <w:noProof/>
          <w:sz w:val="24"/>
        </w:rPr>
        <w:footnoteReference w:id="14"/>
      </w:r>
      <w:r>
        <w:rPr>
          <w:rFonts w:ascii="Times New Roman" w:hAnsi="Times New Roman"/>
          <w:noProof/>
          <w:sz w:val="24"/>
        </w:rPr>
        <w:t xml:space="preserve"> resisten</w:t>
      </w:r>
      <w:r>
        <w:rPr>
          <w:rFonts w:ascii="Times New Roman" w:hAnsi="Times New Roman"/>
          <w:noProof/>
          <w:sz w:val="24"/>
        </w:rPr>
        <w:t>tsete nakkusjuhtude arv viimastel aastatel ELis oluliselt suurenenud</w:t>
      </w:r>
      <w:r>
        <w:rPr>
          <w:rStyle w:val="FootnoteReference"/>
          <w:rFonts w:ascii="Times New Roman" w:hAnsi="Times New Roman"/>
          <w:noProof/>
          <w:sz w:val="24"/>
        </w:rPr>
        <w:footnoteReference w:id="15"/>
      </w:r>
      <w:r>
        <w:rPr>
          <w:rFonts w:ascii="Times New Roman" w:hAnsi="Times New Roman"/>
          <w:noProof/>
          <w:sz w:val="24"/>
        </w:rPr>
        <w:t>.</w:t>
      </w:r>
    </w:p>
    <w:p w:rsidR="00B85BC3" w:rsidRDefault="00D7065F">
      <w:pPr>
        <w:rPr>
          <w:rFonts w:ascii="Times New Roman" w:hAnsi="Times New Roman"/>
          <w:noProof/>
          <w:sz w:val="24"/>
          <w:szCs w:val="24"/>
        </w:rPr>
      </w:pPr>
      <w:r>
        <w:rPr>
          <w:rFonts w:ascii="Times New Roman" w:hAnsi="Times New Roman"/>
          <w:noProof/>
          <w:sz w:val="24"/>
        </w:rPr>
        <w:t xml:space="preserve">Antimikroobikumiresistentsuse teke ja levik keskkonnas on samuti suurenev probleem, mis nõuab edasisi teadusuuringuid. Mitu teadusuuringut on kindlaks teinud resistentsete </w:t>
      </w:r>
      <w:r>
        <w:rPr>
          <w:rFonts w:ascii="Times New Roman" w:hAnsi="Times New Roman"/>
          <w:noProof/>
          <w:sz w:val="24"/>
        </w:rPr>
        <w:t>mikroorganismide või antimikroobikumide potentsiaalse negatiivse keskkonnamõju.</w:t>
      </w:r>
    </w:p>
    <w:p w:rsidR="00B85BC3" w:rsidRDefault="00D7065F">
      <w:pPr>
        <w:rPr>
          <w:rFonts w:ascii="Times New Roman" w:hAnsi="Times New Roman"/>
          <w:noProof/>
          <w:sz w:val="24"/>
          <w:szCs w:val="24"/>
        </w:rPr>
      </w:pPr>
      <w:r>
        <w:rPr>
          <w:rFonts w:ascii="Times New Roman" w:hAnsi="Times New Roman"/>
          <w:noProof/>
          <w:sz w:val="24"/>
        </w:rPr>
        <w:t>Samal ajal on viimase 20 aasta jooksul oluliselt aeglustunud uute antimikroobikumide väljatöötamine, arendamine, tootmine ja turustamine. Varasemate andmete põhjal on ka edu ol</w:t>
      </w:r>
      <w:r>
        <w:rPr>
          <w:rFonts w:ascii="Times New Roman" w:hAnsi="Times New Roman"/>
          <w:noProof/>
          <w:sz w:val="24"/>
        </w:rPr>
        <w:t>nud tagasihoidlik: üksnes üks antimikroobikum 16st jõuab teadusuuringute algetapist kliinilise kasutamiseni patsientidel</w:t>
      </w:r>
      <w:r>
        <w:rPr>
          <w:rStyle w:val="FootnoteReference"/>
          <w:rFonts w:ascii="Times New Roman" w:hAnsi="Times New Roman"/>
          <w:noProof/>
          <w:sz w:val="24"/>
        </w:rPr>
        <w:footnoteReference w:id="16"/>
      </w:r>
      <w:r>
        <w:rPr>
          <w:rFonts w:ascii="Times New Roman" w:hAnsi="Times New Roman"/>
          <w:noProof/>
          <w:sz w:val="24"/>
        </w:rPr>
        <w:t>.</w:t>
      </w:r>
    </w:p>
    <w:p w:rsidR="00B85BC3" w:rsidRDefault="00D7065F">
      <w:pPr>
        <w:pStyle w:val="Heading2"/>
        <w:rPr>
          <w:noProof/>
        </w:rPr>
      </w:pPr>
      <w:r>
        <w:rPr>
          <w:noProof/>
        </w:rPr>
        <w:t>Hiljutised arengud ja edasine tegevus</w:t>
      </w:r>
    </w:p>
    <w:p w:rsidR="00B85BC3" w:rsidRDefault="00D7065F">
      <w:pPr>
        <w:rPr>
          <w:rFonts w:ascii="Times New Roman" w:hAnsi="Times New Roman"/>
          <w:noProof/>
          <w:sz w:val="24"/>
          <w:szCs w:val="24"/>
        </w:rPr>
      </w:pPr>
      <w:r>
        <w:rPr>
          <w:rFonts w:ascii="Times New Roman" w:hAnsi="Times New Roman"/>
          <w:noProof/>
          <w:sz w:val="24"/>
        </w:rPr>
        <w:t>EL on juhtpositsioonil piirkondlike ja üleilmsete antimikroobikumiresistentsuse probleemide lah</w:t>
      </w:r>
      <w:r>
        <w:rPr>
          <w:rFonts w:ascii="Times New Roman" w:hAnsi="Times New Roman"/>
          <w:noProof/>
          <w:sz w:val="24"/>
        </w:rPr>
        <w:t>endamisel. Ükski meede ei paku eraldivõetuna siiski piisavat lahendust. Resistentsed bakterid ja nakkushaigused ei tunne piire. Ükski liikmesriik ega EL ei suuda seda probleemi üksi lahendada. ELil on sellegipoolest tegutsemiseks väga tugev lähtekoht, arve</w:t>
      </w:r>
      <w:r>
        <w:rPr>
          <w:rFonts w:ascii="Times New Roman" w:hAnsi="Times New Roman"/>
          <w:noProof/>
          <w:sz w:val="24"/>
        </w:rPr>
        <w:t>stades liidu majandusarengu kõrget taset ning kohustust tagada inimtervise kaitse kõrge tase.</w:t>
      </w:r>
    </w:p>
    <w:p w:rsidR="00B85BC3" w:rsidRDefault="00D7065F">
      <w:pPr>
        <w:rPr>
          <w:rFonts w:ascii="Times New Roman" w:hAnsi="Times New Roman"/>
          <w:noProof/>
          <w:sz w:val="24"/>
          <w:szCs w:val="24"/>
        </w:rPr>
      </w:pPr>
      <w:r>
        <w:rPr>
          <w:rFonts w:ascii="Times New Roman" w:hAnsi="Times New Roman"/>
          <w:noProof/>
          <w:sz w:val="24"/>
        </w:rPr>
        <w:t>Vastavalt liikmesriikide taotlusele esitatakse nõukogu 17. juuni 2016. aasta järeldustes</w:t>
      </w:r>
      <w:r>
        <w:rPr>
          <w:rStyle w:val="FootnoteReference"/>
          <w:rFonts w:ascii="Times New Roman" w:hAnsi="Times New Roman"/>
          <w:noProof/>
          <w:sz w:val="24"/>
        </w:rPr>
        <w:footnoteReference w:id="17"/>
      </w:r>
      <w:r>
        <w:rPr>
          <w:rFonts w:ascii="Times New Roman" w:hAnsi="Times New Roman"/>
          <w:noProof/>
          <w:sz w:val="24"/>
        </w:rPr>
        <w:t xml:space="preserve"> üleskutse koostada terviseühtsuse põhimõttel põhinev uus ja laiahaardeli</w:t>
      </w:r>
      <w:r>
        <w:rPr>
          <w:rFonts w:ascii="Times New Roman" w:hAnsi="Times New Roman"/>
          <w:noProof/>
          <w:sz w:val="24"/>
        </w:rPr>
        <w:t>ne ELi tegevuskava antimikroobikumiresistentsuse vastu.</w:t>
      </w:r>
    </w:p>
    <w:p w:rsidR="00B85BC3" w:rsidRDefault="00D7065F">
      <w:pPr>
        <w:rPr>
          <w:rFonts w:ascii="Times New Roman" w:hAnsi="Times New Roman"/>
          <w:noProof/>
          <w:sz w:val="24"/>
          <w:szCs w:val="24"/>
        </w:rPr>
      </w:pPr>
      <w:r>
        <w:rPr>
          <w:rFonts w:ascii="Times New Roman" w:hAnsi="Times New Roman"/>
          <w:noProof/>
          <w:sz w:val="24"/>
        </w:rPr>
        <w:t>Selle uue tegevuskava alus on 2011. aasta tegevuskava, hinnang sellele,</w:t>
      </w:r>
      <w:r>
        <w:rPr>
          <w:rStyle w:val="FootnoteReference"/>
          <w:rFonts w:ascii="Times New Roman" w:hAnsi="Times New Roman"/>
          <w:noProof/>
          <w:sz w:val="24"/>
        </w:rPr>
        <w:footnoteReference w:id="18"/>
      </w:r>
      <w:r>
        <w:rPr>
          <w:rFonts w:ascii="Times New Roman" w:hAnsi="Times New Roman"/>
          <w:noProof/>
          <w:sz w:val="24"/>
        </w:rPr>
        <w:t xml:space="preserve"> selle rakenduskava tagasiside</w:t>
      </w:r>
      <w:r>
        <w:rPr>
          <w:rStyle w:val="FootnoteReference"/>
          <w:rFonts w:ascii="Times New Roman" w:hAnsi="Times New Roman"/>
          <w:noProof/>
          <w:sz w:val="24"/>
        </w:rPr>
        <w:footnoteReference w:id="19"/>
      </w:r>
      <w:r>
        <w:rPr>
          <w:rFonts w:ascii="Times New Roman" w:hAnsi="Times New Roman"/>
          <w:noProof/>
          <w:sz w:val="24"/>
        </w:rPr>
        <w:t xml:space="preserve"> ja avalik konsultatsioon</w:t>
      </w:r>
      <w:r>
        <w:rPr>
          <w:rStyle w:val="FootnoteReference"/>
          <w:rFonts w:ascii="Times New Roman" w:hAnsi="Times New Roman"/>
          <w:noProof/>
          <w:sz w:val="24"/>
        </w:rPr>
        <w:footnoteReference w:id="20"/>
      </w:r>
      <w:r>
        <w:rPr>
          <w:rFonts w:ascii="Times New Roman" w:hAnsi="Times New Roman"/>
          <w:noProof/>
          <w:sz w:val="24"/>
        </w:rPr>
        <w:t>.</w:t>
      </w:r>
    </w:p>
    <w:p w:rsidR="00B85BC3" w:rsidRDefault="00D7065F">
      <w:pPr>
        <w:rPr>
          <w:rFonts w:ascii="Times New Roman" w:hAnsi="Times New Roman"/>
          <w:noProof/>
          <w:sz w:val="24"/>
          <w:szCs w:val="24"/>
        </w:rPr>
      </w:pPr>
      <w:r>
        <w:rPr>
          <w:rFonts w:ascii="Times New Roman" w:hAnsi="Times New Roman"/>
          <w:noProof/>
          <w:sz w:val="24"/>
        </w:rPr>
        <w:t>Kõnealuses hinnangus jõuti järeldusele, et 2011. aasta tegevuskava oli ELi jaoks selge lisaväärtusega ning samas poliitilise pühendumuse sümbol, millega stimuleeriti tegevust liikmesriikides ning tugevdati rahvusvahelist koostööd. Hindamisel leidis kinnitu</w:t>
      </w:r>
      <w:r>
        <w:rPr>
          <w:rFonts w:ascii="Times New Roman" w:hAnsi="Times New Roman"/>
          <w:noProof/>
          <w:sz w:val="24"/>
        </w:rPr>
        <w:t>st ka, et 2011. aasta kavas käsitletud küsimused on endiselt asjakohased. Algatusi tuleks siiski avardada, laiendades näiteks terviseühtsuse põhimõtet nii, et see hõlmaks ka keskkonda, ja lahendada antimikroobikumiresistentsuse probleeme terviklikumalt</w:t>
      </w:r>
      <w:r>
        <w:rPr>
          <w:noProof/>
        </w:rPr>
        <w:t xml:space="preserve"> </w:t>
      </w:r>
      <w:r>
        <w:rPr>
          <w:rFonts w:ascii="Times New Roman" w:hAnsi="Times New Roman"/>
          <w:noProof/>
          <w:sz w:val="24"/>
        </w:rPr>
        <w:t>and</w:t>
      </w:r>
      <w:r>
        <w:rPr>
          <w:rFonts w:ascii="Times New Roman" w:hAnsi="Times New Roman"/>
          <w:noProof/>
          <w:sz w:val="24"/>
        </w:rPr>
        <w:t>mete parema kogumise, kontrollimise ja seire kaudu. Samuti soovitati toetada ja abistada ELi liikmesriike, et käsitleda erinevusi ja soodustada koostööd, tõhusamaid ja koordineeritumaid teadusuuringuid, parandada teadmisi ja töötada välja lahendusi ning ho</w:t>
      </w:r>
      <w:r>
        <w:rPr>
          <w:rFonts w:ascii="Times New Roman" w:hAnsi="Times New Roman"/>
          <w:noProof/>
          <w:sz w:val="24"/>
        </w:rPr>
        <w:t>ida ELi positsiooni maailma tasandil jätkuvalt tugevana.</w:t>
      </w:r>
    </w:p>
    <w:p w:rsidR="00B85BC3" w:rsidRDefault="00D7065F">
      <w:pPr>
        <w:rPr>
          <w:rFonts w:ascii="Times New Roman" w:hAnsi="Times New Roman"/>
          <w:noProof/>
          <w:sz w:val="24"/>
          <w:szCs w:val="24"/>
        </w:rPr>
      </w:pPr>
      <w:r>
        <w:rPr>
          <w:rFonts w:ascii="Times New Roman" w:hAnsi="Times New Roman"/>
          <w:noProof/>
          <w:sz w:val="24"/>
        </w:rPr>
        <w:t>Antimikroobikumiresistentsuse vastase uue ELi tegevuskava rakenduskava kohta laekus 24. oktoobrist 2016 kuni 28. märtsini 2017 arvamusi 22 sidusrühmalt. Avalik konsultatsioon toimus 27. jaanuarist 28</w:t>
      </w:r>
      <w:r>
        <w:rPr>
          <w:rFonts w:ascii="Times New Roman" w:hAnsi="Times New Roman"/>
          <w:noProof/>
          <w:sz w:val="24"/>
        </w:rPr>
        <w:t>. aprillini 2017. See koosnes kahest eraldi veebiküsimustikust: üks kodanikele ja teine asutustele, ühendustele ja muudele organisatsioonidele. Kokku saadi 421 vastust kodanikelt ja 163 asutustelt, ühendustelt ja muudelt organisatsioonidelt. Käesolevale te</w:t>
      </w:r>
      <w:r>
        <w:rPr>
          <w:rFonts w:ascii="Times New Roman" w:hAnsi="Times New Roman"/>
          <w:noProof/>
          <w:sz w:val="24"/>
        </w:rPr>
        <w:t>atisele lisatud kokkuvõtvas aruandes esitatakse ülevaade saadud vastustest ja sellest, kuidas neid on võetud arvesse konkreetsete meetmete määratlemisel. Üldiselt kinnitavad laekunud vastused tugevat toetust uuele terviseühtsuse tegevuskavale ning tervikli</w:t>
      </w:r>
      <w:r>
        <w:rPr>
          <w:rFonts w:ascii="Times New Roman" w:hAnsi="Times New Roman"/>
          <w:noProof/>
          <w:sz w:val="24"/>
        </w:rPr>
        <w:t>ku lähenemisviisi olulisusele.</w:t>
      </w:r>
    </w:p>
    <w:p w:rsidR="00B85BC3" w:rsidRDefault="00D7065F">
      <w:pPr>
        <w:rPr>
          <w:rFonts w:ascii="Times New Roman" w:hAnsi="Times New Roman"/>
          <w:noProof/>
          <w:sz w:val="24"/>
          <w:szCs w:val="24"/>
        </w:rPr>
      </w:pPr>
      <w:r>
        <w:rPr>
          <w:rFonts w:ascii="Times New Roman" w:hAnsi="Times New Roman"/>
          <w:noProof/>
          <w:sz w:val="24"/>
        </w:rPr>
        <w:t>Terviseühtsuse uut tegevuskava antimikroobikumiresistentsuse vastu põhjendatakse vajadusega tagada ELi juhtpositsioon antimikroobikumiresistentsuse tõrjes</w:t>
      </w:r>
      <w:r>
        <w:rPr>
          <w:noProof/>
        </w:rPr>
        <w:t xml:space="preserve"> </w:t>
      </w:r>
      <w:r>
        <w:rPr>
          <w:rFonts w:ascii="Times New Roman" w:hAnsi="Times New Roman"/>
          <w:noProof/>
          <w:sz w:val="24"/>
        </w:rPr>
        <w:t>ja pakkuda lisaväärtust liikmesriikide tegevusele. Selle üldeesmärk on</w:t>
      </w:r>
      <w:r>
        <w:rPr>
          <w:rFonts w:ascii="Times New Roman" w:hAnsi="Times New Roman"/>
          <w:noProof/>
          <w:sz w:val="24"/>
        </w:rPr>
        <w:t xml:space="preserve"> säilitada inimeste ja loomade nakkuste tõhusa ravi võimalus. Sellega luuakse raamistik pidevaks ulatuslikumaks tegevuseks, et vähendada antimikroobikumiresistentsuse teket ja levikut ning suurendada uute tõhusate antimikroobikumide väljatöötamist ja kätte</w:t>
      </w:r>
      <w:r>
        <w:rPr>
          <w:rFonts w:ascii="Times New Roman" w:hAnsi="Times New Roman"/>
          <w:noProof/>
          <w:sz w:val="24"/>
        </w:rPr>
        <w:t>saadavust nii ELis kui ka väljaspool seda.</w:t>
      </w:r>
    </w:p>
    <w:p w:rsidR="00B85BC3" w:rsidRDefault="00D7065F">
      <w:pPr>
        <w:rPr>
          <w:rFonts w:ascii="Times New Roman" w:hAnsi="Times New Roman"/>
          <w:noProof/>
          <w:sz w:val="24"/>
          <w:szCs w:val="24"/>
        </w:rPr>
      </w:pPr>
      <w:r>
        <w:rPr>
          <w:rFonts w:ascii="Times New Roman" w:hAnsi="Times New Roman"/>
          <w:noProof/>
          <w:sz w:val="24"/>
        </w:rPr>
        <w:t>Selle uue kava kesksed eesmärgid toetuvad kolmele põhisambale.</w:t>
      </w:r>
    </w:p>
    <w:p w:rsidR="00B85BC3" w:rsidRDefault="00D7065F">
      <w:pPr>
        <w:pStyle w:val="ListParagraph"/>
        <w:numPr>
          <w:ilvl w:val="0"/>
          <w:numId w:val="14"/>
        </w:numPr>
        <w:spacing w:after="0"/>
        <w:rPr>
          <w:rFonts w:ascii="Times New Roman" w:hAnsi="Times New Roman"/>
          <w:noProof/>
          <w:sz w:val="24"/>
          <w:szCs w:val="24"/>
        </w:rPr>
      </w:pPr>
      <w:r>
        <w:rPr>
          <w:rFonts w:ascii="Times New Roman" w:hAnsi="Times New Roman"/>
          <w:noProof/>
          <w:sz w:val="24"/>
        </w:rPr>
        <w:t>ELi muutmine parima tava piirkonnaks: nagu rõhutati 2011. aasta tegevuskava hinnangus, on selleks vaja paremat tõendusmaterjali, paremat koordineerimi</w:t>
      </w:r>
      <w:r>
        <w:rPr>
          <w:rFonts w:ascii="Times New Roman" w:hAnsi="Times New Roman"/>
          <w:noProof/>
          <w:sz w:val="24"/>
        </w:rPr>
        <w:t>st ja seiret ning paremaid tõrjemeetmeid. ELi tegevus keskendub põhivaldkondadele ning sellega aidatakse liikmeriikidel kehtestada, rakendada ja seirata nende riiklikke antimikroobikumiresistentsuse vastaseid terviseühtsuse tegevuskavasid, mille arendamise</w:t>
      </w:r>
      <w:r>
        <w:rPr>
          <w:rFonts w:ascii="Times New Roman" w:hAnsi="Times New Roman"/>
          <w:noProof/>
          <w:sz w:val="24"/>
        </w:rPr>
        <w:t>s leppisid riigid kokku 2015. aastal maailma terviseassambleel</w:t>
      </w:r>
      <w:r>
        <w:rPr>
          <w:rStyle w:val="FootnoteReference"/>
          <w:rFonts w:ascii="Times New Roman" w:hAnsi="Times New Roman"/>
          <w:noProof/>
          <w:sz w:val="24"/>
        </w:rPr>
        <w:footnoteReference w:id="21"/>
      </w:r>
      <w:r>
        <w:rPr>
          <w:rFonts w:ascii="Times New Roman" w:hAnsi="Times New Roman"/>
          <w:noProof/>
          <w:sz w:val="24"/>
        </w:rPr>
        <w:t>;</w:t>
      </w:r>
    </w:p>
    <w:p w:rsidR="00B85BC3" w:rsidRDefault="00B85BC3">
      <w:pPr>
        <w:pStyle w:val="ListParagraph"/>
        <w:spacing w:after="0"/>
        <w:ind w:left="1080"/>
        <w:rPr>
          <w:rFonts w:ascii="Times New Roman" w:hAnsi="Times New Roman"/>
          <w:noProof/>
          <w:sz w:val="24"/>
          <w:szCs w:val="24"/>
        </w:rPr>
      </w:pPr>
    </w:p>
    <w:p w:rsidR="00B85BC3" w:rsidRDefault="00D7065F">
      <w:pPr>
        <w:pStyle w:val="ListParagraph"/>
        <w:numPr>
          <w:ilvl w:val="0"/>
          <w:numId w:val="14"/>
        </w:numPr>
        <w:autoSpaceDE w:val="0"/>
        <w:autoSpaceDN w:val="0"/>
        <w:adjustRightInd w:val="0"/>
        <w:spacing w:after="0"/>
        <w:rPr>
          <w:rFonts w:ascii="Times New Roman" w:hAnsi="Times New Roman"/>
          <w:noProof/>
          <w:sz w:val="24"/>
          <w:szCs w:val="24"/>
        </w:rPr>
      </w:pPr>
      <w:r>
        <w:rPr>
          <w:rFonts w:ascii="Times New Roman" w:hAnsi="Times New Roman"/>
          <w:noProof/>
          <w:sz w:val="24"/>
        </w:rPr>
        <w:t>teadus- ja arendustegevuse ning innovatsiooni edendamine, kõrvaldades teadmislünki, pakkudes uusi lahendusi ja vahendeid, millega nakkushaigusi ennetada ja ravida ning parandada nende diagno</w:t>
      </w:r>
      <w:r>
        <w:rPr>
          <w:rFonts w:ascii="Times New Roman" w:hAnsi="Times New Roman"/>
          <w:noProof/>
          <w:sz w:val="24"/>
        </w:rPr>
        <w:t>osimist, et tõkestada antimikroobikumiresistentsuse levikut;</w:t>
      </w:r>
    </w:p>
    <w:p w:rsidR="00B85BC3" w:rsidRDefault="00B85BC3">
      <w:pPr>
        <w:pStyle w:val="ListParagraph"/>
        <w:spacing w:after="0"/>
        <w:ind w:left="1080"/>
        <w:rPr>
          <w:rFonts w:ascii="Times New Roman" w:hAnsi="Times New Roman"/>
          <w:noProof/>
          <w:sz w:val="24"/>
          <w:szCs w:val="24"/>
        </w:rPr>
      </w:pPr>
    </w:p>
    <w:p w:rsidR="00B85BC3" w:rsidRDefault="00D7065F">
      <w:pPr>
        <w:pStyle w:val="ListParagraph"/>
        <w:numPr>
          <w:ilvl w:val="0"/>
          <w:numId w:val="14"/>
        </w:numPr>
        <w:spacing w:after="0"/>
        <w:rPr>
          <w:rFonts w:ascii="Times New Roman" w:hAnsi="Times New Roman"/>
          <w:noProof/>
          <w:sz w:val="24"/>
          <w:szCs w:val="24"/>
        </w:rPr>
      </w:pPr>
      <w:r>
        <w:rPr>
          <w:rFonts w:ascii="Times New Roman" w:hAnsi="Times New Roman"/>
          <w:noProof/>
          <w:sz w:val="24"/>
        </w:rPr>
        <w:t>ELi pingutuste tõhustamine kogu maailmas, et vormida ülemaailmset tegevuskava antimikroobikumiresistentsuse ja sellega riskide vastu üha enam sidustuvas maailmas.</w:t>
      </w:r>
    </w:p>
    <w:p w:rsidR="00B85BC3" w:rsidRDefault="00D7065F">
      <w:pPr>
        <w:spacing w:before="240"/>
        <w:rPr>
          <w:rFonts w:ascii="Times New Roman" w:hAnsi="Times New Roman"/>
          <w:noProof/>
          <w:sz w:val="24"/>
          <w:szCs w:val="24"/>
        </w:rPr>
      </w:pPr>
      <w:r>
        <w:rPr>
          <w:rFonts w:ascii="Times New Roman" w:hAnsi="Times New Roman"/>
          <w:noProof/>
          <w:sz w:val="24"/>
        </w:rPr>
        <w:t xml:space="preserve">Uus kava sisaldab konkreetseid </w:t>
      </w:r>
      <w:r>
        <w:rPr>
          <w:rFonts w:ascii="Times New Roman" w:hAnsi="Times New Roman"/>
          <w:noProof/>
          <w:sz w:val="24"/>
        </w:rPr>
        <w:t>ELi lisaväärtusega meetmeid, mida komisjon arendab ja tugevdab vajaduse korral järgmistel aastatel. Kõik need meetmed on eraldivõetuna tähtsad, kuid nad on ka omavahel seotud ning neid tuleb parima tulemuse saavutamiseks paralleelselt rakendada.</w:t>
      </w:r>
    </w:p>
    <w:p w:rsidR="00B85BC3" w:rsidRDefault="00D7065F">
      <w:pPr>
        <w:pStyle w:val="Heading1"/>
        <w:rPr>
          <w:noProof/>
        </w:rPr>
      </w:pPr>
      <w:r>
        <w:rPr>
          <w:noProof/>
        </w:rPr>
        <w:t>ELi muutmi</w:t>
      </w:r>
      <w:r>
        <w:rPr>
          <w:noProof/>
        </w:rPr>
        <w:t>ne parima tava piirkonnaks</w:t>
      </w:r>
    </w:p>
    <w:p w:rsidR="00B85BC3" w:rsidRDefault="00D7065F">
      <w:pPr>
        <w:autoSpaceDE w:val="0"/>
        <w:autoSpaceDN w:val="0"/>
        <w:adjustRightInd w:val="0"/>
        <w:spacing w:after="0"/>
        <w:rPr>
          <w:rFonts w:ascii="Times New Roman" w:hAnsi="Times New Roman"/>
          <w:noProof/>
          <w:sz w:val="24"/>
          <w:szCs w:val="24"/>
        </w:rPr>
      </w:pPr>
      <w:r>
        <w:rPr>
          <w:rFonts w:ascii="Times New Roman" w:hAnsi="Times New Roman"/>
          <w:noProof/>
          <w:sz w:val="24"/>
        </w:rPr>
        <w:t>ELi liikmesriikides on antimikroobikumiresistentsuse osas suuresti erinev olukord. See hõlmab nii antimikroobikumide kasutamise skeeme, resistentsuse esinemist kui ka antimikroobikumiresistentsuse vastase riikliku poliitika raken</w:t>
      </w:r>
      <w:r>
        <w:rPr>
          <w:rFonts w:ascii="Times New Roman" w:hAnsi="Times New Roman"/>
          <w:noProof/>
          <w:sz w:val="24"/>
        </w:rPr>
        <w:t>damise ulatust. Olukorra lahendamiseks keskendub komisjon liikmesriikide jaoks kõige suurema lisaväärtusega kesksetele valdkondadele, tunnistades samas ELi pädevuse piire ja pidades silmas, et esmajärjekorras vastutavad liikmesriigid oma tervishoiupoliitik</w:t>
      </w:r>
      <w:r>
        <w:rPr>
          <w:rFonts w:ascii="Times New Roman" w:hAnsi="Times New Roman"/>
          <w:noProof/>
          <w:sz w:val="24"/>
        </w:rPr>
        <w:t>a väljatöötamise eest.</w:t>
      </w:r>
    </w:p>
    <w:p w:rsidR="00B85BC3" w:rsidRDefault="00B85BC3">
      <w:pPr>
        <w:autoSpaceDE w:val="0"/>
        <w:autoSpaceDN w:val="0"/>
        <w:adjustRightInd w:val="0"/>
        <w:spacing w:after="0"/>
        <w:rPr>
          <w:rFonts w:ascii="Times New Roman" w:hAnsi="Times New Roman"/>
          <w:noProof/>
          <w:sz w:val="24"/>
          <w:szCs w:val="24"/>
        </w:rPr>
      </w:pPr>
    </w:p>
    <w:p w:rsidR="00B85BC3" w:rsidRDefault="00D7065F">
      <w:pPr>
        <w:autoSpaceDE w:val="0"/>
        <w:autoSpaceDN w:val="0"/>
        <w:adjustRightInd w:val="0"/>
        <w:spacing w:after="0"/>
        <w:rPr>
          <w:rFonts w:ascii="Times New Roman" w:hAnsi="Times New Roman"/>
          <w:noProof/>
          <w:sz w:val="24"/>
          <w:szCs w:val="24"/>
        </w:rPr>
      </w:pPr>
      <w:r>
        <w:rPr>
          <w:rFonts w:ascii="Times New Roman" w:hAnsi="Times New Roman"/>
          <w:noProof/>
          <w:sz w:val="24"/>
        </w:rPr>
        <w:t>Komisjon jätkab kõigi asjakohaste teadusvaldkonnaga seotud ELi ametite (eelkõige Euroopa Toiduohutusametit (edaspidi „EFSA“), Euroopa Ravimiametit (edaspidi „EMA“) ja Haiguste Ennetamise ja Tõrje Euroopa Keskust (edaspidi „ECDC“)) k</w:t>
      </w:r>
      <w:r>
        <w:rPr>
          <w:rFonts w:ascii="Times New Roman" w:hAnsi="Times New Roman"/>
          <w:noProof/>
          <w:sz w:val="24"/>
        </w:rPr>
        <w:t>okku kutsumist, et võtta ühiselt asjakohaseid meetmeid. See võimaldab liikmesriikidel kasu saada kõige tõhusamast toetusest ning kõige tõhusamatest antimikroobikumiresistentsuse vähendamise ja antimikroobikumide tõhususe säilitamise vahenditest. Ametite to</w:t>
      </w:r>
      <w:r>
        <w:rPr>
          <w:rFonts w:ascii="Times New Roman" w:hAnsi="Times New Roman"/>
          <w:noProof/>
          <w:sz w:val="24"/>
        </w:rPr>
        <w:t>etusmeetmed hõlmavad nakkuste ennetust, inimtervishoiu ja loomakasvatuse, sealhulgas vesiviljeluse, bioohutusmeetmeid ja tõrjetava, et vähendada nakkuste teket ja seega ka vajadust antimikroobikumide järele.</w:t>
      </w:r>
    </w:p>
    <w:p w:rsidR="00B85BC3" w:rsidRDefault="00B85BC3">
      <w:pPr>
        <w:autoSpaceDE w:val="0"/>
        <w:autoSpaceDN w:val="0"/>
        <w:adjustRightInd w:val="0"/>
        <w:spacing w:after="0"/>
        <w:rPr>
          <w:rFonts w:ascii="Times New Roman" w:hAnsi="Times New Roman"/>
          <w:noProof/>
          <w:sz w:val="24"/>
          <w:szCs w:val="24"/>
        </w:rPr>
      </w:pPr>
    </w:p>
    <w:p w:rsidR="00B85BC3" w:rsidRDefault="00D7065F">
      <w:pPr>
        <w:rPr>
          <w:rFonts w:ascii="Times New Roman" w:hAnsi="Times New Roman"/>
          <w:noProof/>
          <w:sz w:val="24"/>
          <w:szCs w:val="24"/>
        </w:rPr>
      </w:pPr>
      <w:r>
        <w:rPr>
          <w:rFonts w:ascii="Times New Roman" w:hAnsi="Times New Roman"/>
          <w:noProof/>
          <w:sz w:val="24"/>
        </w:rPr>
        <w:t>ELi meetmed keskenduvad liikmesriikide jaoks kõ</w:t>
      </w:r>
      <w:r>
        <w:rPr>
          <w:rFonts w:ascii="Times New Roman" w:hAnsi="Times New Roman"/>
          <w:noProof/>
          <w:sz w:val="24"/>
        </w:rPr>
        <w:t>ige suurema lisaväärtusega valdkondadele, nt antimikroobikumide mõistlikule kasutamisele, valdkonnaülesele koostööle, nakkuste ennetamise parandamisele ning antimikroobikumiresistentsuse ja antimikroobikumide tarbimise seire tugevdamisele.</w:t>
      </w:r>
    </w:p>
    <w:p w:rsidR="00B85BC3" w:rsidRDefault="00B85BC3">
      <w:pPr>
        <w:autoSpaceDE w:val="0"/>
        <w:autoSpaceDN w:val="0"/>
        <w:adjustRightInd w:val="0"/>
        <w:spacing w:before="240" w:after="0"/>
        <w:rPr>
          <w:rFonts w:ascii="Times New Roman" w:hAnsi="Times New Roman"/>
          <w:noProof/>
          <w:sz w:val="24"/>
          <w:szCs w:val="24"/>
        </w:rPr>
      </w:pPr>
    </w:p>
    <w:p w:rsidR="00D7065F" w:rsidRDefault="00D7065F">
      <w:pPr>
        <w:spacing w:after="200" w:line="276" w:lineRule="auto"/>
        <w:jc w:val="left"/>
        <w:rPr>
          <w:rFonts w:ascii="Times New Roman" w:eastAsiaTheme="majorEastAsia" w:hAnsi="Times New Roman"/>
          <w:b/>
          <w:bCs/>
          <w:noProof/>
          <w:color w:val="000000" w:themeColor="text1"/>
          <w:sz w:val="24"/>
          <w:szCs w:val="24"/>
        </w:rPr>
      </w:pPr>
      <w:r>
        <w:rPr>
          <w:noProof/>
        </w:rPr>
        <w:br w:type="page"/>
      </w:r>
    </w:p>
    <w:p w:rsidR="00B85BC3" w:rsidRDefault="00D7065F">
      <w:pPr>
        <w:pStyle w:val="Heading2"/>
        <w:rPr>
          <w:noProof/>
        </w:rPr>
      </w:pPr>
      <w:r>
        <w:rPr>
          <w:noProof/>
        </w:rPr>
        <w:t>Parem tõendusma</w:t>
      </w:r>
      <w:r>
        <w:rPr>
          <w:noProof/>
        </w:rPr>
        <w:t>terjal ja teadlikkus antimikroobikumiresistentsuse probleemide kohta</w:t>
      </w:r>
    </w:p>
    <w:p w:rsidR="00B85BC3" w:rsidRDefault="00D7065F">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Terviseühtsuse järelevalve ning antimikroobikumiresistentsuse ja antimikroobikumide kasutamise aruandluse tugevdamine</w:t>
      </w:r>
    </w:p>
    <w:p w:rsidR="00B85BC3" w:rsidRDefault="00D7065F">
      <w:pPr>
        <w:keepLines/>
        <w:outlineLvl w:val="1"/>
        <w:rPr>
          <w:rFonts w:ascii="Times New Roman" w:eastAsiaTheme="majorEastAsia" w:hAnsi="Times New Roman"/>
          <w:bCs/>
          <w:noProof/>
          <w:color w:val="000000" w:themeColor="text1"/>
          <w:sz w:val="24"/>
          <w:szCs w:val="24"/>
        </w:rPr>
      </w:pPr>
      <w:r>
        <w:rPr>
          <w:noProof/>
        </w:rPr>
        <w:t xml:space="preserve">Resistentsed mikroorganismid </w:t>
      </w:r>
      <w:r>
        <w:rPr>
          <w:rFonts w:ascii="Times New Roman" w:hAnsi="Times New Roman"/>
          <w:noProof/>
          <w:sz w:val="24"/>
        </w:rPr>
        <w:t xml:space="preserve">esinevad inimestel, loomadel, toidus ja keskkonnas. Seepärast on antimikroobikumiresistentsus keeruline epidemioloogiline probleem. Antimikroobikumiresistentsuse peamine põhjus on antimikroobikumide kasutamine. </w:t>
      </w:r>
      <w:r>
        <w:rPr>
          <w:rFonts w:ascii="Times New Roman" w:eastAsiaTheme="majorEastAsia" w:hAnsi="Times New Roman"/>
          <w:noProof/>
          <w:color w:val="000000" w:themeColor="text1"/>
          <w:sz w:val="24"/>
        </w:rPr>
        <w:t>Mitme valdkonna andmete ulatuslik, koostööl p</w:t>
      </w:r>
      <w:r>
        <w:rPr>
          <w:rFonts w:ascii="Times New Roman" w:eastAsiaTheme="majorEastAsia" w:hAnsi="Times New Roman"/>
          <w:noProof/>
          <w:color w:val="000000" w:themeColor="text1"/>
          <w:sz w:val="24"/>
        </w:rPr>
        <w:t>õhinev ja kooskõlastatud kogumine ning analüüsimine, st terviseühtsuse põhimõttele tuginev antimikroobikumiresistentsuse seire süsteem on seega hädavajalik, et mõista probleemi ulatust, tuvastada trende, teha kindlaks, kuidas on seotud antimikroobikumide k</w:t>
      </w:r>
      <w:r>
        <w:rPr>
          <w:rFonts w:ascii="Times New Roman" w:eastAsiaTheme="majorEastAsia" w:hAnsi="Times New Roman"/>
          <w:noProof/>
          <w:color w:val="000000" w:themeColor="text1"/>
          <w:sz w:val="24"/>
        </w:rPr>
        <w:t>asutamine ja antimikroobikumiresistentsus, hinnata poliitikaid ja seada prioriteete. Kuigi ELis on seireprogramme ja -tegevusi paljudes eri valdkondades, esineb seiretegevuses endiselt ka lünki. Integreeritumat seiresüsteemi on vaja selleks, et saada täiel</w:t>
      </w:r>
      <w:r>
        <w:rPr>
          <w:rFonts w:ascii="Times New Roman" w:eastAsiaTheme="majorEastAsia" w:hAnsi="Times New Roman"/>
          <w:noProof/>
          <w:color w:val="000000" w:themeColor="text1"/>
          <w:sz w:val="24"/>
        </w:rPr>
        <w:t>ik ülevaade antimikroobikumiresistentsuse epidemioloogilisest olukorrast ELis ja teha paremini kindlaks kriitilised kontrollpunktid. Loomatervise valdkonnas pakub uus õigusraamistik (edaspidi „loomatervise määrus“</w:t>
      </w:r>
      <w:r>
        <w:rPr>
          <w:rStyle w:val="FootnoteReference"/>
          <w:rFonts w:ascii="Times New Roman" w:hAnsi="Times New Roman"/>
          <w:noProof/>
          <w:color w:val="000000"/>
          <w:sz w:val="24"/>
        </w:rPr>
        <w:footnoteReference w:id="22"/>
      </w:r>
      <w:r>
        <w:rPr>
          <w:rFonts w:ascii="Times New Roman" w:eastAsiaTheme="majorEastAsia" w:hAnsi="Times New Roman"/>
          <w:noProof/>
          <w:color w:val="000000" w:themeColor="text1"/>
          <w:sz w:val="24"/>
        </w:rPr>
        <w:t>) parema aluse resistentsete bakterite tõr</w:t>
      </w:r>
      <w:r>
        <w:rPr>
          <w:rFonts w:ascii="Times New Roman" w:eastAsiaTheme="majorEastAsia" w:hAnsi="Times New Roman"/>
          <w:noProof/>
          <w:color w:val="000000" w:themeColor="text1"/>
          <w:sz w:val="24"/>
        </w:rPr>
        <w:t>je eeskirjade väljatöötamiseks.</w:t>
      </w:r>
    </w:p>
    <w:p w:rsidR="00B85BC3" w:rsidRDefault="00D7065F">
      <w:pPr>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Komisjon teeb järgmist:</w:t>
      </w:r>
    </w:p>
    <w:p w:rsidR="00B85BC3" w:rsidRDefault="00D7065F">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vaatab läbi põllumajandusloomadel ja toidus esinevate zoonootiliste ja kommensaalsete bakterite antimikroobikumiresistentsuse seiret käsitleva ELi rakendusõigusakti,</w:t>
      </w:r>
      <w:r>
        <w:rPr>
          <w:rStyle w:val="FootnoteReference"/>
          <w:rFonts w:ascii="Times New Roman" w:hAnsi="Times New Roman"/>
          <w:noProof/>
          <w:sz w:val="24"/>
        </w:rPr>
        <w:footnoteReference w:id="23"/>
      </w:r>
      <w:r>
        <w:rPr>
          <w:rFonts w:ascii="Times New Roman" w:hAnsi="Times New Roman"/>
          <w:noProof/>
          <w:sz w:val="24"/>
        </w:rPr>
        <w:t xml:space="preserve"> et võtta arvesse teaduse arengut ja andmete kogumise vajadusi;</w:t>
      </w:r>
    </w:p>
    <w:p w:rsidR="00B85BC3" w:rsidRDefault="00D7065F">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vaatab läbi inimeste nakkushaiguste esinemisest teatamist käsitleva ELi rakendusõigusakti,</w:t>
      </w:r>
      <w:r>
        <w:rPr>
          <w:rStyle w:val="FootnoteReference"/>
          <w:rFonts w:ascii="Times New Roman" w:hAnsi="Times New Roman"/>
          <w:noProof/>
          <w:sz w:val="24"/>
        </w:rPr>
        <w:footnoteReference w:id="24"/>
      </w:r>
      <w:r>
        <w:rPr>
          <w:rFonts w:ascii="Times New Roman" w:hAnsi="Times New Roman"/>
          <w:noProof/>
          <w:sz w:val="24"/>
        </w:rPr>
        <w:t xml:space="preserve"> et võtta arvesse teaduse arengut ja andmete kogumise vajadusi;</w:t>
      </w:r>
    </w:p>
    <w:p w:rsidR="00B85BC3" w:rsidRDefault="00D7065F">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teeb kindlaks loomade nakkushaigusi p</w:t>
      </w:r>
      <w:r>
        <w:rPr>
          <w:rFonts w:ascii="Times New Roman" w:hAnsi="Times New Roman"/>
          <w:noProof/>
          <w:sz w:val="24"/>
        </w:rPr>
        <w:t>õhjustavad resistentsed bakterid ja hindab neid loomatervise määruse alusel ja Euroopa Toiduohutusameti abiga, ning kui vaja, töötab välja nende seire ühtlustatud eeskirjad;</w:t>
      </w:r>
    </w:p>
    <w:p w:rsidR="00B85BC3" w:rsidRDefault="00D7065F">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parandab antimikroobikumiresistentsuse tuvastamist inimtervishoius, tagades ELi to</w:t>
      </w:r>
      <w:r>
        <w:rPr>
          <w:rFonts w:ascii="Times New Roman" w:hAnsi="Times New Roman"/>
          <w:noProof/>
          <w:sz w:val="24"/>
        </w:rPr>
        <w:t>etuse võrgustikupõhisele koostööle ja ELi referentlaborite tegevusele;</w:t>
      </w:r>
    </w:p>
    <w:p w:rsidR="00B85BC3" w:rsidRDefault="00D7065F">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kaalub antimikroobikumiresistentsuse puhul ühtlustatud keskkonnaseire võimalusi, sealhulgas veterinaarsektori riiklike referentlaborite võrgustiku kaudu.</w:t>
      </w:r>
    </w:p>
    <w:p w:rsidR="00B85BC3" w:rsidRDefault="00D7065F">
      <w:pPr>
        <w:keepNext/>
        <w:keepLines/>
        <w:outlineLvl w:val="1"/>
        <w:rPr>
          <w:rFonts w:ascii="Times New Roman" w:eastAsia="MS Mincho" w:hAnsi="Times New Roman"/>
          <w:i/>
          <w:noProof/>
          <w:color w:val="000000"/>
          <w:sz w:val="24"/>
          <w:szCs w:val="24"/>
        </w:rPr>
      </w:pPr>
      <w:r>
        <w:rPr>
          <w:rFonts w:ascii="Times New Roman" w:hAnsi="Times New Roman"/>
          <w:i/>
          <w:noProof/>
          <w:color w:val="000000"/>
          <w:sz w:val="24"/>
        </w:rPr>
        <w:t>Parima tõenduspõhise analüüsi j</w:t>
      </w:r>
      <w:r>
        <w:rPr>
          <w:rFonts w:ascii="Times New Roman" w:hAnsi="Times New Roman"/>
          <w:i/>
          <w:noProof/>
          <w:color w:val="000000"/>
          <w:sz w:val="24"/>
        </w:rPr>
        <w:t>a parimate tõenduspõhiste andmete kasutamine</w:t>
      </w:r>
    </w:p>
    <w:p w:rsidR="00B85BC3" w:rsidRDefault="00D7065F">
      <w:pPr>
        <w:keepNext/>
        <w:keepLines/>
        <w:outlineLvl w:val="1"/>
        <w:rPr>
          <w:rFonts w:ascii="Times New Roman" w:eastAsia="MS Mincho" w:hAnsi="Times New Roman"/>
          <w:noProof/>
          <w:color w:val="000000"/>
          <w:sz w:val="24"/>
          <w:szCs w:val="24"/>
        </w:rPr>
      </w:pPr>
      <w:r>
        <w:rPr>
          <w:rFonts w:ascii="Times New Roman" w:hAnsi="Times New Roman"/>
          <w:noProof/>
          <w:color w:val="000000"/>
          <w:sz w:val="24"/>
        </w:rPr>
        <w:t>Kvaliteetsed teadusuuringud, andmed ja analüüs on otsustava tähtsusega kui uute antimikroobikumiresistentsuse vastaste meetmete alus ning selleks, et aidata poliitikakujundajatel olemasolevaid meetmeid parandada</w:t>
      </w:r>
      <w:r>
        <w:rPr>
          <w:rFonts w:ascii="Times New Roman" w:hAnsi="Times New Roman"/>
          <w:noProof/>
          <w:color w:val="000000"/>
          <w:sz w:val="24"/>
        </w:rPr>
        <w:t>. Mõned andmed on juba liikmesriikidele kättesaadavad, kuid on vaja genereerida uut usaldusväärset teavet.</w:t>
      </w:r>
    </w:p>
    <w:p w:rsidR="00B85BC3" w:rsidRDefault="00D7065F">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esitab ECDC, EMA ja EFSA abiga tõenduspõhised andmed antimikroobsete ainete tarbimise võimalike seoste kohta inimeste ja </w:t>
      </w:r>
      <w:r>
        <w:rPr>
          <w:rFonts w:ascii="Times New Roman" w:hAnsi="Times New Roman"/>
          <w:noProof/>
          <w:sz w:val="24"/>
        </w:rPr>
        <w:t>toiduloomade antimikroobikumiresistentsuse tekkega;</w:t>
      </w:r>
    </w:p>
    <w:p w:rsidR="00B85BC3" w:rsidRDefault="00D7065F">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määratleb ECDC, EMA ja EFSA abiga antimikroobikumiresistentsuse ja antimikroobikumide tarbimise piiratud arvu keskseid tulemusnäitajaid, millega saaks hinnata ELi ja liikmesriikide edenemist antimikroobik</w:t>
      </w:r>
      <w:r>
        <w:rPr>
          <w:rFonts w:ascii="Times New Roman" w:hAnsi="Times New Roman"/>
          <w:noProof/>
          <w:sz w:val="24"/>
        </w:rPr>
        <w:t>umiresistentsuse tõrje valdkonnas;</w:t>
      </w:r>
    </w:p>
    <w:p w:rsidR="00B85BC3" w:rsidRDefault="00D7065F">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töötab OECD abiga välja mudeli, mille abil liikmesriigid saavad hinnata antimikroobikumiresistentsuse põhjustatud majanduslikku koormust inimestele ja hinnanguliselt määrata seda vähendavate riiklike poliitikate </w:t>
      </w:r>
      <w:r>
        <w:rPr>
          <w:rFonts w:ascii="Times New Roman" w:hAnsi="Times New Roman"/>
          <w:noProof/>
          <w:sz w:val="24"/>
        </w:rPr>
        <w:t>kulutõhusust.</w:t>
      </w:r>
    </w:p>
    <w:p w:rsidR="00B85BC3" w:rsidRDefault="00D7065F">
      <w:pPr>
        <w:keepLines/>
        <w:outlineLvl w:val="1"/>
        <w:rPr>
          <w:rFonts w:ascii="Times New Roman" w:eastAsia="MS Mincho" w:hAnsi="Times New Roman"/>
          <w:i/>
          <w:noProof/>
          <w:color w:val="000000"/>
          <w:sz w:val="24"/>
          <w:szCs w:val="24"/>
        </w:rPr>
      </w:pPr>
      <w:r>
        <w:rPr>
          <w:rFonts w:ascii="Times New Roman" w:hAnsi="Times New Roman"/>
          <w:i/>
          <w:noProof/>
          <w:color w:val="000000"/>
          <w:sz w:val="24"/>
        </w:rPr>
        <w:t>Teadlikkuse ja arusaamise suurendamine</w:t>
      </w:r>
    </w:p>
    <w:p w:rsidR="00B85BC3" w:rsidRDefault="00D7065F">
      <w:pPr>
        <w:keepLines/>
        <w:outlineLvl w:val="1"/>
        <w:rPr>
          <w:rFonts w:ascii="Times New Roman" w:eastAsia="MS Mincho" w:hAnsi="Times New Roman"/>
          <w:i/>
          <w:noProof/>
          <w:color w:val="000000"/>
          <w:sz w:val="24"/>
          <w:szCs w:val="24"/>
        </w:rPr>
      </w:pPr>
      <w:r>
        <w:rPr>
          <w:rFonts w:ascii="Times New Roman" w:hAnsi="Times New Roman"/>
          <w:noProof/>
          <w:color w:val="000000"/>
          <w:sz w:val="24"/>
        </w:rPr>
        <w:t>Alates 2010. aastast on tehtud mitu Eurobaromeetri uuringut antmikroobikumiresistentsuse kohta,</w:t>
      </w:r>
      <w:r>
        <w:rPr>
          <w:rStyle w:val="FootnoteReference"/>
          <w:rFonts w:ascii="Times New Roman" w:hAnsi="Times New Roman"/>
          <w:noProof/>
          <w:color w:val="000000"/>
          <w:sz w:val="24"/>
        </w:rPr>
        <w:footnoteReference w:id="25"/>
      </w:r>
      <w:r>
        <w:rPr>
          <w:rFonts w:ascii="Times New Roman" w:hAnsi="Times New Roman"/>
          <w:noProof/>
          <w:color w:val="000000"/>
          <w:sz w:val="24"/>
        </w:rPr>
        <w:t xml:space="preserve"> millest nähtub, et teadlikkus antimikroobikumide kasutamise ja antimikroobikumiresistentsuse tekke ja levi</w:t>
      </w:r>
      <w:r>
        <w:rPr>
          <w:rFonts w:ascii="Times New Roman" w:hAnsi="Times New Roman"/>
          <w:noProof/>
          <w:color w:val="000000"/>
          <w:sz w:val="24"/>
        </w:rPr>
        <w:t xml:space="preserve">ku seosest on endiselt väike. Nii inimeste kui ka loomade puhul on see antimikroobikumide väära kasutamise peapõhjus. Teadlikkuse suurendamiseks antimikroobikumiresistentsuse kohta ja asjakohaseks koolitamiseks tuleb rohkem teha. ELi tasandi teabevahetuse </w:t>
      </w:r>
      <w:r>
        <w:rPr>
          <w:rFonts w:ascii="Times New Roman" w:hAnsi="Times New Roman"/>
          <w:noProof/>
          <w:color w:val="000000"/>
          <w:sz w:val="24"/>
        </w:rPr>
        <w:t>algatused peaksid aitama liikmesriikidel parandada avalikku ja erialast arusaama antimikroobikumiresistentsusest, edendada antimikroobikumide mõistlikku kasutamist ning toetada teadlikumat kliiniliste otsuste tegemist ja antimikroobikumide põhjendatud määr</w:t>
      </w:r>
      <w:r>
        <w:rPr>
          <w:rFonts w:ascii="Times New Roman" w:hAnsi="Times New Roman"/>
          <w:noProof/>
          <w:color w:val="000000"/>
          <w:sz w:val="24"/>
        </w:rPr>
        <w:t>amist.</w:t>
      </w:r>
    </w:p>
    <w:p w:rsidR="00B85BC3" w:rsidRDefault="00D7065F">
      <w:pPr>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pStyle w:val="ListParagraph"/>
        <w:keepLines/>
        <w:numPr>
          <w:ilvl w:val="0"/>
          <w:numId w:val="22"/>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annab Eurobaromeetri uuringute kaudu ülevaate antimikroobikumide teatatud kasutamisest avalikus sektoris ja teadmistest nende kohta;</w:t>
      </w:r>
    </w:p>
    <w:p w:rsidR="00B85BC3" w:rsidRDefault="00D7065F">
      <w:pPr>
        <w:pStyle w:val="ListParagraph"/>
        <w:keepLines/>
        <w:numPr>
          <w:ilvl w:val="0"/>
          <w:numId w:val="22"/>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toetab liikmesriikide püüdlusi suurendada teadlikkust teabevahetuse erivahenditega, mis on s</w:t>
      </w:r>
      <w:r>
        <w:rPr>
          <w:rFonts w:ascii="Times New Roman" w:hAnsi="Times New Roman"/>
          <w:noProof/>
          <w:sz w:val="24"/>
        </w:rPr>
        <w:t>uunatud kesksetele sihtrühmadele ja annab oma panuse iga-aastase Euroopa antibiootikumidele tähelepanu juhtimise päeva (European Antibiotic Awareness Day, EAAD).</w:t>
      </w:r>
    </w:p>
    <w:p w:rsidR="00B85BC3" w:rsidRDefault="00D7065F">
      <w:pPr>
        <w:pStyle w:val="Heading2"/>
        <w:rPr>
          <w:noProof/>
        </w:rPr>
      </w:pPr>
      <w:r>
        <w:rPr>
          <w:noProof/>
        </w:rPr>
        <w:t>ELi eeskirjade parem koordineerimine ja rakendamine, et lahendada antimikroobikumiresistentsus</w:t>
      </w:r>
      <w:r>
        <w:rPr>
          <w:noProof/>
        </w:rPr>
        <w:t>e probleemi</w:t>
      </w:r>
    </w:p>
    <w:p w:rsidR="00B85BC3" w:rsidRDefault="00D7065F">
      <w:pPr>
        <w:keepNext/>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Liikmesriikide antimikroobikumiresistentsuse vastaste</w:t>
      </w:r>
      <w:r>
        <w:rPr>
          <w:rFonts w:ascii="Times New Roman" w:hAnsi="Times New Roman"/>
          <w:i/>
          <w:noProof/>
          <w:sz w:val="24"/>
        </w:rPr>
        <w:t xml:space="preserve"> terviseühtsuse meetmete parem koordineerimine</w:t>
      </w:r>
    </w:p>
    <w:p w:rsidR="00B85BC3" w:rsidRDefault="00D7065F">
      <w:pPr>
        <w:keepNext/>
        <w:keepLines/>
        <w:rPr>
          <w:rFonts w:ascii="Times New Roman" w:hAnsi="Times New Roman"/>
          <w:noProof/>
          <w:sz w:val="24"/>
          <w:szCs w:val="24"/>
        </w:rPr>
      </w:pPr>
      <w:r>
        <w:rPr>
          <w:rFonts w:ascii="Times New Roman" w:hAnsi="Times New Roman"/>
          <w:noProof/>
          <w:sz w:val="24"/>
        </w:rPr>
        <w:t>Kuna antimikroobikumiresistentsus on ELis tõusuteel, on äärmiselt oluline tagada, et tulemuslike strateegiate rakendamisel saadud kogemused anta</w:t>
      </w:r>
      <w:r>
        <w:rPr>
          <w:rFonts w:ascii="Times New Roman" w:hAnsi="Times New Roman"/>
          <w:noProof/>
          <w:sz w:val="24"/>
        </w:rPr>
        <w:t>ks edasi kõikidele liikmesriikidele. Antimikroobikumiresistentsusest tuleneva piiriülese terviseohuga</w:t>
      </w:r>
      <w:r>
        <w:rPr>
          <w:rStyle w:val="FootnoteReference"/>
          <w:rFonts w:ascii="Times New Roman" w:hAnsi="Times New Roman"/>
          <w:noProof/>
          <w:sz w:val="24"/>
        </w:rPr>
        <w:footnoteReference w:id="26"/>
      </w:r>
      <w:r>
        <w:rPr>
          <w:rFonts w:ascii="Times New Roman" w:hAnsi="Times New Roman"/>
          <w:noProof/>
          <w:sz w:val="24"/>
        </w:rPr>
        <w:t xml:space="preserve"> tegelemiseks on oluline selgitada välja parimad tavad ja poliitikameetmed ning neid jagada, et meetmete puudumine ühes piirkonnas või sektoris ei kahjust</w:t>
      </w:r>
      <w:r>
        <w:rPr>
          <w:rFonts w:ascii="Times New Roman" w:hAnsi="Times New Roman"/>
          <w:noProof/>
          <w:sz w:val="24"/>
        </w:rPr>
        <w:t>aks teistes piirkondades või valdkondades saavutatud edusamme. Selleks et nimetatud koostööle kaasa aidata ja seda kiirendada, moodustas komisjon 2017. aasta alguses antimikroobikumiresistentsusega tegeleva terviseühtsuse võrgustiku, kuhu kuuluvad valitsus</w:t>
      </w:r>
      <w:r>
        <w:rPr>
          <w:rFonts w:ascii="Times New Roman" w:hAnsi="Times New Roman"/>
          <w:noProof/>
          <w:sz w:val="24"/>
        </w:rPr>
        <w:t>te eksperdid inimtervishoiu, loomatervise ja keskkonna valdkonnast ning ELi teadusasutused inimtervishoiu ja loomatervise valdkonnast (ECDC, EMA, EFSA). Antimikroobikumiresistentsuse küsimusega tegeleva terviseühtsuse võrgustiku liikmed töötavad selle nime</w:t>
      </w:r>
      <w:r>
        <w:rPr>
          <w:rFonts w:ascii="Times New Roman" w:hAnsi="Times New Roman"/>
          <w:noProof/>
          <w:sz w:val="24"/>
        </w:rPr>
        <w:t>l, et hõlbustada vastastikust õppimist, jagada uuenduslikke ideid, saavutada konsensus ja võrrelda edusamme olulistes valdkondades ning vajaduse korral kiirendada riikide jõupingutusi antimikroobikumiresistentsuse probleemi lahendamiseks.</w:t>
      </w:r>
    </w:p>
    <w:p w:rsidR="00B85BC3" w:rsidRDefault="00D7065F">
      <w:pPr>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 xml:space="preserve">Komisjon teeb </w:t>
      </w:r>
      <w:r>
        <w:rPr>
          <w:rFonts w:ascii="Times New Roman" w:hAnsi="Times New Roman"/>
          <w:noProof/>
          <w:sz w:val="24"/>
        </w:rPr>
        <w:t>järgmist:</w:t>
      </w:r>
    </w:p>
    <w:p w:rsidR="00B85BC3" w:rsidRDefault="00D7065F">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annab antimikroobikumiresistentsusega tegelevas terviseühtsuse võrgustikus korrapäraselt antimikroobikumiresistentsuse alast teavet, mis tagab ülevaate antimikroobikumiresistentsuse epidemioloogilisest olukorrast liikmesriikide ja ELi tasandil; </w:t>
      </w:r>
    </w:p>
    <w:p w:rsidR="00B85BC3" w:rsidRDefault="00D7065F">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toetab riiklike antimikroobikumiresistentsuse vastaste terviseühtsuse tegevuskavade rakendamist ühiskomisjoni kaudu ja ECDC poolt liikmesriikides tehtavate külastuste kaudu;</w:t>
      </w:r>
    </w:p>
    <w:p w:rsidR="00B85BC3" w:rsidRDefault="00D7065F">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algatab ühismeetme,</w:t>
      </w:r>
      <w:r>
        <w:rPr>
          <w:rStyle w:val="FootnoteReference"/>
          <w:rFonts w:ascii="Times New Roman" w:hAnsi="Times New Roman"/>
          <w:noProof/>
          <w:sz w:val="24"/>
        </w:rPr>
        <w:footnoteReference w:id="27"/>
      </w:r>
      <w:r>
        <w:rPr>
          <w:rFonts w:ascii="Times New Roman" w:hAnsi="Times New Roman"/>
          <w:noProof/>
          <w:sz w:val="24"/>
        </w:rPr>
        <w:t xml:space="preserve"> et toetada liikmesriikide koostööd ja poliitikakujundamist, m</w:t>
      </w:r>
      <w:r>
        <w:rPr>
          <w:rFonts w:ascii="Times New Roman" w:hAnsi="Times New Roman"/>
          <w:noProof/>
          <w:sz w:val="24"/>
        </w:rPr>
        <w:t>ille eesmärk on võidelda antimikroobikumiresistentsuse ja tervishoiuteenustega seotud nakkuste vastu;</w:t>
      </w:r>
    </w:p>
    <w:p w:rsidR="00B85BC3" w:rsidRDefault="00D7065F">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kasutab koostöö tugevdamiseks ja teabe jagamiseks veterinaaria ja toidu valdkonnas rohkem ELi terviseohutuse komitee ning komisjoni antimikroobikumiresist</w:t>
      </w:r>
      <w:r>
        <w:rPr>
          <w:rFonts w:ascii="Times New Roman" w:hAnsi="Times New Roman"/>
          <w:noProof/>
          <w:sz w:val="24"/>
        </w:rPr>
        <w:t>entsuse töörühma abi;</w:t>
      </w:r>
    </w:p>
    <w:p w:rsidR="00B85BC3" w:rsidRDefault="00D7065F">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võtab eesmärgiks kaasrahastada sellist tegevust ja teha WHOga koostööd sellise tegevuse puhul, mis aitab ELi liikmesriikidel töötada välja riiklikud antimikroobikumiresistentsuse vastased terviseühtsuse tegevuskavad ja neid kavasid ra</w:t>
      </w:r>
      <w:r>
        <w:rPr>
          <w:rFonts w:ascii="Times New Roman" w:hAnsi="Times New Roman"/>
          <w:noProof/>
          <w:sz w:val="24"/>
        </w:rPr>
        <w:t>kendada.</w:t>
      </w:r>
    </w:p>
    <w:p w:rsidR="00D7065F" w:rsidRDefault="00D7065F">
      <w:pPr>
        <w:spacing w:after="200" w:line="276" w:lineRule="auto"/>
        <w:jc w:val="left"/>
        <w:rPr>
          <w:rFonts w:ascii="Times New Roman" w:eastAsiaTheme="majorEastAsia" w:hAnsi="Times New Roman"/>
          <w:i/>
          <w:noProof/>
          <w:color w:val="000000" w:themeColor="text1"/>
          <w:sz w:val="24"/>
        </w:rPr>
      </w:pPr>
      <w:r>
        <w:rPr>
          <w:rFonts w:ascii="Times New Roman" w:eastAsiaTheme="majorEastAsia" w:hAnsi="Times New Roman"/>
          <w:i/>
          <w:noProof/>
          <w:color w:val="000000" w:themeColor="text1"/>
          <w:sz w:val="24"/>
        </w:rPr>
        <w:br w:type="page"/>
      </w:r>
    </w:p>
    <w:p w:rsidR="00B85BC3" w:rsidRDefault="00D7065F">
      <w:pPr>
        <w:keepLines/>
        <w:outlineLvl w:val="1"/>
        <w:rPr>
          <w:noProof/>
        </w:rPr>
      </w:pPr>
      <w:r>
        <w:rPr>
          <w:rFonts w:ascii="Times New Roman" w:eastAsiaTheme="majorEastAsia" w:hAnsi="Times New Roman"/>
          <w:i/>
          <w:noProof/>
          <w:color w:val="000000" w:themeColor="text1"/>
          <w:sz w:val="24"/>
        </w:rPr>
        <w:t>ELi eeskirjade parem rakendamine</w:t>
      </w:r>
    </w:p>
    <w:p w:rsidR="00B85BC3" w:rsidRDefault="00D7065F">
      <w:pPr>
        <w:keepLines/>
        <w:outlineLvl w:val="1"/>
        <w:rPr>
          <w:rFonts w:ascii="Times New Roman" w:eastAsia="MS Mincho" w:hAnsi="Times New Roman"/>
          <w:noProof/>
          <w:color w:val="000000"/>
          <w:sz w:val="24"/>
          <w:szCs w:val="24"/>
        </w:rPr>
      </w:pPr>
      <w:r>
        <w:rPr>
          <w:rFonts w:ascii="Times New Roman" w:hAnsi="Times New Roman"/>
          <w:noProof/>
          <w:color w:val="000000"/>
          <w:sz w:val="24"/>
        </w:rPr>
        <w:t>Selleks et saavutada pikaajalisi tulemusi ja anda tegevusele vajalikku hoogu, on oluline, et ELi antimikroobikumiresistentsuse alaseid õigusakte (nt eeskirjad, mis on seotud antimikroobikumiresistentsuse seirega to</w:t>
      </w:r>
      <w:r>
        <w:rPr>
          <w:rFonts w:ascii="Times New Roman" w:hAnsi="Times New Roman"/>
          <w:noProof/>
          <w:color w:val="000000"/>
          <w:sz w:val="24"/>
        </w:rPr>
        <w:t>iduloomade puhul, veterinaarravimite ja ravimsööda kasutamisega) rakendataks nõuetekohaselt. Selleks tuleb ametlikes kontrollides osalevaid liikmesriikide</w:t>
      </w:r>
      <w:r>
        <w:rPr>
          <w:rFonts w:ascii="Times New Roman" w:hAnsi="Times New Roman"/>
          <w:noProof/>
          <w:sz w:val="24"/>
        </w:rPr>
        <w:t>töötajaid piisavalt koolitada ja hoida neid kursis antimikroobikumiresistentsusega seotud ELi õigusakt</w:t>
      </w:r>
      <w:r>
        <w:rPr>
          <w:rFonts w:ascii="Times New Roman" w:hAnsi="Times New Roman"/>
          <w:noProof/>
          <w:sz w:val="24"/>
        </w:rPr>
        <w:t>ide kõigi aspektidega tagamaks, et kontrolle tehakse kõigis liikmesriikides ühetaoliselt ja objektiivselt.</w:t>
      </w:r>
    </w:p>
    <w:p w:rsidR="00B85BC3" w:rsidRDefault="00D7065F">
      <w:pPr>
        <w:keepNext/>
        <w:pBdr>
          <w:top w:val="single" w:sz="4" w:space="1" w:color="auto"/>
          <w:left w:val="single" w:sz="4" w:space="4" w:color="auto"/>
          <w:bottom w:val="single" w:sz="4" w:space="0"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hindab, kui tõhusalt rakendatakse ELi õigusakte</w:t>
      </w:r>
      <w:r>
        <w:rPr>
          <w:rStyle w:val="FootnoteReference"/>
          <w:rFonts w:ascii="Times New Roman" w:hAnsi="Times New Roman"/>
          <w:noProof/>
          <w:color w:val="000000"/>
          <w:sz w:val="24"/>
        </w:rPr>
        <w:footnoteReference w:id="28"/>
      </w:r>
      <w:r>
        <w:rPr>
          <w:rFonts w:ascii="Times New Roman" w:hAnsi="Times New Roman"/>
          <w:noProof/>
          <w:color w:val="000000"/>
          <w:sz w:val="24"/>
        </w:rPr>
        <w:t xml:space="preserve"> muu hulgas antimikroobikumiresistentsuse jälgimisel toiduloomade populatsioonides ja toidu puhul, jätkates regulaarsete auditite tegemist liikmesriikides;</w:t>
      </w:r>
    </w:p>
    <w:p w:rsidR="00B85BC3" w:rsidRDefault="00D7065F">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koostab liikmesriikide pädevatele asutustele antimikroobikumiresistentsuse alased koolitusprogrammid</w:t>
      </w:r>
      <w:r>
        <w:rPr>
          <w:rFonts w:ascii="Times New Roman" w:hAnsi="Times New Roman"/>
          <w:noProof/>
          <w:color w:val="000000"/>
          <w:sz w:val="24"/>
        </w:rPr>
        <w:t xml:space="preserve"> algatuse „Parem koolitus ohutuma toidu nimel“ raames ning tervishoiutöötajatele ECDC ja ELi terviseprogrammi raames;</w:t>
      </w:r>
    </w:p>
    <w:p w:rsidR="00B85BC3" w:rsidRDefault="00D7065F">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annab liikmesriikidele nõu võimaluse kohta kasutada struktuurireformi tugiteenistuse vahendeid, et kavandada ja rakendada antimikroobikumi</w:t>
      </w:r>
      <w:r>
        <w:rPr>
          <w:rFonts w:ascii="Times New Roman" w:hAnsi="Times New Roman"/>
          <w:noProof/>
          <w:color w:val="000000"/>
          <w:sz w:val="24"/>
        </w:rPr>
        <w:t>resistentsuse vastaseid meetmeid.</w:t>
      </w:r>
    </w:p>
    <w:p w:rsidR="00B85BC3" w:rsidRDefault="00D7065F">
      <w:pPr>
        <w:pStyle w:val="Heading2"/>
        <w:rPr>
          <w:noProof/>
        </w:rPr>
      </w:pPr>
      <w:r>
        <w:rPr>
          <w:noProof/>
        </w:rPr>
        <w:t>Antimikroobikumiresistentsuse parem ennetamine ja kontroll</w:t>
      </w:r>
    </w:p>
    <w:p w:rsidR="00B85BC3" w:rsidRDefault="00D7065F">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Nakkuste ennetamise ja tõrje meetmete tugevdamine</w:t>
      </w:r>
    </w:p>
    <w:p w:rsidR="00B85BC3" w:rsidRDefault="00D7065F">
      <w:pPr>
        <w:rPr>
          <w:rFonts w:ascii="Times New Roman" w:hAnsi="Times New Roman"/>
          <w:noProof/>
          <w:sz w:val="24"/>
          <w:szCs w:val="24"/>
        </w:rPr>
      </w:pPr>
      <w:r>
        <w:rPr>
          <w:rFonts w:ascii="Times New Roman" w:hAnsi="Times New Roman"/>
          <w:noProof/>
          <w:sz w:val="24"/>
        </w:rPr>
        <w:t>Nakkuste ennetamine, bioohutusmeetmed ja tõrjetavad on äärmiselt olulised kõigi nakkusohtlike mikroorganismide tõ</w:t>
      </w:r>
      <w:r>
        <w:rPr>
          <w:rFonts w:ascii="Times New Roman" w:hAnsi="Times New Roman"/>
          <w:noProof/>
          <w:sz w:val="24"/>
        </w:rPr>
        <w:t xml:space="preserve">rjel, sest need meetmed vähendavad vajadust antimikroobikumide järele ning seega mikroorganismide resistentsuse kujunemise ja leviku võimalust. </w:t>
      </w:r>
    </w:p>
    <w:p w:rsidR="00B85BC3" w:rsidRDefault="00D7065F">
      <w:pPr>
        <w:rPr>
          <w:rFonts w:ascii="Times New Roman" w:hAnsi="Times New Roman"/>
          <w:noProof/>
          <w:sz w:val="24"/>
          <w:szCs w:val="24"/>
        </w:rPr>
      </w:pPr>
      <w:r>
        <w:rPr>
          <w:rFonts w:ascii="Times New Roman" w:hAnsi="Times New Roman"/>
          <w:noProof/>
          <w:sz w:val="24"/>
        </w:rPr>
        <w:t>Uued kättesaadavad ja ühtsemad seireandmed, teadusuuringud ja tehnoloogia aitavad luua uuenduslikke käsitlusvii</w:t>
      </w:r>
      <w:r>
        <w:rPr>
          <w:rFonts w:ascii="Times New Roman" w:hAnsi="Times New Roman"/>
          <w:noProof/>
          <w:sz w:val="24"/>
        </w:rPr>
        <w:t>se ning parandada nakkuste ennetamise ja tõrje meetmeid. Ka muud kontrollimeetmed, nagu vaktsineerimine, võivad vähendada teatavate haiguste esinemist ja levikut, vähendades vajadust antimikroobikumide järele. Lisaks on vaktsineerimise teel toimuv immunise</w:t>
      </w:r>
      <w:r>
        <w:rPr>
          <w:rFonts w:ascii="Times New Roman" w:hAnsi="Times New Roman"/>
          <w:noProof/>
          <w:sz w:val="24"/>
        </w:rPr>
        <w:t>erimine kulutõhus rahvatervisemeede, mille puhul on tõendatud, et see toob majanduslikku kasu</w:t>
      </w:r>
      <w:r>
        <w:rPr>
          <w:rStyle w:val="FootnoteReference"/>
          <w:rFonts w:ascii="Times New Roman" w:hAnsi="Times New Roman"/>
          <w:noProof/>
          <w:sz w:val="24"/>
        </w:rPr>
        <w:footnoteReference w:id="29"/>
      </w:r>
      <w:r>
        <w:rPr>
          <w:rFonts w:ascii="Times New Roman" w:hAnsi="Times New Roman"/>
          <w:noProof/>
          <w:sz w:val="24"/>
        </w:rPr>
        <w:t>.</w:t>
      </w:r>
    </w:p>
    <w:p w:rsidR="00B85BC3" w:rsidRDefault="00D7065F">
      <w:pPr>
        <w:keepNext/>
        <w:keepLines/>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Komisjon teeb järgmist:</w:t>
      </w:r>
    </w:p>
    <w:p w:rsidR="00B85BC3" w:rsidRDefault="00D7065F">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aitab lahendada probleeme seoses patsientide ohutusega haiglakeskkonnas, toetades häid tavasid nakkuste ennetamise ja tõrje valdkonnas;</w:t>
      </w:r>
    </w:p>
    <w:p w:rsidR="00B85BC3" w:rsidRDefault="00D7065F">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toetab tegevust, mida rahastavad EL ja liikmesriigid ühiselt ning mille eesmärk on nakkuste ennetamine ja tõrje haavatavates elanikkonnarühmades, eelkõige võitlemine resistentsete tuberkuloositüvede vastu</w:t>
      </w:r>
      <w:r>
        <w:rPr>
          <w:rFonts w:ascii="Times New Roman" w:hAnsi="Times New Roman"/>
          <w:noProof/>
        </w:rPr>
        <w:t>;</w:t>
      </w:r>
    </w:p>
    <w:p w:rsidR="00B85BC3" w:rsidRDefault="00D7065F">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edendab inimeste vaktsineerimist kui </w:t>
      </w:r>
      <w:r>
        <w:rPr>
          <w:rFonts w:ascii="Times New Roman" w:hAnsi="Times New Roman"/>
          <w:noProof/>
          <w:sz w:val="24"/>
        </w:rPr>
        <w:t>rahvatervisemeedet, mille abil ennetada nakkusi ja nende tõttu antimikroobikumide kasutamist;</w:t>
      </w:r>
    </w:p>
    <w:p w:rsidR="00B85BC3" w:rsidRDefault="00D7065F">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edendab jätkuvalt loomakasvatust, sealhulgas vesiviljelus- ja loomakasvatussüsteeme, ning loomade tervist ja heaolu toetavaid söötmisrežiime, et vähendada antimik</w:t>
      </w:r>
      <w:r>
        <w:rPr>
          <w:rFonts w:ascii="Times New Roman" w:hAnsi="Times New Roman"/>
          <w:noProof/>
          <w:sz w:val="24"/>
        </w:rPr>
        <w:t>roobikumide kasutamist.</w:t>
      </w:r>
    </w:p>
    <w:p w:rsidR="00B85BC3" w:rsidRDefault="00B85BC3">
      <w:pPr>
        <w:keepLines/>
        <w:outlineLvl w:val="1"/>
        <w:rPr>
          <w:rFonts w:ascii="Times New Roman" w:eastAsiaTheme="majorEastAsia" w:hAnsi="Times New Roman"/>
          <w:bCs/>
          <w:i/>
          <w:noProof/>
          <w:color w:val="000000" w:themeColor="text1"/>
          <w:sz w:val="24"/>
          <w:szCs w:val="24"/>
        </w:rPr>
      </w:pPr>
    </w:p>
    <w:p w:rsidR="00B85BC3" w:rsidRDefault="00D7065F">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Antimikroobikumide mõistliku kasutamise edendamine</w:t>
      </w:r>
    </w:p>
    <w:p w:rsidR="00B85BC3" w:rsidRDefault="00D7065F">
      <w:pPr>
        <w:rPr>
          <w:rFonts w:ascii="Times New Roman" w:hAnsi="Times New Roman"/>
          <w:noProof/>
          <w:sz w:val="24"/>
          <w:szCs w:val="24"/>
        </w:rPr>
      </w:pPr>
      <w:r>
        <w:rPr>
          <w:rFonts w:ascii="Times New Roman" w:hAnsi="Times New Roman"/>
          <w:noProof/>
          <w:sz w:val="24"/>
        </w:rPr>
        <w:t>Antimikroobikumide asjakohane ja mõistlik kasutamine on väga oluline, et piirata antimikroobikumiresistentsuse tekkimist inimtervishoiu ja loomakasvatuse valdkonnas.</w:t>
      </w:r>
    </w:p>
    <w:p w:rsidR="00B85BC3" w:rsidRDefault="00D7065F">
      <w:pPr>
        <w:rPr>
          <w:noProof/>
        </w:rPr>
      </w:pPr>
      <w:r>
        <w:rPr>
          <w:rFonts w:ascii="Times New Roman" w:hAnsi="Times New Roman"/>
          <w:noProof/>
          <w:sz w:val="24"/>
        </w:rPr>
        <w:t xml:space="preserve">Selleks et </w:t>
      </w:r>
      <w:r>
        <w:rPr>
          <w:rFonts w:ascii="Times New Roman" w:hAnsi="Times New Roman"/>
          <w:noProof/>
          <w:sz w:val="24"/>
        </w:rPr>
        <w:t>aeglustada antimikroobikumiresistentsuse arengut ja säilitada antimikroobikumide tõhusust, on vaja valdkondadevahelisi ja kooskõlastatud meetmeid, millega edendada antimikroobikumide mõistlikku kasutamist inimestel ja loomadel. Sellised meetmed, mida sagel</w:t>
      </w:r>
      <w:r>
        <w:rPr>
          <w:rFonts w:ascii="Times New Roman" w:hAnsi="Times New Roman"/>
          <w:noProof/>
          <w:sz w:val="24"/>
        </w:rPr>
        <w:t>i nimetatakse antimikroobikumiresistentsuse vältimise meetmeteks, on mõnes valdkonnas juba kehtestatud (nt ELi suunised antimikroobikumide mõistlikuks kasutamiseks veterinaarmeditsiinis</w:t>
      </w:r>
      <w:r>
        <w:rPr>
          <w:rStyle w:val="FootnoteReference"/>
          <w:rFonts w:ascii="Times New Roman" w:hAnsi="Times New Roman"/>
          <w:noProof/>
          <w:sz w:val="24"/>
        </w:rPr>
        <w:footnoteReference w:id="30"/>
      </w:r>
      <w:r>
        <w:rPr>
          <w:rFonts w:ascii="Times New Roman" w:hAnsi="Times New Roman"/>
          <w:noProof/>
          <w:sz w:val="24"/>
        </w:rPr>
        <w:t>), kuid need ei ole piisavalt välja töötatud kõigi olukordade jaoks, k</w:t>
      </w:r>
      <w:r>
        <w:rPr>
          <w:rFonts w:ascii="Times New Roman" w:hAnsi="Times New Roman"/>
          <w:noProof/>
          <w:sz w:val="24"/>
        </w:rPr>
        <w:t>us antimikroobikume kasutatakse.</w:t>
      </w:r>
    </w:p>
    <w:p w:rsidR="00B85BC3" w:rsidRDefault="00D7065F">
      <w:pPr>
        <w:keepNext/>
        <w:keepLines/>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Komisjon teeb järgmist:</w:t>
      </w:r>
    </w:p>
    <w:p w:rsidR="00B85BC3" w:rsidRDefault="00D7065F">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töötab selle nimel, et koostada veterinaarravimeid ja ravimsööta käsitlevate kavandatavate määruste (kui Euroopa Parlament ja nõukogu on need vastu võtnud)</w:t>
      </w:r>
      <w:r>
        <w:rPr>
          <w:rStyle w:val="FootnoteReference"/>
          <w:rFonts w:ascii="Times New Roman" w:hAnsi="Times New Roman"/>
          <w:noProof/>
          <w:sz w:val="24"/>
        </w:rPr>
        <w:footnoteReference w:id="31"/>
      </w:r>
      <w:r>
        <w:rPr>
          <w:rFonts w:ascii="Times New Roman" w:hAnsi="Times New Roman"/>
          <w:noProof/>
          <w:sz w:val="24"/>
        </w:rPr>
        <w:t xml:space="preserve"> ELi rakendusaktid ja delegeeritud õigusakt</w:t>
      </w:r>
      <w:r>
        <w:rPr>
          <w:rFonts w:ascii="Times New Roman" w:hAnsi="Times New Roman"/>
          <w:noProof/>
          <w:sz w:val="24"/>
        </w:rPr>
        <w:t>id, sealhulgas eeskirjad antimikroobikumide kasutamise kohta üksnes inimestel; koostada loetelu antimikroobikumidest, mida ei tohi kasutada ettenähtust erinevalt, ning töötada välja antimikroobikumide müügi ja kasutamise kohta andmete kogumise ja aruandlus</w:t>
      </w:r>
      <w:r>
        <w:rPr>
          <w:rFonts w:ascii="Times New Roman" w:hAnsi="Times New Roman"/>
          <w:noProof/>
          <w:sz w:val="24"/>
        </w:rPr>
        <w:t>e meetodid;</w:t>
      </w:r>
    </w:p>
    <w:p w:rsidR="00B85BC3" w:rsidRDefault="00D7065F">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koostab ELi suunised antimikroobikumide mõistlikuks kasutamiseks inimtervishoius; </w:t>
      </w:r>
    </w:p>
    <w:p w:rsidR="00B85BC3" w:rsidRDefault="00D7065F">
      <w:pPr>
        <w:pStyle w:val="ListParagraph"/>
        <w:keepNext/>
        <w:keepLines/>
        <w:numPr>
          <w:ilvl w:val="0"/>
          <w:numId w:val="16"/>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aitab liikmesriikidel rakendada ELi suuniseid antimikroobikumide mõistlikuks kasutamiseks veterinaarmeditsiinis, sealhulgas heade tavade väljaselgitamise ja levi</w:t>
      </w:r>
      <w:r>
        <w:rPr>
          <w:rFonts w:ascii="Times New Roman" w:hAnsi="Times New Roman"/>
          <w:noProof/>
          <w:color w:val="000000"/>
          <w:sz w:val="24"/>
        </w:rPr>
        <w:t>tamise kaudu;</w:t>
      </w:r>
    </w:p>
    <w:p w:rsidR="00B85BC3" w:rsidRDefault="00D7065F">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julgustab EMAd vaatama läbi kogu kättesaadavat teavet vanemate antimikroobikumide kasulikkuse ja riskide kohta ning kaaluma, kas on vaja teha muudatusi nende kasutusviisides, mille liikmesriigid on heaks kiitnud.</w:t>
      </w:r>
    </w:p>
    <w:p w:rsidR="00B85BC3" w:rsidRDefault="00D7065F">
      <w:pPr>
        <w:pStyle w:val="Heading2"/>
        <w:rPr>
          <w:noProof/>
        </w:rPr>
      </w:pPr>
      <w:r>
        <w:rPr>
          <w:noProof/>
        </w:rPr>
        <w:t>Keskkonna rolli suurem arvess</w:t>
      </w:r>
      <w:r>
        <w:rPr>
          <w:noProof/>
        </w:rPr>
        <w:t>evõtmine</w:t>
      </w:r>
    </w:p>
    <w:p w:rsidR="00B85BC3" w:rsidRDefault="00D7065F">
      <w:pPr>
        <w:rPr>
          <w:rFonts w:ascii="Times New Roman" w:hAnsi="Times New Roman"/>
          <w:noProof/>
          <w:sz w:val="24"/>
          <w:szCs w:val="24"/>
        </w:rPr>
      </w:pPr>
      <w:r>
        <w:rPr>
          <w:rFonts w:ascii="Times New Roman" w:hAnsi="Times New Roman"/>
          <w:noProof/>
          <w:sz w:val="24"/>
        </w:rPr>
        <w:t>Üha enam leiab kinnitust tõsiasi, et keskkond aitab kaasa antimikroobikumiresistentsuse tekkele ja levikule inimestel ja loomadel, eelkõige kõrge riskitasemega piirkondades. See on tingitud inimestelt, loomadelt ja tootmisest pärit jäätmevoogudest</w:t>
      </w:r>
      <w:r>
        <w:rPr>
          <w:rFonts w:ascii="Times New Roman" w:hAnsi="Times New Roman"/>
          <w:noProof/>
          <w:sz w:val="24"/>
        </w:rPr>
        <w:t>, kuid selles valdkonnas teadlikumate otsuste tegemiseks on vaja kindlamaid tõendeid. Konkreetseid meetmeid teadmusbaasi täiendamiseks käsitletakse punktis 3. Kui asjaomased seire- ja uuringuandmed on olemas, tuleks välja töötada riskianalüüsi meetodid, et</w:t>
      </w:r>
      <w:r>
        <w:rPr>
          <w:rFonts w:ascii="Times New Roman" w:hAnsi="Times New Roman"/>
          <w:noProof/>
          <w:sz w:val="24"/>
        </w:rPr>
        <w:t xml:space="preserve"> hinnata ohtu inimeste ja loomade tervisele.</w:t>
      </w:r>
    </w:p>
    <w:p w:rsidR="00B85BC3" w:rsidRDefault="00D7065F">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võtab vastu ELi strateegilise lähenemisviisi ravimite kohta keskkonnas</w:t>
      </w:r>
      <w:r>
        <w:rPr>
          <w:rStyle w:val="FootnoteReference"/>
          <w:rFonts w:ascii="Times New Roman" w:hAnsi="Times New Roman"/>
          <w:noProof/>
          <w:sz w:val="24"/>
        </w:rPr>
        <w:footnoteReference w:id="32"/>
      </w:r>
      <w:r>
        <w:rPr>
          <w:rFonts w:ascii="Times New Roman" w:hAnsi="Times New Roman"/>
          <w:noProof/>
          <w:sz w:val="24"/>
        </w:rPr>
        <w:t>;</w:t>
      </w:r>
    </w:p>
    <w:p w:rsidR="00B85BC3" w:rsidRDefault="00D7065F">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maksimeerib juba toimuva seire andmete kasutamist (nt veepoliitika raamdirektiivi kohane seire jälgimisnimekirja </w:t>
      </w:r>
      <w:r>
        <w:rPr>
          <w:rFonts w:ascii="Times New Roman" w:hAnsi="Times New Roman"/>
          <w:noProof/>
          <w:sz w:val="24"/>
        </w:rPr>
        <w:t>alusel</w:t>
      </w:r>
      <w:r>
        <w:rPr>
          <w:rStyle w:val="FootnoteReference"/>
          <w:rFonts w:ascii="Times New Roman" w:hAnsi="Times New Roman"/>
          <w:noProof/>
          <w:sz w:val="24"/>
        </w:rPr>
        <w:footnoteReference w:id="33"/>
      </w:r>
      <w:r>
        <w:rPr>
          <w:rFonts w:ascii="Times New Roman" w:hAnsi="Times New Roman"/>
          <w:noProof/>
          <w:sz w:val="24"/>
        </w:rPr>
        <w:t>), et täiendada teadmisi antimikroobikumide esinemisest ja levikust keskkonnas, sealhulgas kasutades asjakohaste seireandmete saamiseks kemikaalide seire teabeplatvormi (IPCheM)</w:t>
      </w:r>
      <w:r>
        <w:rPr>
          <w:rStyle w:val="FootnoteReference"/>
          <w:rFonts w:ascii="Times New Roman" w:hAnsi="Times New Roman"/>
          <w:noProof/>
          <w:sz w:val="24"/>
        </w:rPr>
        <w:footnoteReference w:id="34"/>
      </w:r>
      <w:r>
        <w:rPr>
          <w:rFonts w:ascii="Times New Roman" w:hAnsi="Times New Roman"/>
          <w:noProof/>
          <w:sz w:val="24"/>
        </w:rPr>
        <w:t>;</w:t>
      </w:r>
    </w:p>
    <w:p w:rsidR="00B85BC3" w:rsidRDefault="00D7065F">
      <w:pPr>
        <w:pStyle w:val="ListParagraph"/>
        <w:numPr>
          <w:ilvl w:val="0"/>
          <w:numId w:val="23"/>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tugevdab tervise- ja keskkonnariskide teaduskomitee (SCHER) rolli kes</w:t>
      </w:r>
      <w:r>
        <w:rPr>
          <w:rFonts w:ascii="Times New Roman" w:hAnsi="Times New Roman"/>
          <w:noProof/>
          <w:sz w:val="24"/>
        </w:rPr>
        <w:t xml:space="preserve">kkonnaga seotud antimikroobikumiresistentsuse küsimuste kohta eksperditeadmiste esitamisel. </w:t>
      </w:r>
    </w:p>
    <w:p w:rsidR="00B85BC3" w:rsidRDefault="00D7065F">
      <w:pPr>
        <w:pStyle w:val="Heading2"/>
        <w:rPr>
          <w:noProof/>
        </w:rPr>
      </w:pPr>
      <w:r>
        <w:rPr>
          <w:noProof/>
        </w:rPr>
        <w:t>Tugevam partnerlus antimikroobikumiresistentsuse vastu võitlemiseks ja antimikroobikumide parem kättesaadavus</w:t>
      </w:r>
    </w:p>
    <w:p w:rsidR="00B85BC3" w:rsidRDefault="00D7065F">
      <w:pPr>
        <w:rPr>
          <w:rFonts w:ascii="Times New Roman" w:hAnsi="Times New Roman"/>
          <w:noProof/>
          <w:sz w:val="24"/>
          <w:szCs w:val="24"/>
        </w:rPr>
      </w:pPr>
      <w:r>
        <w:rPr>
          <w:rFonts w:ascii="Times New Roman" w:hAnsi="Times New Roman"/>
          <w:noProof/>
          <w:sz w:val="24"/>
        </w:rPr>
        <w:t>Antimikroobikumiresistentsuse vastased meetmed ei saa</w:t>
      </w:r>
      <w:r>
        <w:rPr>
          <w:rFonts w:ascii="Times New Roman" w:hAnsi="Times New Roman"/>
          <w:noProof/>
          <w:sz w:val="24"/>
        </w:rPr>
        <w:t xml:space="preserve"> olla edukad ilma sidusrühmade (sh ettevõtjad, kodanikuühiskond, teadusringkonnad ja valitsusväliste organisatsioonide eksperdid) ning ka Euroopa Majandus- ja Sotsiaalkomitee (EMSK) pideva kaasamiseta poliitika väljatöötamisse ja rakendamisse. Komisjon võt</w:t>
      </w:r>
      <w:r>
        <w:rPr>
          <w:rFonts w:ascii="Times New Roman" w:hAnsi="Times New Roman"/>
          <w:noProof/>
          <w:sz w:val="24"/>
        </w:rPr>
        <w:t>ab arvesse olemasolevaid kohustusi ja ühiseid jõupingutusi, nagu ravimi-, biotehnoloogia- ja diagnostikaettevõtjate deklaratsioon antimikroobikumiresistentsuse vastu võitlemise kohta</w:t>
      </w:r>
      <w:r>
        <w:rPr>
          <w:rFonts w:ascii="Times New Roman" w:hAnsi="Times New Roman"/>
          <w:noProof/>
          <w:sz w:val="24"/>
          <w:vertAlign w:val="superscript"/>
        </w:rPr>
        <w:footnoteReference w:id="35"/>
      </w:r>
      <w:r>
        <w:rPr>
          <w:rFonts w:ascii="Times New Roman" w:hAnsi="Times New Roman"/>
          <w:noProof/>
          <w:sz w:val="24"/>
        </w:rPr>
        <w:t xml:space="preserve">. Selles on esitatud tegevuskava täiendavate koostööpüüdluste kohta </w:t>
      </w:r>
      <w:r>
        <w:rPr>
          <w:rFonts w:ascii="Times New Roman" w:hAnsi="Times New Roman"/>
          <w:noProof/>
          <w:sz w:val="24"/>
        </w:rPr>
        <w:t>ettevõtjate, valitsuste ja valitsusväliste organisatsioonide vahel ülemaailmses võitluses antimikroobikumiresistentsuse vastu. Kooskõlas kõnealuse algatusega aitavad korrapärased arutelud sidusrühmade vahel neil välja töötada ja omavahel jagada antimikroob</w:t>
      </w:r>
      <w:r>
        <w:rPr>
          <w:rFonts w:ascii="Times New Roman" w:hAnsi="Times New Roman"/>
          <w:noProof/>
          <w:sz w:val="24"/>
        </w:rPr>
        <w:t>ikumiresistentsuse vastaseid strateegiaid. Koostöö ettevõtjatega on oluline ka selleks, et edendada muude paljulubavate antimikroobikumide alternatiivide väljatöötamist ning lahendada vähese kättesaadavuse küsimusi, sealhulgas antimikroobikumide turult kõr</w:t>
      </w:r>
      <w:r>
        <w:rPr>
          <w:rFonts w:ascii="Times New Roman" w:hAnsi="Times New Roman"/>
          <w:noProof/>
          <w:sz w:val="24"/>
        </w:rPr>
        <w:t>valdamine, mille tulemuseks võib olla antimikroobikumide puudus ja neid asendavate ravivõimaluste ebapiisavus.</w:t>
      </w:r>
    </w:p>
    <w:p w:rsidR="00B85BC3" w:rsidRDefault="00D7065F">
      <w:pPr>
        <w:rPr>
          <w:rFonts w:ascii="Times New Roman" w:hAnsi="Times New Roman"/>
          <w:noProof/>
          <w:sz w:val="24"/>
          <w:szCs w:val="24"/>
        </w:rPr>
      </w:pPr>
      <w:r>
        <w:rPr>
          <w:rFonts w:ascii="Times New Roman" w:hAnsi="Times New Roman"/>
          <w:noProof/>
          <w:sz w:val="24"/>
        </w:rPr>
        <w:t>Samuti on väga tähtis takistada võltsitud ning inimestele või loomadele kahjulike antimikroobikumide sattumist tarneahelasse.</w:t>
      </w:r>
    </w:p>
    <w:p w:rsidR="00B85BC3" w:rsidRDefault="00D7065F">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w:t>
      </w:r>
      <w:r>
        <w:rPr>
          <w:rFonts w:ascii="Times New Roman" w:hAnsi="Times New Roman"/>
          <w:noProof/>
          <w:color w:val="000000"/>
          <w:sz w:val="24"/>
        </w:rPr>
        <w:t>ist:</w:t>
      </w:r>
    </w:p>
    <w:p w:rsidR="00B85BC3" w:rsidRDefault="00D7065F">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teeb koostööd peamiste sidusrühmadega inim- ja loomatervise, toidu, vee ja keskkonna valdkonnas ning toetab nende sidusrühmade omavahelist koostööd, et soodustada antimikroobikumide vastutustundlikku kasutamist tervishoiusektoris ning kogu toiduahela </w:t>
      </w:r>
      <w:r>
        <w:rPr>
          <w:rFonts w:ascii="Times New Roman" w:hAnsi="Times New Roman"/>
          <w:noProof/>
          <w:sz w:val="24"/>
        </w:rPr>
        <w:t>ulatuses, samuti jäätmete nõuetekohast käitlemist;</w:t>
      </w:r>
    </w:p>
    <w:p w:rsidR="00B85BC3" w:rsidRDefault="00D7065F">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teeb koostööd sidusrühmadega, et tagada inimtervishoius ja veterinaarias kasutatavate antimikroobikumide kättesaadavus ja pidev juurdepääs olemasolevatele toodetele; pakub stiimuleid, et suurendada diagnos</w:t>
      </w:r>
      <w:r>
        <w:rPr>
          <w:rFonts w:ascii="Times New Roman" w:hAnsi="Times New Roman"/>
          <w:noProof/>
          <w:sz w:val="24"/>
        </w:rPr>
        <w:t>tika, antimikroobikumide alternatiivide ja vaktsiinide kasutamist;</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vähendab võltsitud ravimite kasutamise võimalusi, aidates liikmesriikidel ja sidusrühmadel tulemuslikult rakendada turvaelemente (kordumatu tunnus), mida hakatakse alates 2019. aastast kasu</w:t>
      </w:r>
      <w:r>
        <w:rPr>
          <w:rFonts w:ascii="Times New Roman" w:hAnsi="Times New Roman"/>
          <w:noProof/>
          <w:color w:val="000000"/>
          <w:sz w:val="24"/>
        </w:rPr>
        <w:t>tama inimtervishoius kasutatavate ravimite välispakendil</w:t>
      </w:r>
      <w:r>
        <w:rPr>
          <w:rStyle w:val="FootnoteReference"/>
          <w:rFonts w:ascii="Times New Roman" w:hAnsi="Times New Roman"/>
          <w:noProof/>
          <w:color w:val="000000"/>
          <w:sz w:val="24"/>
        </w:rPr>
        <w:footnoteReference w:id="36"/>
      </w:r>
      <w:r>
        <w:rPr>
          <w:rFonts w:ascii="Times New Roman" w:hAnsi="Times New Roman"/>
          <w:noProof/>
          <w:color w:val="000000"/>
          <w:sz w:val="24"/>
        </w:rPr>
        <w:t>;</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arutab veterinaarravimite komiteega veterinaarsete antimikroobikumide kättesaadavuse küsimust, et lahendada antimikroobikumiresistentsuse probleemi.</w:t>
      </w:r>
    </w:p>
    <w:bookmarkEnd w:id="1"/>
    <w:bookmarkEnd w:id="2"/>
    <w:p w:rsidR="00D7065F" w:rsidRDefault="00D7065F">
      <w:pPr>
        <w:spacing w:after="200" w:line="276" w:lineRule="auto"/>
        <w:jc w:val="left"/>
        <w:rPr>
          <w:rFonts w:ascii="Times New Roman" w:eastAsiaTheme="majorEastAsia" w:hAnsi="Times New Roman"/>
          <w:b/>
          <w:bCs/>
          <w:smallCaps/>
          <w:noProof/>
          <w:color w:val="000000" w:themeColor="text1"/>
          <w:sz w:val="24"/>
          <w:szCs w:val="24"/>
        </w:rPr>
      </w:pPr>
      <w:r>
        <w:rPr>
          <w:noProof/>
        </w:rPr>
        <w:br w:type="page"/>
      </w:r>
    </w:p>
    <w:p w:rsidR="00B85BC3" w:rsidRDefault="00D7065F">
      <w:pPr>
        <w:pStyle w:val="Heading1"/>
        <w:rPr>
          <w:noProof/>
        </w:rPr>
      </w:pPr>
      <w:bookmarkStart w:id="4" w:name="_GoBack"/>
      <w:bookmarkEnd w:id="4"/>
      <w:r>
        <w:rPr>
          <w:noProof/>
        </w:rPr>
        <w:t>Antimikroobikumiresistentsusega seotud teadusuur</w:t>
      </w:r>
      <w:r>
        <w:rPr>
          <w:noProof/>
        </w:rPr>
        <w:t>ingute, arendustegevuse ja innovatsiooni hoogustamine</w:t>
      </w:r>
    </w:p>
    <w:p w:rsidR="00B85BC3" w:rsidRDefault="00D7065F">
      <w:pPr>
        <w:autoSpaceDE w:val="0"/>
        <w:autoSpaceDN w:val="0"/>
        <w:adjustRightInd w:val="0"/>
        <w:spacing w:after="0"/>
        <w:rPr>
          <w:rFonts w:ascii="Times New Roman" w:hAnsi="Times New Roman"/>
          <w:noProof/>
          <w:sz w:val="24"/>
          <w:szCs w:val="24"/>
        </w:rPr>
      </w:pPr>
      <w:r>
        <w:rPr>
          <w:rFonts w:ascii="Times New Roman" w:hAnsi="Times New Roman"/>
          <w:noProof/>
          <w:sz w:val="24"/>
        </w:rPr>
        <w:t>Teadus- ja arendustegevus ning innovatsioon võivad pakkuda uusi lahendusi ja vahendeid, millega nakkushaigusi ennetada ja ravida, parandada nende diagnoosimist ning tõkestada antimikroobikumiresistentsu</w:t>
      </w:r>
      <w:r>
        <w:rPr>
          <w:rFonts w:ascii="Times New Roman" w:hAnsi="Times New Roman"/>
          <w:noProof/>
          <w:sz w:val="24"/>
        </w:rPr>
        <w:t>se levikut. Käesoleva terviseühtsust käsitleva tegevuskava eesmärk ei ole üksnes teadusuuringute edendamine, vaid ka innovatsiooni edasine soodustamine ning väärtusliku panuse andmine teaduspõhisesse poliitikasse ja õiguslikesse meetmetesse, et võidelda an</w:t>
      </w:r>
      <w:r>
        <w:rPr>
          <w:rFonts w:ascii="Times New Roman" w:hAnsi="Times New Roman"/>
          <w:noProof/>
          <w:sz w:val="24"/>
        </w:rPr>
        <w:t>timikroobikumiresistentsusega ja täita lüngad teadmistes näiteks antimikroobikumiresistentsuse rolli kohta keskkonnas.</w:t>
      </w:r>
    </w:p>
    <w:p w:rsidR="00B85BC3" w:rsidRDefault="00B85BC3">
      <w:pPr>
        <w:autoSpaceDE w:val="0"/>
        <w:autoSpaceDN w:val="0"/>
        <w:adjustRightInd w:val="0"/>
        <w:spacing w:after="0"/>
        <w:rPr>
          <w:rFonts w:ascii="Times New Roman" w:hAnsi="Times New Roman"/>
          <w:noProof/>
          <w:sz w:val="24"/>
          <w:szCs w:val="24"/>
        </w:rPr>
      </w:pPr>
    </w:p>
    <w:p w:rsidR="00B85BC3" w:rsidRDefault="00D7065F">
      <w:pPr>
        <w:autoSpaceDE w:val="0"/>
        <w:autoSpaceDN w:val="0"/>
        <w:adjustRightInd w:val="0"/>
        <w:spacing w:after="0"/>
        <w:rPr>
          <w:rFonts w:ascii="Times New Roman" w:hAnsi="Times New Roman"/>
          <w:noProof/>
          <w:sz w:val="24"/>
          <w:szCs w:val="24"/>
        </w:rPr>
      </w:pPr>
      <w:r>
        <w:rPr>
          <w:rFonts w:ascii="Times New Roman" w:hAnsi="Times New Roman"/>
          <w:noProof/>
          <w:sz w:val="24"/>
        </w:rPr>
        <w:t>Kavandatav antimikroobikumiresistentsuse alaste teadusuuringute strateegia hõlmab tervet terviseühtsuse spektrit – inimeste ja loomade t</w:t>
      </w:r>
      <w:r>
        <w:rPr>
          <w:rFonts w:ascii="Times New Roman" w:hAnsi="Times New Roman"/>
          <w:noProof/>
          <w:sz w:val="24"/>
        </w:rPr>
        <w:t>ervist ning keskkonna rolli. Selles võetakse arvesse WHO üleilmse antimikroobikumiresistentsuse vastase tegevuskava, JPIAMRi ja riiklike tegevuskavade prioriteete. Komisjon teeb koostööd liikmesriikide ja ettevõtjatega, sealhulgas väikeste ja keskmise suur</w:t>
      </w:r>
      <w:r>
        <w:rPr>
          <w:rFonts w:ascii="Times New Roman" w:hAnsi="Times New Roman"/>
          <w:noProof/>
          <w:sz w:val="24"/>
        </w:rPr>
        <w:t>usega ettevõtjatega (VKEd) ning innovatiivsete ravimite algatusega, et lahendada bakterite, viiruste, seente ja parasiitide antimikroobikumiresistentsuse probleemi. Erilist tähelepanu pööratakse WHO patogeenide erinimekirjale ning tuberkuloosile, HIVile/AI</w:t>
      </w:r>
      <w:r>
        <w:rPr>
          <w:rFonts w:ascii="Times New Roman" w:hAnsi="Times New Roman"/>
          <w:noProof/>
          <w:sz w:val="24"/>
        </w:rPr>
        <w:t>DSile, malaariale ja tähelepanuta jäetud nakkushaigustele. Komisjon keskendub teadusuuringute ja innovatsiooni praeguste ja tulevaste raamprogrammide erinevaid rahastamisvahendeid ja partnerlussuhteid kasutades järgmistele meetmetele.</w:t>
      </w:r>
    </w:p>
    <w:p w:rsidR="00B85BC3" w:rsidRDefault="00B85BC3">
      <w:pPr>
        <w:autoSpaceDE w:val="0"/>
        <w:autoSpaceDN w:val="0"/>
        <w:adjustRightInd w:val="0"/>
        <w:spacing w:after="0"/>
        <w:rPr>
          <w:rFonts w:ascii="Times New Roman" w:hAnsi="Times New Roman"/>
          <w:noProof/>
          <w:sz w:val="24"/>
          <w:szCs w:val="24"/>
        </w:rPr>
      </w:pPr>
    </w:p>
    <w:p w:rsidR="00B85BC3" w:rsidRDefault="00D7065F">
      <w:pPr>
        <w:pStyle w:val="Heading2"/>
        <w:rPr>
          <w:noProof/>
        </w:rPr>
      </w:pPr>
      <w:r>
        <w:rPr>
          <w:noProof/>
        </w:rPr>
        <w:t>Nakkuste avastamise,</w:t>
      </w:r>
      <w:r>
        <w:rPr>
          <w:noProof/>
        </w:rPr>
        <w:t xml:space="preserve"> tõhusa tõrje ja seire alaste teadmiste parandamine</w:t>
      </w:r>
    </w:p>
    <w:p w:rsidR="00B85BC3" w:rsidRDefault="00D7065F">
      <w:pPr>
        <w:spacing w:after="0"/>
        <w:rPr>
          <w:rFonts w:ascii="Times New Roman" w:hAnsi="Times New Roman"/>
          <w:noProof/>
          <w:sz w:val="24"/>
          <w:szCs w:val="24"/>
        </w:rPr>
      </w:pPr>
      <w:r>
        <w:rPr>
          <w:rFonts w:ascii="Times New Roman" w:hAnsi="Times New Roman"/>
          <w:noProof/>
          <w:sz w:val="24"/>
        </w:rPr>
        <w:t>Tuleb rohkem pingutada selle nimel, et paremini mõista nakkushaiguste epidemioloogiat, teket, levimust ja nendest tulenevat koormust, ning täiendavalt uurida, kuidas resistentsus areneb ja levib, et tõhus</w:t>
      </w:r>
      <w:r>
        <w:rPr>
          <w:rFonts w:ascii="Times New Roman" w:hAnsi="Times New Roman"/>
          <w:noProof/>
          <w:sz w:val="24"/>
        </w:rPr>
        <w:t>tada varast avastamist; samuti tuleb pingutada, et paremini mõista antimikroobikumiresistentsusega seotud probleeme Euroopa tervishoius, loomakasvatuses ja toiduainetööstuses.</w:t>
      </w:r>
    </w:p>
    <w:p w:rsidR="00B85BC3" w:rsidRDefault="00B85BC3">
      <w:pPr>
        <w:spacing w:after="0"/>
        <w:rPr>
          <w:rFonts w:ascii="Times New Roman" w:hAnsi="Times New Roman"/>
          <w:noProof/>
          <w:sz w:val="24"/>
          <w:szCs w:val="24"/>
        </w:rPr>
      </w:pPr>
    </w:p>
    <w:p w:rsidR="00B85BC3" w:rsidRDefault="00D7065F">
      <w:pPr>
        <w:spacing w:after="0"/>
        <w:rPr>
          <w:rFonts w:ascii="Times New Roman" w:hAnsi="Times New Roman"/>
          <w:noProof/>
          <w:sz w:val="24"/>
          <w:szCs w:val="24"/>
        </w:rPr>
      </w:pPr>
      <w:r>
        <w:rPr>
          <w:rFonts w:ascii="Times New Roman" w:hAnsi="Times New Roman"/>
          <w:noProof/>
          <w:sz w:val="24"/>
        </w:rPr>
        <w:t>Tänapäeva tehnoloogia võimaldab koguda ja kasutada tervishoiu- (haiglad, tervis</w:t>
      </w:r>
      <w:r>
        <w:rPr>
          <w:rFonts w:ascii="Times New Roman" w:hAnsi="Times New Roman"/>
          <w:noProof/>
          <w:sz w:val="24"/>
        </w:rPr>
        <w:t>ekeskused, laborid jt) ning põllumajandus- ja toiduainetööstuse sektori, kuid ka laiemalt kogu ühiskonna andmeid (asjade internet, sotsiaalvõrgustikud jne). Nende andmete kombineerimine võimaldab avastada haiguspuhanguid oluliselt varem ning aitab mõista n</w:t>
      </w:r>
      <w:r>
        <w:rPr>
          <w:rFonts w:ascii="Times New Roman" w:hAnsi="Times New Roman"/>
          <w:noProof/>
          <w:sz w:val="24"/>
        </w:rPr>
        <w:t>akkushaiguste levimise viise. IT-lahenduste väljatöötamine selliste toimingute jaoks pakub häid võimalusi parandada seiret, ravimite väljakirjutamise tavasid, oma tervise eest hoolitsemist ja tervishoiulahendusi ning suurendada antimikroobikumiresistentsus</w:t>
      </w:r>
      <w:r>
        <w:rPr>
          <w:rFonts w:ascii="Times New Roman" w:hAnsi="Times New Roman"/>
          <w:noProof/>
          <w:sz w:val="24"/>
        </w:rPr>
        <w:t>e alast teadlikkust.</w:t>
      </w:r>
    </w:p>
    <w:p w:rsidR="00B85BC3" w:rsidRDefault="00B85BC3">
      <w:pPr>
        <w:spacing w:after="0"/>
        <w:rPr>
          <w:rFonts w:ascii="Times New Roman" w:hAnsi="Times New Roman"/>
          <w:noProof/>
          <w:sz w:val="24"/>
          <w:szCs w:val="24"/>
        </w:rPr>
      </w:pPr>
    </w:p>
    <w:p w:rsidR="00B85BC3" w:rsidRDefault="00D7065F">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toetab teadusuuringuid, mille eesmärk on töötada välja sekkumismeetmed, millega ennetada antimikroobikumiresistentsuse väljakujunemist ja levikut erinevates keskkondades, nagu haiglad, kogukonnad ja </w:t>
      </w:r>
      <w:r>
        <w:rPr>
          <w:rFonts w:ascii="Times New Roman" w:hAnsi="Times New Roman"/>
          <w:noProof/>
          <w:sz w:val="24"/>
        </w:rPr>
        <w:t>loomakasvatusettevõtted, ning neid sekkumismeetmeid hinnata;</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 teadusuuringud, mille eesmärk on mõista antimikroobikumiresistentsuse epidemioloogiat, eelkõige loomade ja inimeste vahelise ülekandumise viise ning nende mõju;</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 teadusuuringuid, mil</w:t>
      </w:r>
      <w:r>
        <w:rPr>
          <w:rFonts w:ascii="Times New Roman" w:hAnsi="Times New Roman"/>
          <w:noProof/>
          <w:sz w:val="24"/>
        </w:rPr>
        <w:t>le eesmärk on töötada välja uued inimestel ja loomadel esinevate resistentsete patogeenide varase (reaalajas) avastamise vahendid, võttes arvesse IT-lahenduste arengut;</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 uute e-tervise lahenduste alaseid teadusuuringuid, et parandada ravimite väljaki</w:t>
      </w:r>
      <w:r>
        <w:rPr>
          <w:rFonts w:ascii="Times New Roman" w:hAnsi="Times New Roman"/>
          <w:noProof/>
          <w:sz w:val="24"/>
        </w:rPr>
        <w:t>rjutamise tavasid, oma tervise eest hoolitsemist ja tervishoiulahendusi ning suurendada antimikroobikumiresistentsuse alast teadlikkust.</w:t>
      </w:r>
    </w:p>
    <w:p w:rsidR="00B85BC3" w:rsidRDefault="00D7065F">
      <w:pPr>
        <w:pStyle w:val="Heading2"/>
        <w:rPr>
          <w:noProof/>
        </w:rPr>
      </w:pPr>
      <w:r>
        <w:rPr>
          <w:noProof/>
        </w:rPr>
        <w:t xml:space="preserve">Uute ravimeetodite ja alternatiivide väljatöötamine </w:t>
      </w:r>
    </w:p>
    <w:p w:rsidR="00B85BC3" w:rsidRDefault="00D7065F">
      <w:pPr>
        <w:spacing w:after="0"/>
        <w:rPr>
          <w:rFonts w:ascii="Times New Roman" w:hAnsi="Times New Roman"/>
          <w:noProof/>
          <w:sz w:val="24"/>
          <w:szCs w:val="24"/>
        </w:rPr>
      </w:pPr>
      <w:r>
        <w:rPr>
          <w:rFonts w:ascii="Times New Roman" w:hAnsi="Times New Roman"/>
          <w:noProof/>
          <w:sz w:val="24"/>
        </w:rPr>
        <w:t>Hoolimata viimastel aastatel tehtud suurtest jõupingutustest, seal</w:t>
      </w:r>
      <w:r>
        <w:rPr>
          <w:rFonts w:ascii="Times New Roman" w:hAnsi="Times New Roman"/>
          <w:noProof/>
          <w:sz w:val="24"/>
        </w:rPr>
        <w:t>hulgas avaliku ja erasektori partnerluse kaudu, ei ole väljatöötamisel piisavalt antimikroobikume, et rahuldada eeldatavaid vajadusi. Antimikroobikumiresistentsuse leviku tõttu on vähenenud ka olemasolevate antimikroobikumide tõhusus. On vaja rohkem teadus</w:t>
      </w:r>
      <w:r>
        <w:rPr>
          <w:rFonts w:ascii="Times New Roman" w:hAnsi="Times New Roman"/>
          <w:noProof/>
          <w:sz w:val="24"/>
        </w:rPr>
        <w:t xml:space="preserve">uuringuid, et töötada välja uued ravimid, ravimeetodid ja alternatiivsed raviviisid, innovatiivsed infektsioonivastased meetodid ning tooted inimestele ja loomadele. Rohkem teadusuuringuid on vaja ka selleks, et edendada vanade antimikroobikumide otstarbe </w:t>
      </w:r>
      <w:r>
        <w:rPr>
          <w:rFonts w:ascii="Times New Roman" w:hAnsi="Times New Roman"/>
          <w:noProof/>
          <w:sz w:val="24"/>
        </w:rPr>
        <w:t>muutmist, parandades nende toimet, ja töötada välja uusi ravikombinatsioone, sealhulgas multiresistentse tuberkuloosi ravimiseks. Samuti tuleks tõhustada digitaaltehnoloogiat biomeditsiiniliste toodete katsetamiseks ja hoogustada e-tervise innovatsiooni, t</w:t>
      </w:r>
      <w:r>
        <w:rPr>
          <w:rFonts w:ascii="Times New Roman" w:hAnsi="Times New Roman"/>
          <w:noProof/>
          <w:sz w:val="24"/>
        </w:rPr>
        <w:t>oetades näiteks innovatsioonialaseid avalikke hankeid</w:t>
      </w:r>
      <w:r>
        <w:rPr>
          <w:rStyle w:val="FootnoteReference"/>
          <w:rFonts w:ascii="Times New Roman" w:hAnsi="Times New Roman"/>
          <w:noProof/>
          <w:sz w:val="24"/>
        </w:rPr>
        <w:footnoteReference w:id="37"/>
      </w:r>
      <w:r>
        <w:rPr>
          <w:rFonts w:ascii="Times New Roman" w:hAnsi="Times New Roman"/>
          <w:noProof/>
          <w:sz w:val="24"/>
        </w:rPr>
        <w:t xml:space="preserve"> ja VKEsid.</w:t>
      </w:r>
    </w:p>
    <w:p w:rsidR="00B85BC3" w:rsidRDefault="00B85BC3">
      <w:pPr>
        <w:spacing w:after="0"/>
        <w:rPr>
          <w:rFonts w:ascii="Times New Roman" w:hAnsi="Times New Roman"/>
          <w:noProof/>
          <w:sz w:val="24"/>
          <w:szCs w:val="24"/>
        </w:rPr>
      </w:pPr>
    </w:p>
    <w:p w:rsidR="00B85BC3" w:rsidRDefault="00D7065F">
      <w:pPr>
        <w:pBdr>
          <w:top w:val="single" w:sz="4" w:space="1" w:color="auto"/>
          <w:left w:val="single" w:sz="4" w:space="1" w:color="auto"/>
          <w:bottom w:val="single" w:sz="4" w:space="1" w:color="auto"/>
          <w:right w:val="single" w:sz="4" w:space="1"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 xml:space="preserve">toetab teadusuuringuid, mille eesmärk on töötada välja uusi antimikroobikume ja alternatiivseid tooteid inimestele ja loomadele ning muuta vanade antimikroobikumide </w:t>
      </w:r>
      <w:r>
        <w:rPr>
          <w:rFonts w:ascii="Times New Roman" w:hAnsi="Times New Roman"/>
          <w:noProof/>
          <w:sz w:val="24"/>
        </w:rPr>
        <w:t>otstarvet või töötada välja uusi ravikombinatsioone;</w:t>
      </w:r>
    </w:p>
    <w:p w:rsidR="00B85BC3" w:rsidRDefault="00D7065F">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toetab VKEsid teadus- ja arendustegevuses, mille eesmärk on leida uuenduslikke ja/või alternatiivseid ravimeetodeid bakteriaalsete nakkuste raviks või ennetamiseks, tehes koostööd Euroopa Ravimiametiga;</w:t>
      </w:r>
    </w:p>
    <w:p w:rsidR="00B85BC3" w:rsidRDefault="00D7065F">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hõlbustab antimikroobikumidega seotud teadusandmete jagamist asjaomaste sidusrühmade</w:t>
      </w:r>
      <w:r>
        <w:rPr>
          <w:rStyle w:val="FootnoteReference"/>
          <w:rFonts w:ascii="Times New Roman" w:hAnsi="Times New Roman"/>
          <w:noProof/>
          <w:sz w:val="24"/>
        </w:rPr>
        <w:footnoteReference w:id="38"/>
      </w:r>
      <w:r>
        <w:rPr>
          <w:rFonts w:ascii="Times New Roman" w:hAnsi="Times New Roman"/>
          <w:noProof/>
          <w:sz w:val="24"/>
        </w:rPr>
        <w:t xml:space="preserve"> vahel, et suunata antimikroobikumide leiutamist ja arendamist tulevikus;</w:t>
      </w:r>
    </w:p>
    <w:p w:rsidR="00B85BC3" w:rsidRDefault="00D7065F">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 xml:space="preserve">toetab jätkusuutlike kliiniliste uuringute üleeuroopalise võrgustiku loomist, mis peaks </w:t>
      </w:r>
      <w:r>
        <w:rPr>
          <w:rFonts w:ascii="Times New Roman" w:hAnsi="Times New Roman"/>
          <w:noProof/>
          <w:sz w:val="24"/>
        </w:rPr>
        <w:t>kiirendama ravimite kliinilisi uuringuid, vähendama nendega seotud kulusid ja parandama kliiniliste uuringute koordineerimist;</w:t>
      </w:r>
    </w:p>
    <w:p w:rsidR="00B85BC3" w:rsidRDefault="00D7065F">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toetab teadusuuringuid ja innovatsiooni, mille eesmärk on edendada uute ravimeetodite ja alternatiivide väljatöötamist toetava di</w:t>
      </w:r>
      <w:r>
        <w:rPr>
          <w:rFonts w:ascii="Times New Roman" w:hAnsi="Times New Roman"/>
          <w:noProof/>
          <w:sz w:val="24"/>
        </w:rPr>
        <w:t>gitehnoloogia kasutamist.</w:t>
      </w:r>
    </w:p>
    <w:p w:rsidR="00B85BC3" w:rsidRDefault="00D7065F">
      <w:pPr>
        <w:pStyle w:val="Heading2"/>
        <w:rPr>
          <w:noProof/>
        </w:rPr>
      </w:pPr>
      <w:r>
        <w:rPr>
          <w:noProof/>
        </w:rPr>
        <w:t>Uute ennetavate vaktsiinide väljatöötamine</w:t>
      </w:r>
    </w:p>
    <w:p w:rsidR="00B85BC3" w:rsidRDefault="00D7065F">
      <w:pPr>
        <w:spacing w:after="0"/>
        <w:rPr>
          <w:rFonts w:ascii="Times New Roman" w:hAnsi="Times New Roman"/>
          <w:noProof/>
          <w:sz w:val="24"/>
          <w:szCs w:val="24"/>
        </w:rPr>
      </w:pPr>
      <w:r>
        <w:rPr>
          <w:rFonts w:ascii="Times New Roman" w:hAnsi="Times New Roman"/>
          <w:noProof/>
          <w:sz w:val="24"/>
        </w:rPr>
        <w:t>Vaktsiinid on osutunud nakkushaiguste tekke ja leviku tõkestamisel äärmiselt oluliseks ja väga kulutõhusaks. Samuti on neil suur potentsiaal vähendada antimikroobikumiresistentsuse esinem</w:t>
      </w:r>
      <w:r>
        <w:rPr>
          <w:rFonts w:ascii="Times New Roman" w:hAnsi="Times New Roman"/>
          <w:noProof/>
          <w:sz w:val="24"/>
        </w:rPr>
        <w:t>ist. Näiteks pneumokoki vaktsiini üldine kättesaadavus võiks päästa paljud neist ligikaudu 800 000 lapsest, kes surevad igal aastal kopsupõletikku, ja lisaks vähendaks see antimikroobikumide kasutamist hinnanguliselt 47 %, aidates võidelda antimikroobikumi</w:t>
      </w:r>
      <w:r>
        <w:rPr>
          <w:rFonts w:ascii="Times New Roman" w:hAnsi="Times New Roman"/>
          <w:noProof/>
          <w:sz w:val="24"/>
        </w:rPr>
        <w:t>resistentsuse edasiarenemisega. Vaktsiinidel juba on oluline roll põllumajandusloomade haiguste ennetamisel ja vesiviljeluses. Seda rolli tuleks veelgi tugevdada, et vähendada antimikroobikumide kasutamist nendes sektorites.</w:t>
      </w:r>
    </w:p>
    <w:p w:rsidR="00B85BC3" w:rsidRDefault="00B85BC3">
      <w:pPr>
        <w:spacing w:after="0"/>
        <w:rPr>
          <w:rFonts w:ascii="Times New Roman" w:hAnsi="Times New Roman"/>
          <w:noProof/>
          <w:sz w:val="24"/>
          <w:szCs w:val="24"/>
        </w:rPr>
      </w:pPr>
    </w:p>
    <w:p w:rsidR="00B85BC3" w:rsidRDefault="00D7065F">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w:t>
      </w:r>
      <w:r>
        <w:rPr>
          <w:rFonts w:ascii="Times New Roman" w:hAnsi="Times New Roman"/>
          <w:noProof/>
          <w:sz w:val="24"/>
        </w:rPr>
        <w:t xml:space="preserve"> jätkuvalt teadusuuringuid, mille eesmärk on töötada välja uusi tõhusaid ennetavaid vaktsiine inimestele ja loomadele;</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aitab suurendada teadmusbaasi tõkete kohta, mis takistavad vaktsineerimise ulatuslikumat kasutamist meditsiinis ja veterinaarias.</w:t>
      </w:r>
    </w:p>
    <w:p w:rsidR="00B85BC3" w:rsidRDefault="00D7065F">
      <w:pPr>
        <w:pStyle w:val="Heading2"/>
        <w:rPr>
          <w:noProof/>
        </w:rPr>
      </w:pPr>
      <w:r>
        <w:rPr>
          <w:noProof/>
        </w:rPr>
        <w:t>Uudsete</w:t>
      </w:r>
      <w:r>
        <w:rPr>
          <w:noProof/>
        </w:rPr>
        <w:t xml:space="preserve"> diagnostikameetodite arendamine</w:t>
      </w:r>
    </w:p>
    <w:p w:rsidR="00B85BC3" w:rsidRDefault="00D7065F">
      <w:pPr>
        <w:rPr>
          <w:rFonts w:ascii="Times New Roman" w:hAnsi="Times New Roman"/>
          <w:noProof/>
          <w:sz w:val="24"/>
          <w:szCs w:val="24"/>
        </w:rPr>
      </w:pPr>
      <w:r>
        <w:rPr>
          <w:rFonts w:ascii="Times New Roman" w:hAnsi="Times New Roman"/>
          <w:noProof/>
          <w:sz w:val="24"/>
        </w:rPr>
        <w:t>Uudne, kiire ja usaldusväärne diagnostika on väga oluline selleks, et eristada bakteriaalseid ja viirusinfektsioone ning teha kindlaks antimikroobikumiresistentsust, et oleks võimalik õigeaegselt määrata kõige sobivam ravi.</w:t>
      </w:r>
      <w:r>
        <w:rPr>
          <w:rFonts w:ascii="Times New Roman" w:hAnsi="Times New Roman"/>
          <w:noProof/>
          <w:sz w:val="24"/>
        </w:rPr>
        <w:t xml:space="preserve"> Kohandades ravi vastavalt nakkava haigusetekitaja laadile ja resistentsusele, aitab diagnostika vähendada antimikroobikumide tarbetut kasutamist inimestel ja loomadel.</w:t>
      </w:r>
    </w:p>
    <w:p w:rsidR="00B85BC3" w:rsidRDefault="00D7065F">
      <w:pPr>
        <w:rPr>
          <w:rFonts w:ascii="Times New Roman" w:hAnsi="Times New Roman"/>
          <w:noProof/>
          <w:sz w:val="24"/>
          <w:szCs w:val="24"/>
        </w:rPr>
      </w:pPr>
      <w:r>
        <w:rPr>
          <w:rFonts w:ascii="Times New Roman" w:hAnsi="Times New Roman"/>
          <w:noProof/>
          <w:sz w:val="24"/>
        </w:rPr>
        <w:t xml:space="preserve">Sellised uudsed diagnostikameetodid on turule sisenemas, kuid selleks, et anda </w:t>
      </w:r>
      <w:r>
        <w:rPr>
          <w:rFonts w:ascii="Times New Roman" w:hAnsi="Times New Roman"/>
          <w:noProof/>
          <w:sz w:val="24"/>
        </w:rPr>
        <w:t>suuniseid olemasolevate antimikroobikumide tõhusama kasutamise kohta inimeste ja loomade tervishoius, tuleb teha rohkem testimisi. Uudse diagnostika abil on võimalik leida ka õigeid patsiente uute ravimimeetodite kliinilisteks uuringuteks, mis muudab katse</w:t>
      </w:r>
      <w:r>
        <w:rPr>
          <w:rFonts w:ascii="Times New Roman" w:hAnsi="Times New Roman"/>
          <w:noProof/>
          <w:sz w:val="24"/>
        </w:rPr>
        <w:t>d tulemuslikumaks.</w:t>
      </w:r>
    </w:p>
    <w:p w:rsidR="00B85BC3" w:rsidRDefault="00D7065F">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 teadusuuringuid, mille eesmärk on uute diagnostikavahendite väljatöötamine eelkõige kohapealsete testide tegemiseks inimestel ja loomadel, et anda meditsiinipraktikutele suuniseid antimikroobikumide kasutam</w:t>
      </w:r>
      <w:r>
        <w:rPr>
          <w:rFonts w:ascii="Times New Roman" w:hAnsi="Times New Roman"/>
          <w:noProof/>
          <w:sz w:val="24"/>
        </w:rPr>
        <w:t xml:space="preserve">ise kohta; </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 IT-lahenduste kasutamist inimeste ja loomade nakkuste diagnoosimise vahendite väljatöötamisel;</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soodustab diagnostikameetodite kasutuselevõttu inim- ja veterinaarmeditsiinis, näiteks innovatsiooniga seotud avalike hangete kaudu.</w:t>
      </w:r>
    </w:p>
    <w:p w:rsidR="00B85BC3" w:rsidRDefault="00D7065F">
      <w:pPr>
        <w:pStyle w:val="Heading2"/>
        <w:rPr>
          <w:noProof/>
        </w:rPr>
      </w:pPr>
      <w:r>
        <w:rPr>
          <w:noProof/>
        </w:rPr>
        <w:t>Uute maja</w:t>
      </w:r>
      <w:r>
        <w:rPr>
          <w:noProof/>
        </w:rPr>
        <w:t xml:space="preserve">ndusmudelite ja -stiimulite väljatöötamine </w:t>
      </w:r>
    </w:p>
    <w:p w:rsidR="00B85BC3" w:rsidRDefault="00D7065F">
      <w:pPr>
        <w:rPr>
          <w:rFonts w:ascii="Times New Roman" w:hAnsi="Times New Roman"/>
          <w:noProof/>
          <w:sz w:val="24"/>
          <w:szCs w:val="24"/>
        </w:rPr>
      </w:pPr>
      <w:r>
        <w:rPr>
          <w:rFonts w:ascii="Times New Roman" w:hAnsi="Times New Roman"/>
          <w:noProof/>
          <w:sz w:val="24"/>
        </w:rPr>
        <w:t>Uute antimikroobikumide või alternatiivsete ravimeetodite väljatöötamine nõuab mahukaid ja pikaajalisi investeeringuid. Klassikalise ärimudeli puhul teenivad ravimitootjad teadus- ja arendustegevuse investeeringu</w:t>
      </w:r>
      <w:r>
        <w:rPr>
          <w:rFonts w:ascii="Times New Roman" w:hAnsi="Times New Roman"/>
          <w:noProof/>
          <w:sz w:val="24"/>
        </w:rPr>
        <w:t>d tasa sellega, et müüvad suurtes kogustes oma ravimeid. Kui aga turule tuuakse mõni uus antimikroobikum ning seda müüakse ja kasutatakse suurtes kogustes, võib eeldada resistentsuse kiiret väljaarenemist. Kuna uute antimikroobikumide kasutamist tuleb piir</w:t>
      </w:r>
      <w:r>
        <w:rPr>
          <w:rFonts w:ascii="Times New Roman" w:hAnsi="Times New Roman"/>
          <w:noProof/>
          <w:sz w:val="24"/>
        </w:rPr>
        <w:t>ata, et minimeerida resistentsuse tekke riski, toob praegune ärimudel antimikroobikumide puhul kaasa turutõrke ja kahjustab tõhusate antimikroobikumide säilitamise nimel tehtavat tööd.</w:t>
      </w:r>
    </w:p>
    <w:p w:rsidR="00B85BC3" w:rsidRDefault="00D7065F">
      <w:pPr>
        <w:rPr>
          <w:rFonts w:ascii="Times New Roman" w:hAnsi="Times New Roman"/>
          <w:noProof/>
          <w:sz w:val="24"/>
          <w:szCs w:val="24"/>
        </w:rPr>
      </w:pPr>
      <w:r>
        <w:rPr>
          <w:rFonts w:ascii="Times New Roman" w:hAnsi="Times New Roman"/>
          <w:noProof/>
          <w:sz w:val="24"/>
        </w:rPr>
        <w:t>Tuleb välja töötada uued majandusmudelid, mis motiveeriksid antimikroob</w:t>
      </w:r>
      <w:r>
        <w:rPr>
          <w:rFonts w:ascii="Times New Roman" w:hAnsi="Times New Roman"/>
          <w:noProof/>
          <w:sz w:val="24"/>
        </w:rPr>
        <w:t>ikume leiutama ja välja töötama, tagades samas nende vastutustundliku kasutamise. Ka uudsete diagnostikameetodite arendamiseks ja kasutuselevõtuks on vaja uusi ärimudeleid, milles võetakse arvesse diagnostika suhteliselt kõrget hinda võrreldes antimikroobi</w:t>
      </w:r>
      <w:r>
        <w:rPr>
          <w:rFonts w:ascii="Times New Roman" w:hAnsi="Times New Roman"/>
          <w:noProof/>
          <w:sz w:val="24"/>
        </w:rPr>
        <w:t>kumide praeguse väikse maksumusega. Sellistes mudelites peab kajastuma nende ravimite kasulikkus pikaajalises perspektiivis ning antimikroobikumide kasutuse vähendamise ja uudse diagnostika kasutuse edendamise väärtus ühiskonnale. See oleks kooskõlas kasva</w:t>
      </w:r>
      <w:r>
        <w:rPr>
          <w:rFonts w:ascii="Times New Roman" w:hAnsi="Times New Roman"/>
          <w:noProof/>
          <w:sz w:val="24"/>
        </w:rPr>
        <w:t>va suundumusega töötada välja uusi diagnostikaga kombineeritud raviviise.</w:t>
      </w:r>
    </w:p>
    <w:p w:rsidR="00B85BC3" w:rsidRDefault="00D7065F">
      <w:pPr>
        <w:rPr>
          <w:rFonts w:ascii="Times New Roman" w:hAnsi="Times New Roman"/>
          <w:noProof/>
          <w:sz w:val="24"/>
          <w:szCs w:val="24"/>
        </w:rPr>
      </w:pPr>
      <w:r>
        <w:rPr>
          <w:rFonts w:ascii="Times New Roman" w:hAnsi="Times New Roman"/>
          <w:noProof/>
          <w:sz w:val="24"/>
        </w:rPr>
        <w:t>Selleks et pakkuda faktilist alust meetmete kasutuselevõtmiseks tervishoiusüsteemis ja -teenuste puhul, on vaja tervishoiutehnoloogia hindamise meetodeid, mille abil hinnata kõnealus</w:t>
      </w:r>
      <w:r>
        <w:rPr>
          <w:rFonts w:ascii="Times New Roman" w:hAnsi="Times New Roman"/>
          <w:noProof/>
          <w:sz w:val="24"/>
        </w:rPr>
        <w:t>e uue tehnoloogia lisaväärtust, ning majanduslikku analüüsi, mis näitab antimikroobikumiresistentsuse vastase võitlusega seotud investeeringute kulusid ja tulusid. Tervishoiutehnoloogia hindamise asutuste kaasamine antimikroobikumiresistentsuse alastesse a</w:t>
      </w:r>
      <w:r>
        <w:rPr>
          <w:rFonts w:ascii="Times New Roman" w:hAnsi="Times New Roman"/>
          <w:noProof/>
          <w:sz w:val="24"/>
        </w:rPr>
        <w:t>ruteludesse võib suurendada nende teadlikkust antimikroobikumiresistentsusest, kui nad hindavad uute antimikroobikumide ja alternatiivide, diagnostika või nende kombinatsioonide lisaväärtust.</w:t>
      </w:r>
    </w:p>
    <w:p w:rsidR="00B85BC3" w:rsidRDefault="00B85BC3">
      <w:pPr>
        <w:spacing w:after="0"/>
        <w:rPr>
          <w:rFonts w:ascii="Times New Roman" w:hAnsi="Times New Roman"/>
          <w:noProof/>
          <w:sz w:val="24"/>
          <w:szCs w:val="24"/>
        </w:rPr>
      </w:pPr>
    </w:p>
    <w:p w:rsidR="00B85BC3" w:rsidRDefault="00D7065F">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suurendab tõendibaasi, mis aitab mõista</w:t>
      </w:r>
      <w:r>
        <w:rPr>
          <w:rFonts w:ascii="Times New Roman" w:hAnsi="Times New Roman"/>
          <w:noProof/>
          <w:sz w:val="24"/>
        </w:rPr>
        <w:t xml:space="preserve"> antimikroobikumiresistentsuse vastu võitlemise strateegiate kulusid ja kasu ühiskonnale, sealhulgas mõista tegureid, mis mõjutavad uudse diagnostika või ennetusmeetmete kasutuselevõttu;</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 teadusuuringuid, mille eesmärk on töötada välja uusi majandusm</w:t>
      </w:r>
      <w:r>
        <w:rPr>
          <w:rFonts w:ascii="Times New Roman" w:hAnsi="Times New Roman"/>
          <w:noProof/>
          <w:sz w:val="24"/>
        </w:rPr>
        <w:t>udeleid ning uurida ja analüüsida stiimuleid, millega ergutada uute ravimeetodite, alternatiivide, vaktsiinide ja diagnoostikameetodite väljatöötamist;</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analüüsib ELi regulatiivseid vahendeid ja stiimuleid, eelkõige harvikravimeid ja pediaatrias kasutatavai</w:t>
      </w:r>
      <w:r>
        <w:rPr>
          <w:rFonts w:ascii="Times New Roman" w:hAnsi="Times New Roman"/>
          <w:noProof/>
          <w:sz w:val="24"/>
        </w:rPr>
        <w:t>d ravimeid käsitlevaid õigusakte, et kasutada neid uudsete antimikroobikumide ja innovatiivsete alternatiivsete ravimite (nt vaktsiinid, antibakteerikumid, seenevastased ravimid, viirusevastased ravimid) puhul, mille investeeringutasuvus ei ole praegu piis</w:t>
      </w:r>
      <w:r>
        <w:rPr>
          <w:rFonts w:ascii="Times New Roman" w:hAnsi="Times New Roman"/>
          <w:noProof/>
          <w:sz w:val="24"/>
        </w:rPr>
        <w:t>av;</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ergutab liikmesriike uurima uusi ärimudeleid käsitlevate ELi teadusprojektide tulemusi ja soovitusi;</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töötab välja uusi või täiustatud tervishoiutehnoloogia hindamise meetodeid ja edendab metodoloogilise konsensuse saavutamist. See võib tulla kasuks teh</w:t>
      </w:r>
      <w:r>
        <w:rPr>
          <w:rFonts w:ascii="Times New Roman" w:hAnsi="Times New Roman"/>
          <w:noProof/>
          <w:sz w:val="24"/>
        </w:rPr>
        <w:t>noloogiate ja üksteisest sõltuvate tehnoloogiate kombinatsioonide väljatöötamisele, sealhulgas antimikroobikumiresistentsuse valdkonnas.</w:t>
      </w:r>
    </w:p>
    <w:p w:rsidR="00B85BC3" w:rsidRDefault="00D7065F">
      <w:pPr>
        <w:pStyle w:val="Heading2"/>
        <w:rPr>
          <w:noProof/>
        </w:rPr>
      </w:pPr>
      <w:r>
        <w:rPr>
          <w:noProof/>
        </w:rPr>
        <w:t>Puudulike teadmiste täiendamine keskkonnas esineva antimikroobikumiresistentsuse kohta ja selle ülekandumise tõkestamis</w:t>
      </w:r>
      <w:r>
        <w:rPr>
          <w:noProof/>
        </w:rPr>
        <w:t>e kohta</w:t>
      </w:r>
    </w:p>
    <w:p w:rsidR="00B85BC3" w:rsidRDefault="00D7065F">
      <w:pPr>
        <w:keepNext/>
        <w:keepLines/>
        <w:outlineLvl w:val="0"/>
        <w:rPr>
          <w:rFonts w:ascii="Times New Roman" w:hAnsi="Times New Roman"/>
          <w:noProof/>
          <w:sz w:val="24"/>
          <w:szCs w:val="24"/>
        </w:rPr>
      </w:pPr>
      <w:r>
        <w:rPr>
          <w:rFonts w:ascii="Times New Roman" w:hAnsi="Times New Roman"/>
          <w:noProof/>
          <w:sz w:val="24"/>
        </w:rPr>
        <w:t>Antimikroobikumiresistentsus on hea näide terviseühtsuse teemast, mille puhul on inimeste tervis seotud loomade tervise ja keskkonna seisukorraga. Rahuldava tulemuse võib saavutada vaid erinevaid valdkondi hõlmava tööga. Suur lünk valitseb praegu t</w:t>
      </w:r>
      <w:r>
        <w:rPr>
          <w:rFonts w:ascii="Times New Roman" w:hAnsi="Times New Roman"/>
          <w:noProof/>
          <w:sz w:val="24"/>
        </w:rPr>
        <w:t>eadmistes selle kohta, kuidas resistentsed organismid keskkonda satuvad ja seal levivad, ning ohtude ja riskide kohta, mida see kujutab endast inimeste ja loomade tervisele. Näiteks tuleks hinnata antimikroobikumide keskkonda sattumist inimestelt, loomadel</w:t>
      </w:r>
      <w:r>
        <w:rPr>
          <w:rFonts w:ascii="Times New Roman" w:hAnsi="Times New Roman"/>
          <w:noProof/>
          <w:sz w:val="24"/>
        </w:rPr>
        <w:t>t ja tootmisest pärit jäätmevoogude kaudu. Samuti tuleks välja töötata uusi tehnoloogiaid, mis võimaldaksid reoveepuhastites, orgaanilises jäätmevoos või keskkonnas leiduvaid antimikroobikume tõhusalt ja kiirelt lagundada.</w:t>
      </w:r>
    </w:p>
    <w:p w:rsidR="00B85BC3" w:rsidRDefault="00D7065F">
      <w:pPr>
        <w:keepNext/>
        <w:keepLines/>
        <w:outlineLvl w:val="0"/>
        <w:rPr>
          <w:rFonts w:ascii="Times New Roman" w:hAnsi="Times New Roman"/>
          <w:noProof/>
          <w:sz w:val="24"/>
          <w:szCs w:val="24"/>
        </w:rPr>
      </w:pPr>
      <w:r>
        <w:rPr>
          <w:rFonts w:ascii="Times New Roman" w:hAnsi="Times New Roman"/>
          <w:noProof/>
          <w:sz w:val="24"/>
        </w:rPr>
        <w:t>Lähemalt tuleb uurida seireprogra</w:t>
      </w:r>
      <w:r>
        <w:rPr>
          <w:rFonts w:ascii="Times New Roman" w:hAnsi="Times New Roman"/>
          <w:noProof/>
          <w:sz w:val="24"/>
        </w:rPr>
        <w:t xml:space="preserve">mmide teostatavust ja rakendamist, sealhulgas keskkonnas leiduvate antimikroobikumide ja nende suhtes resistentsete mikroorganismide ühtlustatud seiret. Ühtlustatud seire- ja uuringuandmeid kasutades tuleks välja töötada riskianalüüsi meetodid, mille abil </w:t>
      </w:r>
      <w:r>
        <w:rPr>
          <w:rFonts w:ascii="Times New Roman" w:hAnsi="Times New Roman"/>
          <w:noProof/>
          <w:sz w:val="24"/>
        </w:rPr>
        <w:t>hinnata ohtu inimeste ja loomade tervisele. Põllumajandusliku toidutööstuse sektoris tuleb põhjalikumalt uurida seoseid põllumajandustavade, loomade tervise ning antimikroobikumiresistentsuse väljakujunemise ja leviku vahel.</w:t>
      </w:r>
    </w:p>
    <w:p w:rsidR="00B85BC3" w:rsidRDefault="00D7065F">
      <w:pPr>
        <w:keepNext/>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toetab </w:t>
      </w:r>
      <w:r>
        <w:rPr>
          <w:rFonts w:ascii="Times New Roman" w:hAnsi="Times New Roman"/>
          <w:noProof/>
          <w:sz w:val="24"/>
        </w:rPr>
        <w:t>teadusuuringuid, mis aitavad täiendada puudulikke teadmisi seoses resistentsete mikroorganismide ja antimikroobikumide sattumisega keskkonda ja nende levikuga;</w:t>
      </w:r>
    </w:p>
    <w:p w:rsidR="00B85BC3" w:rsidRDefault="00D7065F">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uurib teadusasutuste toetusel riskihindamise meetodeid ja kasutab neid meetodeid, et hinnata kes</w:t>
      </w:r>
      <w:r>
        <w:rPr>
          <w:rFonts w:ascii="Times New Roman" w:hAnsi="Times New Roman"/>
          <w:noProof/>
          <w:sz w:val="24"/>
        </w:rPr>
        <w:t>kkonnas leiduvate antimikroobikumide põhjustatud riske inimeste ja loomade tervisele;</w:t>
      </w:r>
    </w:p>
    <w:p w:rsidR="00B85BC3" w:rsidRDefault="00D7065F">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 teadusuuringuid, mille eesmärk on töötada välja uusi vahendeid keskkonnas leiduvate antimikroobikumide ja nende suhtes resistentsete mikroorganismide seireks;</w:t>
      </w:r>
    </w:p>
    <w:p w:rsidR="00B85BC3" w:rsidRDefault="00D7065F">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w:t>
      </w:r>
      <w:r>
        <w:rPr>
          <w:rFonts w:ascii="Times New Roman" w:hAnsi="Times New Roman"/>
          <w:noProof/>
          <w:sz w:val="24"/>
        </w:rPr>
        <w:t xml:space="preserve">ab sellise tehnoloogia väljatöötamist, mis võimaldab reovees ja keskkonnas leiduvaid antimikroobikume tõhusalt ja kiirelt lagundada ning vähendada antimikroobikumiresistentsuse levikut. </w:t>
      </w:r>
    </w:p>
    <w:p w:rsidR="00B85BC3" w:rsidRDefault="00D7065F">
      <w:pPr>
        <w:pStyle w:val="Heading1"/>
        <w:keepNext/>
        <w:ind w:left="431" w:hanging="431"/>
        <w:rPr>
          <w:noProof/>
        </w:rPr>
      </w:pPr>
      <w:r>
        <w:rPr>
          <w:noProof/>
        </w:rPr>
        <w:t>Üleilmse tegevuskava kujundamine</w:t>
      </w:r>
    </w:p>
    <w:p w:rsidR="00B85BC3" w:rsidRDefault="00D7065F">
      <w:pPr>
        <w:keepNext/>
        <w:keepLines/>
        <w:rPr>
          <w:rFonts w:ascii="Times New Roman Bold" w:eastAsia="Times New Roman" w:hAnsi="Times New Roman Bold"/>
          <w:noProof/>
          <w:sz w:val="24"/>
          <w:szCs w:val="24"/>
        </w:rPr>
      </w:pPr>
      <w:r>
        <w:rPr>
          <w:rFonts w:ascii="Times New Roman Bold" w:hAnsi="Times New Roman Bold"/>
          <w:noProof/>
          <w:sz w:val="24"/>
        </w:rPr>
        <w:t xml:space="preserve">EL ja selle liikmesriigid on osa </w:t>
      </w:r>
      <w:r>
        <w:rPr>
          <w:rFonts w:ascii="Times New Roman Bold" w:hAnsi="Times New Roman Bold"/>
          <w:noProof/>
          <w:sz w:val="24"/>
        </w:rPr>
        <w:t>maailmast, kus kõik on üha enam omavahel seotud ning mida iseloomustavad inimeste intensiivne liikuvus ja kaubavahetus. Seega võib ühes piirkonnas rakendatud meetmetel olla suur mõju mujal maailmas.</w:t>
      </w:r>
    </w:p>
    <w:p w:rsidR="00B85BC3" w:rsidRDefault="00D7065F">
      <w:pPr>
        <w:rPr>
          <w:rFonts w:ascii="Times New Roman Bold" w:eastAsia="Times New Roman" w:hAnsi="Times New Roman Bold"/>
          <w:noProof/>
          <w:sz w:val="24"/>
          <w:szCs w:val="24"/>
        </w:rPr>
      </w:pPr>
      <w:r>
        <w:rPr>
          <w:rFonts w:ascii="Times New Roman Bold" w:hAnsi="Times New Roman Bold"/>
          <w:noProof/>
          <w:sz w:val="24"/>
        </w:rPr>
        <w:t>Antimikroobikumiresistentsuse levikut üle riigipiiride on</w:t>
      </w:r>
      <w:r>
        <w:rPr>
          <w:rFonts w:ascii="Times New Roman Bold" w:hAnsi="Times New Roman Bold"/>
          <w:noProof/>
          <w:sz w:val="24"/>
        </w:rPr>
        <w:t xml:space="preserve"> kinnitatud kõikjal maailmas. Tegevusvaldkonnad on rahvusvaheliselt kokku lepitud ja esitatud WHO üleilmses antimikroobikumiresistentsuse vastases tegevuskavas, millest lähtutakse üleilmses antimikroobikumiresistentsuse vastases tegevuses ning mida toetava</w:t>
      </w:r>
      <w:r>
        <w:rPr>
          <w:rFonts w:ascii="Times New Roman Bold" w:hAnsi="Times New Roman Bold"/>
          <w:noProof/>
          <w:sz w:val="24"/>
        </w:rPr>
        <w:t>d Maailma Loomatervise Organisatsioon (OIE) ja ÜRO Toidu- ja Põllumajandusorganisatsioon (FAO). ÜRO Peaassamblee 21. septembri 2016. aasta poliitilises deklaratsioonis avaldatakse kõrgetasemelist toetust WHO üleilmse antimikroobikumiresistentsuse vastase t</w:t>
      </w:r>
      <w:r>
        <w:rPr>
          <w:rFonts w:ascii="Times New Roman Bold" w:hAnsi="Times New Roman Bold"/>
          <w:noProof/>
          <w:sz w:val="24"/>
        </w:rPr>
        <w:t>egevuskava rahvusvahelisele rakendamisele.</w:t>
      </w:r>
    </w:p>
    <w:p w:rsidR="00B85BC3" w:rsidRDefault="00D7065F">
      <w:pPr>
        <w:rPr>
          <w:rFonts w:ascii="Times New Roman Bold" w:eastAsia="Times New Roman" w:hAnsi="Times New Roman Bold"/>
          <w:noProof/>
          <w:sz w:val="24"/>
          <w:szCs w:val="24"/>
        </w:rPr>
      </w:pPr>
      <w:r>
        <w:rPr>
          <w:rFonts w:ascii="Times New Roman Bold" w:hAnsi="Times New Roman Bold"/>
          <w:noProof/>
          <w:sz w:val="24"/>
        </w:rPr>
        <w:t>ELi 2011. aasta tegevuskavas on tunnustatud ELi meetmete positiivset mõju ülemaailmsel tasandil. Jätkuvalt tuleb teha jõupingutusi, mis on välja toodud allpool.</w:t>
      </w:r>
    </w:p>
    <w:p w:rsidR="00B85BC3" w:rsidRDefault="00D7065F">
      <w:pPr>
        <w:pStyle w:val="Heading2"/>
        <w:rPr>
          <w:rFonts w:eastAsia="Times New Roman"/>
          <w:noProof/>
        </w:rPr>
      </w:pPr>
      <w:r>
        <w:rPr>
          <w:noProof/>
        </w:rPr>
        <w:t>ELi suurem kohalolek maailmaareenil</w:t>
      </w:r>
    </w:p>
    <w:p w:rsidR="00B85BC3" w:rsidRDefault="00D7065F">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Paljud antimikro</w:t>
      </w:r>
      <w:r>
        <w:rPr>
          <w:rFonts w:ascii="Times New Roman Bold" w:hAnsi="Times New Roman Bold"/>
          <w:noProof/>
          <w:sz w:val="24"/>
        </w:rPr>
        <w:t>obikumiresistentsuse vastased ELi poliitikameetmed (nt keeld kasutada antimikroobikume kasvukiirendajatena toiduloomade söödas) aitavad juba praegu kaasa antimikroobikumiresistentsuse vastaste rahvusvaheliste eesmärkide saavutamisele. Ometi areneb ja levib</w:t>
      </w:r>
      <w:r>
        <w:rPr>
          <w:rFonts w:ascii="Times New Roman Bold" w:hAnsi="Times New Roman Bold"/>
          <w:noProof/>
          <w:sz w:val="24"/>
        </w:rPr>
        <w:t xml:space="preserve"> antimikroobikumiresistentsus jätkuvalt kogu maailmas.</w:t>
      </w:r>
      <w:r>
        <w:rPr>
          <w:noProof/>
        </w:rPr>
        <w:t xml:space="preserve"> </w:t>
      </w:r>
      <w:r>
        <w:rPr>
          <w:rFonts w:ascii="Times New Roman Bold" w:hAnsi="Times New Roman Bold"/>
          <w:noProof/>
          <w:sz w:val="24"/>
        </w:rPr>
        <w:t>Seetõttu peaks EL rohkem osalema mitmepoolsetes organisatsioonides, nagu WHO, OIE ja FAO, ning nendega tihedamat koostööd tegema, samuti osalema rahvusvahelistel foorumitel, et aidata kaasa antimikroob</w:t>
      </w:r>
      <w:r>
        <w:rPr>
          <w:rFonts w:ascii="Times New Roman Bold" w:hAnsi="Times New Roman Bold"/>
          <w:noProof/>
          <w:sz w:val="24"/>
        </w:rPr>
        <w:t>ikumiresistentsuse vastasele piirkondlikule ja ülemaailmsele tegevusele, järgides terviseühtsuse põhimõtet.</w:t>
      </w:r>
    </w:p>
    <w:p w:rsidR="00B85BC3" w:rsidRDefault="00B85BC3">
      <w:pPr>
        <w:autoSpaceDE w:val="0"/>
        <w:autoSpaceDN w:val="0"/>
        <w:adjustRightInd w:val="0"/>
        <w:spacing w:after="0"/>
        <w:rPr>
          <w:rFonts w:ascii="Times New Roman Bold" w:eastAsia="Times New Roman" w:hAnsi="Times New Roman Bold"/>
          <w:noProof/>
          <w:sz w:val="24"/>
          <w:szCs w:val="24"/>
        </w:rPr>
      </w:pPr>
    </w:p>
    <w:p w:rsidR="00B85BC3" w:rsidRDefault="00D7065F">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jätkab aktiivset osalemist WHO, OIE, FAO normatiivses töös ning tööd </w:t>
      </w:r>
      <w:r>
        <w:rPr>
          <w:rFonts w:ascii="Times New Roman" w:hAnsi="Times New Roman"/>
          <w:i/>
          <w:noProof/>
          <w:sz w:val="24"/>
        </w:rPr>
        <w:t>codex alimentarius</w:t>
      </w:r>
      <w:r>
        <w:rPr>
          <w:rFonts w:ascii="Times New Roman" w:hAnsi="Times New Roman"/>
          <w:noProof/>
          <w:sz w:val="24"/>
        </w:rPr>
        <w:t xml:space="preserve">’ega, et luua </w:t>
      </w:r>
      <w:r>
        <w:rPr>
          <w:rFonts w:ascii="Times New Roman" w:hAnsi="Times New Roman"/>
          <w:noProof/>
          <w:sz w:val="24"/>
        </w:rPr>
        <w:t>antimikroobikumiresistentsusega seotud ulatuslikud rahvusvahelised raamistikud ja standardid/normid/suunised/metoodika;</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tugevdab tehnilist koostööd WHO ja selle liikmetega WHO üleilmse antimikroobikumiresistentsuse vastase tegevuskava põhivaldkondades (nt </w:t>
      </w:r>
      <w:r>
        <w:rPr>
          <w:rFonts w:ascii="Times New Roman" w:hAnsi="Times New Roman"/>
          <w:noProof/>
          <w:sz w:val="24"/>
        </w:rPr>
        <w:t>seiresüsteemide loomine WHO antimikroobikumiresistentsuse üleilmse seire süsteemi (GLASS) raames, teadlikkuse suurendamine, nakkuste ennetamine ja tõrje);</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suurendab inimravimite tehniliste nõuete rahvusvahelisele ühtlustamisnõukogule (ICH) ning veterinaarr</w:t>
      </w:r>
      <w:r>
        <w:rPr>
          <w:rFonts w:ascii="Times New Roman" w:hAnsi="Times New Roman"/>
          <w:noProof/>
          <w:sz w:val="24"/>
        </w:rPr>
        <w:t>avimite tehniliste registreerimisnõuete rahvusvahelisele ühtlustamiskonverentsile (VICH) pakutavat tuge seoses antimikroobikumiresistentsust puudutavate asjakohaste rahvusvaheliste suuniste/standardite/normidega;</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töötab antimikroobikumiresistentsuse vastas</w:t>
      </w:r>
      <w:r>
        <w:rPr>
          <w:rFonts w:ascii="Times New Roman" w:hAnsi="Times New Roman"/>
          <w:noProof/>
          <w:sz w:val="24"/>
        </w:rPr>
        <w:t>ele tegevusele pideva kõrgel tasemel poliitilise tähelepanu ja pühendumuse saavutamise nimel, sealhulgas ÜRO foorumitel, G7 ja G20 raames;</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otsib sünergiat ÜRO kemikaalide kasutamise rahvusvahelist strateegilist lähenemisviisi hõlmava tööga, mis on seotud e</w:t>
      </w:r>
      <w:r>
        <w:rPr>
          <w:rFonts w:ascii="Times New Roman" w:hAnsi="Times New Roman"/>
          <w:noProof/>
          <w:sz w:val="24"/>
        </w:rPr>
        <w:t>silekerkinud poliitilise küsimusega ravimite kohta keskkonnas</w:t>
      </w:r>
      <w:r>
        <w:rPr>
          <w:rStyle w:val="FootnoteReference"/>
          <w:rFonts w:ascii="Times New Roman" w:hAnsi="Times New Roman"/>
          <w:noProof/>
          <w:sz w:val="24"/>
        </w:rPr>
        <w:footnoteReference w:id="39"/>
      </w:r>
      <w:r>
        <w:rPr>
          <w:noProof/>
        </w:rPr>
        <w:t>;</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uurib võimalusi luua antimikroobikumiresistentsuse alaste kliiniliste uuringute üleilmne võrgustik koostöös G7 liikmetega</w:t>
      </w:r>
      <w:bookmarkStart w:id="5" w:name="_Ref484099599"/>
      <w:r>
        <w:rPr>
          <w:rStyle w:val="FootnoteReference"/>
          <w:rFonts w:ascii="Times New Roman" w:hAnsi="Times New Roman"/>
          <w:noProof/>
          <w:sz w:val="24"/>
        </w:rPr>
        <w:footnoteReference w:id="40"/>
      </w:r>
      <w:bookmarkEnd w:id="5"/>
      <w:r>
        <w:rPr>
          <w:rFonts w:ascii="Times New Roman" w:hAnsi="Times New Roman"/>
          <w:noProof/>
          <w:sz w:val="24"/>
        </w:rPr>
        <w:t>;</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jätkab ja tõhustab käimasolevat koostööd antimikroobikumiresistentsu</w:t>
      </w:r>
      <w:r>
        <w:rPr>
          <w:rFonts w:ascii="Times New Roman" w:hAnsi="Times New Roman"/>
          <w:noProof/>
          <w:sz w:val="24"/>
        </w:rPr>
        <w:t>se Atlandi-ülese töörühmaga (TATFAR), kuhu kuuluvad EL, USA, Kanada ja Norra;</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edendab rahvusvahelist õigusnormide lähendamist EMA ja muude reguleerivate ametite, näiteks USA Toidu- ja Ravimiameti ning Jaapani Ravimi- ja Meditsiiniseadmete Ameti vahel seose</w:t>
      </w:r>
      <w:r>
        <w:rPr>
          <w:rFonts w:ascii="Times New Roman" w:hAnsi="Times New Roman"/>
          <w:noProof/>
          <w:sz w:val="24"/>
        </w:rPr>
        <w:t>s uute paljutõotavate antimikroobikumide väljatöötamise kavadega.</w:t>
      </w:r>
    </w:p>
    <w:p w:rsidR="00B85BC3" w:rsidRDefault="00D7065F">
      <w:pPr>
        <w:pStyle w:val="Heading2"/>
        <w:rPr>
          <w:rFonts w:eastAsia="Times New Roman"/>
          <w:noProof/>
        </w:rPr>
      </w:pPr>
      <w:r>
        <w:rPr>
          <w:noProof/>
        </w:rPr>
        <w:t>Tugevam kahepoolne partnerlus tihedama koostöö eesmärgil</w:t>
      </w:r>
    </w:p>
    <w:p w:rsidR="00B85BC3" w:rsidRDefault="00D7065F">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EL on kogunud antimikroobikumiresistentsuse kohta väärtuslikke eksperditeadmisi ja kogemusi, kuid mõned ELi kaubanduspartnerid on sel</w:t>
      </w:r>
      <w:r>
        <w:rPr>
          <w:rFonts w:ascii="Times New Roman Bold" w:hAnsi="Times New Roman Bold"/>
          <w:noProof/>
          <w:sz w:val="24"/>
        </w:rPr>
        <w:t>les valdkonnas rakendanud teistsuguseid lähenemisviise ja seadnud muud prioriteedid. Nende partneritega tuleb teha rohkem koostööd ja luua tihedamad sidemed, et saavutada konsensus, jagada kogemusi ja ühtlustada lähenemisviise, millest saavad kasu kõik poo</w:t>
      </w:r>
      <w:r>
        <w:rPr>
          <w:rFonts w:ascii="Times New Roman Bold" w:hAnsi="Times New Roman Bold"/>
          <w:noProof/>
          <w:sz w:val="24"/>
        </w:rPr>
        <w:t>led. Kandidaatriigid ja potentsiaalsed kandidaatriigid, kes saavad abi ühinemiseelse strateegia raames, on samuti võtnud endale kohustusi seoses oma õigusaktide vastavusseviimisega antimikroobikumiresistentsust käsitlevate ELi õigusaktidega ja selliste õig</w:t>
      </w:r>
      <w:r>
        <w:rPr>
          <w:rFonts w:ascii="Times New Roman Bold" w:hAnsi="Times New Roman Bold"/>
          <w:noProof/>
          <w:sz w:val="24"/>
        </w:rPr>
        <w:t>usaktide rakendamisega. Seda on teinud ka ELi naaberriigid, kelle suhtes kohaldatakse Euroopa naabruspoliitikat (ENP) või kes on sõlminud ELiga assotsieerimislepingu. Komisjon jätkab koostöös ELi asutustega kõnealuste riikide toetamist külastuste, parimate</w:t>
      </w:r>
      <w:r>
        <w:rPr>
          <w:rFonts w:ascii="Times New Roman Bold" w:hAnsi="Times New Roman Bold"/>
          <w:noProof/>
          <w:sz w:val="24"/>
        </w:rPr>
        <w:t xml:space="preserve"> tavade vahetamise ja suutlikkuse suurendamise kaudu.</w:t>
      </w:r>
    </w:p>
    <w:p w:rsidR="00B85BC3" w:rsidRDefault="00B85BC3">
      <w:pPr>
        <w:autoSpaceDE w:val="0"/>
        <w:autoSpaceDN w:val="0"/>
        <w:adjustRightInd w:val="0"/>
        <w:spacing w:after="0"/>
        <w:rPr>
          <w:rFonts w:ascii="Times New Roman Bold" w:eastAsia="Times New Roman" w:hAnsi="Times New Roman Bold"/>
          <w:noProof/>
          <w:sz w:val="24"/>
          <w:szCs w:val="24"/>
        </w:rPr>
      </w:pPr>
    </w:p>
    <w:p w:rsidR="00B85BC3" w:rsidRDefault="00D7065F">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Ühe suurima põllumajandustoodete turuna võib EL mängida olulist rolli, et edendada oma antimikroobikumiresistentsuse vastaseid meetmeid, toidutootmise meetmeid ja loomade heaolu standardeid näiteks kah</w:t>
      </w:r>
      <w:r>
        <w:rPr>
          <w:rFonts w:ascii="Times New Roman Bold" w:hAnsi="Times New Roman Bold"/>
          <w:noProof/>
          <w:sz w:val="24"/>
        </w:rPr>
        <w:t>epoolsete vabakaubanduslepingute kaudu. Antimikroobikumiresistentsusega seotud sätete süstemaatiline lisamine kõigisse uutesse vabakaubanduslepingutesse on komisjoni jaoks saanud tavaks. Kaaluda võib ka lisameetmeid, et tagada ELi tootjatele ja ELi kauband</w:t>
      </w:r>
      <w:r>
        <w:rPr>
          <w:rFonts w:ascii="Times New Roman Bold" w:hAnsi="Times New Roman Bold"/>
          <w:noProof/>
          <w:sz w:val="24"/>
        </w:rPr>
        <w:t>uspartneritele võrdsed tingimused, nt tagades, et antimikroobikumide vastutustundetu kasutamine ELi kaubanduspartnerite poolt ei kahjustaks ELi põllumajandustootjate tehtud jõupingutusi. See võiks hõlmata ELi kaubanduspartneritega sõlmitavate kontsessiooni</w:t>
      </w:r>
      <w:r>
        <w:rPr>
          <w:rFonts w:ascii="Times New Roman Bold" w:hAnsi="Times New Roman Bold"/>
          <w:noProof/>
          <w:sz w:val="24"/>
        </w:rPr>
        <w:t>lepingute sidumist tingimusega, et nad peavad järgima ELi antimikroobikumiresistentsuse vastase poliitika erieesmärke.</w:t>
      </w:r>
    </w:p>
    <w:p w:rsidR="00B85BC3" w:rsidRDefault="00B85BC3">
      <w:pPr>
        <w:autoSpaceDE w:val="0"/>
        <w:autoSpaceDN w:val="0"/>
        <w:adjustRightInd w:val="0"/>
        <w:spacing w:after="0"/>
        <w:rPr>
          <w:rFonts w:ascii="Times New Roman Bold" w:eastAsia="Times New Roman" w:hAnsi="Times New Roman Bold"/>
          <w:noProof/>
          <w:sz w:val="24"/>
          <w:szCs w:val="24"/>
        </w:rPr>
      </w:pPr>
    </w:p>
    <w:p w:rsidR="00B85BC3" w:rsidRDefault="00D7065F">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edendab antimikroobikumiresistentsuse vastu võitlemise ELi standardeid ja meetmeid kaubanduslepingutes ning </w:t>
      </w:r>
      <w:r>
        <w:rPr>
          <w:rFonts w:ascii="Times New Roman" w:hAnsi="Times New Roman"/>
          <w:noProof/>
          <w:sz w:val="24"/>
        </w:rPr>
        <w:t>lisab need standardid ja meetmed kaubanduslepingute koostöökorda;</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teeb koostööd peamiste ülemaailmsete osalejatega ja strateegiliste riikidega (nt Brasiilia, Hiina, India), aidates saavutada WHO üleilmse antimikroobikumiresistentsuse vastase tegevuskava ee</w:t>
      </w:r>
      <w:r>
        <w:rPr>
          <w:rFonts w:ascii="Times New Roman" w:hAnsi="Times New Roman"/>
          <w:noProof/>
          <w:sz w:val="24"/>
        </w:rPr>
        <w:t>smärke, jagades kogemusi, edendades parimaid tavasid ja motiveerides sellega võtma meetmeid väljaspool ELi;</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 ELi kandidaatriike, potentsiaalseid kandidaatriike ja naaberriike, mille suhtes kohaldatakse Euroopa naabruspoliitikat, antimikroobikumiresis</w:t>
      </w:r>
      <w:r>
        <w:rPr>
          <w:rFonts w:ascii="Times New Roman" w:hAnsi="Times New Roman"/>
          <w:noProof/>
          <w:sz w:val="24"/>
        </w:rPr>
        <w:t>tentsust käsitlevate ELi õigusaktidega ja ELi standarditega vastavusse viimisel ning nende rakendamise alase suutlikkuse suurendamisel;</w:t>
      </w:r>
    </w:p>
    <w:p w:rsidR="00B85BC3" w:rsidRDefault="00D7065F">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kutsub Euroopa Parlamenti, liikmesriike ja sidusrühmi jagama arvamusi meetmete kohta, mida tuleb võtta selle tagamiseks,</w:t>
      </w:r>
      <w:r>
        <w:rPr>
          <w:rFonts w:ascii="Times New Roman" w:hAnsi="Times New Roman"/>
          <w:noProof/>
          <w:sz w:val="24"/>
        </w:rPr>
        <w:t xml:space="preserve"> et jõupingutused, mida teevad ELi tootjad, sh põllumajandustootjad, antimikroobikumiresistentsuse vastu võitlemiseks, ei seaks neid ebasoodsasse konkurentsiolukorda.</w:t>
      </w:r>
    </w:p>
    <w:p w:rsidR="00B85BC3" w:rsidRDefault="00D7065F">
      <w:pPr>
        <w:pStyle w:val="Heading2"/>
        <w:rPr>
          <w:rFonts w:ascii="Times New Roman Bold" w:eastAsia="Times New Roman" w:hAnsi="Times New Roman Bold"/>
          <w:noProof/>
        </w:rPr>
      </w:pPr>
      <w:r>
        <w:rPr>
          <w:noProof/>
        </w:rPr>
        <w:t>Koostöö arengumaadega</w:t>
      </w:r>
    </w:p>
    <w:p w:rsidR="00B85BC3" w:rsidRDefault="00D7065F">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Arengumaades kujutab antimikroobikumiresistentsus endast veelgi suu</w:t>
      </w:r>
      <w:r>
        <w:rPr>
          <w:rFonts w:ascii="Times New Roman Bold" w:hAnsi="Times New Roman Bold"/>
          <w:noProof/>
          <w:sz w:val="24"/>
        </w:rPr>
        <w:t>remat ohtu rahvatervisele ning selle põhjustatav sotsiaalne ja majanduslik koormus on veelgi suurem. See on tingitud poliitilistest, sotsiaalsetest ja majanduslikest teguritest, mis võivad olla arenenud riikide omadest erinevad. ELi arengupoliitika võib mä</w:t>
      </w:r>
      <w:r>
        <w:rPr>
          <w:rFonts w:ascii="Times New Roman Bold" w:hAnsi="Times New Roman Bold"/>
          <w:noProof/>
          <w:sz w:val="24"/>
        </w:rPr>
        <w:t>ngida olulist rolli teadlikkuse suurendamisel, kogemuste jagamisel ja suutlikkuse suurendamisel arengumaades, et nad suudaksid nakkushaigusi paremini tõrjuda ja ennetada antimikroobikumiresistentsust. Seda protsessi võib toetada dialoogi, abi ja koostöö ka</w:t>
      </w:r>
      <w:r>
        <w:rPr>
          <w:rFonts w:ascii="Times New Roman Bold" w:hAnsi="Times New Roman Bold"/>
          <w:noProof/>
          <w:sz w:val="24"/>
        </w:rPr>
        <w:t>udu, võttes arvesse iga partnerriigi poliitikaprioriteete tervishoiusüsteemide tugevdamisel ja kestliku arengu eesmärkide saavutamisel, eriti kolmanda, st hea tervise ja heaolu eesmärgi saavutamisel. Erilist tähelepanu tuleks pöörata väiksema sissetulekuga</w:t>
      </w:r>
      <w:r>
        <w:rPr>
          <w:rFonts w:ascii="Times New Roman Bold" w:hAnsi="Times New Roman Bold"/>
          <w:noProof/>
          <w:sz w:val="24"/>
        </w:rPr>
        <w:t xml:space="preserve"> riikidele, kus toetust on kõige enam vaja.</w:t>
      </w:r>
    </w:p>
    <w:p w:rsidR="00B85BC3" w:rsidRDefault="00B85BC3">
      <w:pPr>
        <w:autoSpaceDE w:val="0"/>
        <w:autoSpaceDN w:val="0"/>
        <w:adjustRightInd w:val="0"/>
        <w:spacing w:after="0"/>
        <w:rPr>
          <w:rFonts w:ascii="Times New Roman Bold" w:eastAsia="Times New Roman" w:hAnsi="Times New Roman Bold"/>
          <w:noProof/>
          <w:sz w:val="24"/>
          <w:szCs w:val="24"/>
        </w:rPr>
      </w:pPr>
    </w:p>
    <w:p w:rsidR="00B85BC3" w:rsidRDefault="00D7065F">
      <w:pPr>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aitab jätkuvalt vähendada antimikroobikumiresistentsust vähim arenenud riikides, tehes seda nakkushaiguste vastaste programmide kaudu nagu </w:t>
      </w:r>
      <w:r>
        <w:rPr>
          <w:rStyle w:val="st1"/>
          <w:rFonts w:ascii="Times New Roman" w:hAnsi="Times New Roman"/>
          <w:noProof/>
          <w:sz w:val="24"/>
        </w:rPr>
        <w:t>ülemaailmne vaktsineerimise ja immuniseerimise l</w:t>
      </w:r>
      <w:r>
        <w:rPr>
          <w:rStyle w:val="st1"/>
          <w:rFonts w:ascii="Times New Roman" w:hAnsi="Times New Roman"/>
          <w:noProof/>
          <w:sz w:val="24"/>
        </w:rPr>
        <w:t>iit</w:t>
      </w:r>
      <w:r>
        <w:rPr>
          <w:rFonts w:ascii="Times New Roman" w:hAnsi="Times New Roman"/>
          <w:noProof/>
          <w:sz w:val="24"/>
        </w:rPr>
        <w:t>;</w:t>
      </w:r>
    </w:p>
    <w:p w:rsidR="00B85BC3" w:rsidRDefault="00D7065F">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aitab välja töötada antimikroobikumiresistentsuse vastaseid strateegiaid toiduohutuse ja loomatervise valdkonnas, tehes seda antimikroobikumiresistentsuse teemaliste piirkondlike koolitusseminaride raames, mida korraldatakse ülemaailmse algatuse</w:t>
      </w:r>
      <w:r>
        <w:rPr>
          <w:rFonts w:ascii="Times New Roman" w:hAnsi="Times New Roman"/>
          <w:noProof/>
          <w:color w:val="000000"/>
          <w:sz w:val="24"/>
        </w:rPr>
        <w:t xml:space="preserve"> „Pare</w:t>
      </w:r>
      <w:r>
        <w:rPr>
          <w:rFonts w:ascii="Times New Roman" w:hAnsi="Times New Roman"/>
          <w:noProof/>
          <w:color w:val="000000"/>
          <w:sz w:val="24"/>
        </w:rPr>
        <w:t>m koolitus ohutuma toidu nimel“</w:t>
      </w:r>
      <w:r>
        <w:rPr>
          <w:rFonts w:ascii="Times New Roman" w:hAnsi="Times New Roman"/>
          <w:noProof/>
          <w:sz w:val="24"/>
        </w:rPr>
        <w:t xml:space="preserve"> egiidi all;</w:t>
      </w:r>
    </w:p>
    <w:p w:rsidR="00B85BC3" w:rsidRDefault="00D7065F">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 vajaduse korral partnerriikide antimikroobikumiresistentsuse valdkonna poliitilisi algatusi rahvusvahelise koostöö ja arengu vahendite (nt programm „Üleilmse tähtsusega avalikud hüved ja probleemid“, Euroo</w:t>
      </w:r>
      <w:r>
        <w:rPr>
          <w:rFonts w:ascii="Times New Roman" w:hAnsi="Times New Roman"/>
          <w:noProof/>
          <w:sz w:val="24"/>
        </w:rPr>
        <w:t>pa Arengufond) kaudu;</w:t>
      </w:r>
    </w:p>
    <w:p w:rsidR="00B85BC3" w:rsidRDefault="00D7065F">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 vastupidavate tervishoiusüsteemide väljaarendamist partnerriikides, nt parandades teadmus- ja tõendibaasi, nakkuste ennetamist ja tõrjet ning antimikroobikumide kvaliteeti ja kasutamist.</w:t>
      </w:r>
    </w:p>
    <w:p w:rsidR="00B85BC3" w:rsidRDefault="00B85BC3">
      <w:pPr>
        <w:autoSpaceDE w:val="0"/>
        <w:autoSpaceDN w:val="0"/>
        <w:adjustRightInd w:val="0"/>
        <w:spacing w:after="0"/>
        <w:rPr>
          <w:rFonts w:ascii="Times New Roman Bold" w:eastAsia="Times New Roman" w:hAnsi="Times New Roman Bold"/>
          <w:noProof/>
          <w:sz w:val="24"/>
          <w:szCs w:val="24"/>
        </w:rPr>
      </w:pPr>
    </w:p>
    <w:p w:rsidR="00B85BC3" w:rsidRDefault="00D7065F">
      <w:pPr>
        <w:pStyle w:val="Heading2"/>
        <w:rPr>
          <w:rFonts w:eastAsia="Times New Roman"/>
          <w:noProof/>
        </w:rPr>
      </w:pPr>
      <w:r>
        <w:rPr>
          <w:noProof/>
        </w:rPr>
        <w:t xml:space="preserve">Üleilmse teadusuuringute kava </w:t>
      </w:r>
      <w:r>
        <w:rPr>
          <w:noProof/>
        </w:rPr>
        <w:t>väljatöötamine</w:t>
      </w:r>
    </w:p>
    <w:p w:rsidR="00B85BC3" w:rsidRDefault="00D7065F">
      <w:pPr>
        <w:pStyle w:val="Heading1"/>
        <w:numPr>
          <w:ilvl w:val="0"/>
          <w:numId w:val="0"/>
        </w:numPr>
        <w:spacing w:before="0"/>
        <w:rPr>
          <w:rFonts w:eastAsiaTheme="minorHAnsi"/>
          <w:b w:val="0"/>
          <w:bCs w:val="0"/>
          <w:smallCaps w:val="0"/>
          <w:noProof/>
          <w:color w:val="auto"/>
        </w:rPr>
      </w:pPr>
      <w:r>
        <w:rPr>
          <w:rFonts w:eastAsiaTheme="minorHAnsi"/>
          <w:b w:val="0"/>
          <w:smallCaps w:val="0"/>
          <w:noProof/>
          <w:color w:val="auto"/>
        </w:rPr>
        <w:t xml:space="preserve">Vaja on tugevamat, omavahel paremini ühendatud ja üleilmsema suunitlusega keskkonda antimikroobikumiresistentsuse alaste teadusuuringute tegemiseks. Suuri eeliseid pakub Euroopa ja tema üleilmsete partnerite teadustegevuse parem omavaheline </w:t>
      </w:r>
      <w:r>
        <w:rPr>
          <w:rFonts w:eastAsiaTheme="minorHAnsi"/>
          <w:b w:val="0"/>
          <w:smallCaps w:val="0"/>
          <w:noProof/>
          <w:color w:val="auto"/>
        </w:rPr>
        <w:t>koordineerimine. Viimase paari aasta jooksul on tehtud palju rahvusvahelisi algatusi, mille mõju saaks suurendada tihedama koostöö kaudu, nagu on öelnud G7</w:t>
      </w:r>
      <w:r>
        <w:rPr>
          <w:rFonts w:eastAsiaTheme="minorHAnsi"/>
          <w:b w:val="0"/>
          <w:bCs w:val="0"/>
          <w:smallCaps w:val="0"/>
          <w:noProof/>
          <w:color w:val="auto"/>
          <w:vertAlign w:val="superscript"/>
        </w:rPr>
        <w:fldChar w:fldCharType="begin"/>
      </w:r>
      <w:r>
        <w:rPr>
          <w:rFonts w:eastAsiaTheme="minorHAnsi"/>
          <w:b w:val="0"/>
          <w:bCs w:val="0"/>
          <w:smallCaps w:val="0"/>
          <w:noProof/>
          <w:color w:val="auto"/>
          <w:vertAlign w:val="superscript"/>
        </w:rPr>
        <w:instrText xml:space="preserve"> NOTEREF _Ref484099599 \h  \* MERGEFORMAT </w:instrText>
      </w:r>
      <w:r>
        <w:rPr>
          <w:rFonts w:eastAsiaTheme="minorHAnsi"/>
          <w:b w:val="0"/>
          <w:bCs w:val="0"/>
          <w:smallCaps w:val="0"/>
          <w:noProof/>
          <w:color w:val="auto"/>
          <w:vertAlign w:val="superscript"/>
        </w:rPr>
      </w:r>
      <w:r>
        <w:rPr>
          <w:rFonts w:eastAsiaTheme="minorHAnsi"/>
          <w:b w:val="0"/>
          <w:bCs w:val="0"/>
          <w:smallCaps w:val="0"/>
          <w:noProof/>
          <w:color w:val="auto"/>
          <w:vertAlign w:val="superscript"/>
        </w:rPr>
        <w:fldChar w:fldCharType="separate"/>
      </w:r>
      <w:r>
        <w:rPr>
          <w:rFonts w:eastAsiaTheme="minorHAnsi"/>
          <w:b w:val="0"/>
          <w:bCs w:val="0"/>
          <w:smallCaps w:val="0"/>
          <w:noProof/>
          <w:color w:val="auto"/>
          <w:vertAlign w:val="superscript"/>
        </w:rPr>
        <w:t>39</w:t>
      </w:r>
      <w:r>
        <w:rPr>
          <w:rFonts w:eastAsiaTheme="minorHAnsi"/>
          <w:b w:val="0"/>
          <w:bCs w:val="0"/>
          <w:smallCaps w:val="0"/>
          <w:noProof/>
          <w:color w:val="auto"/>
          <w:vertAlign w:val="superscript"/>
        </w:rPr>
        <w:fldChar w:fldCharType="end"/>
      </w:r>
      <w:r>
        <w:rPr>
          <w:rFonts w:eastAsiaTheme="minorHAnsi"/>
          <w:b w:val="0"/>
          <w:smallCaps w:val="0"/>
          <w:noProof/>
          <w:color w:val="auto"/>
        </w:rPr>
        <w:t xml:space="preserve"> ja G20</w:t>
      </w:r>
      <w:r>
        <w:rPr>
          <w:rStyle w:val="FootnoteReference"/>
          <w:rFonts w:eastAsiaTheme="minorHAnsi"/>
          <w:b w:val="0"/>
          <w:smallCaps w:val="0"/>
          <w:noProof/>
          <w:color w:val="auto"/>
        </w:rPr>
        <w:footnoteReference w:id="41"/>
      </w:r>
      <w:r>
        <w:rPr>
          <w:rFonts w:eastAsiaTheme="minorHAnsi"/>
          <w:b w:val="0"/>
          <w:smallCaps w:val="0"/>
          <w:noProof/>
          <w:color w:val="auto"/>
        </w:rPr>
        <w:t xml:space="preserve"> terviseministrid.</w:t>
      </w:r>
    </w:p>
    <w:p w:rsidR="00B85BC3" w:rsidRDefault="00D7065F">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Komisjon teeb järgmist:</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parandab teadusuuringute üleilmset koordineerimist, edendades rahvusvaheliste teadusalgatuste puhul dialoogi ja koostööd;</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toetab virtuaalse u</w:t>
      </w:r>
      <w:r>
        <w:rPr>
          <w:rFonts w:ascii="Times New Roman" w:hAnsi="Times New Roman"/>
          <w:noProof/>
          <w:sz w:val="24"/>
        </w:rPr>
        <w:t>urimisinstituudi loomist JPIAMRi raames;</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jätkab teadusuuringute alast koostööd Sahara-taguse Aafrikaga Euroopa ja arenguriikide kliiniliste uuringute partnerluse (EDCTP) raames eelkõige seoses tuberkuloosi, HIVi/AIDSi, malaaria ning tähelepanuta jäetud nak</w:t>
      </w:r>
      <w:r>
        <w:rPr>
          <w:rFonts w:ascii="Times New Roman" w:hAnsi="Times New Roman"/>
          <w:noProof/>
          <w:sz w:val="24"/>
        </w:rPr>
        <w:t>kushaigustega;</w:t>
      </w:r>
    </w:p>
    <w:p w:rsidR="00B85BC3" w:rsidRDefault="00D7065F">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edendab antimikroobikumiresistentsuse alast rahvusvahelist teaduskoostööd loomatervise valdkonnas rahvusvahelise teaduskonsortsiumi STAR-IDAZ raames</w:t>
      </w:r>
      <w:r>
        <w:rPr>
          <w:rStyle w:val="FootnoteReference"/>
          <w:rFonts w:ascii="Times New Roman" w:hAnsi="Times New Roman"/>
          <w:noProof/>
          <w:sz w:val="24"/>
        </w:rPr>
        <w:footnoteReference w:id="42"/>
      </w:r>
      <w:r>
        <w:rPr>
          <w:rFonts w:ascii="Times New Roman" w:hAnsi="Times New Roman"/>
          <w:noProof/>
          <w:sz w:val="24"/>
        </w:rPr>
        <w:t>.</w:t>
      </w:r>
    </w:p>
    <w:p w:rsidR="00B85BC3" w:rsidRDefault="00D7065F">
      <w:pPr>
        <w:pStyle w:val="Heading1"/>
        <w:rPr>
          <w:noProof/>
        </w:rPr>
      </w:pPr>
      <w:r>
        <w:rPr>
          <w:noProof/>
        </w:rPr>
        <w:t>Edusammude mõõtmine</w:t>
      </w:r>
    </w:p>
    <w:p w:rsidR="00B85BC3" w:rsidRDefault="00D7065F">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Soovitud tulemuse saavutamiseks on oluline korrapäraste ajavahemike jä</w:t>
      </w:r>
      <w:r>
        <w:rPr>
          <w:rFonts w:ascii="Times New Roman" w:hAnsi="Times New Roman"/>
          <w:noProof/>
          <w:sz w:val="24"/>
        </w:rPr>
        <w:t>rel tähelepanelikult seirata kõnealuse tegevuskava teatavate esmatähtsate meetmete tõhusust ja tulemuslikkust ning neid vajaduse korral muuta.</w:t>
      </w:r>
    </w:p>
    <w:p w:rsidR="00B85BC3" w:rsidRDefault="00B85BC3">
      <w:pPr>
        <w:pStyle w:val="LTTBody1"/>
        <w:numPr>
          <w:ilvl w:val="0"/>
          <w:numId w:val="0"/>
        </w:numPr>
        <w:jc w:val="both"/>
        <w:rPr>
          <w:rFonts w:ascii="Times New Roman" w:hAnsi="Times New Roman" w:cs="Times New Roman"/>
          <w:noProof/>
          <w:sz w:val="24"/>
          <w:szCs w:val="24"/>
        </w:rPr>
      </w:pPr>
    </w:p>
    <w:p w:rsidR="00B85BC3" w:rsidRDefault="00D7065F">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 xml:space="preserve">WHO, OIE, FAO ja </w:t>
      </w:r>
      <w:r>
        <w:rPr>
          <w:rFonts w:ascii="Times New Roman" w:hAnsi="Times New Roman"/>
          <w:i/>
          <w:noProof/>
          <w:sz w:val="24"/>
        </w:rPr>
        <w:t>codex alimentarius</w:t>
      </w:r>
      <w:r>
        <w:rPr>
          <w:rFonts w:ascii="Times New Roman" w:hAnsi="Times New Roman"/>
          <w:noProof/>
          <w:sz w:val="24"/>
        </w:rPr>
        <w:t xml:space="preserve">'e komisjon on loomas süsteeme ja välja töötamas standardeid meetmete </w:t>
      </w:r>
      <w:r>
        <w:rPr>
          <w:rFonts w:ascii="Times New Roman" w:hAnsi="Times New Roman"/>
          <w:noProof/>
          <w:sz w:val="24"/>
        </w:rPr>
        <w:t>üleilmse mõju jälgimiseks.</w:t>
      </w:r>
    </w:p>
    <w:p w:rsidR="00B85BC3" w:rsidRDefault="00B85BC3">
      <w:pPr>
        <w:pStyle w:val="LTTBody1"/>
        <w:numPr>
          <w:ilvl w:val="0"/>
          <w:numId w:val="0"/>
        </w:numPr>
        <w:jc w:val="both"/>
        <w:rPr>
          <w:rFonts w:ascii="Times New Roman" w:hAnsi="Times New Roman" w:cs="Times New Roman"/>
          <w:noProof/>
          <w:sz w:val="24"/>
          <w:szCs w:val="24"/>
        </w:rPr>
      </w:pPr>
    </w:p>
    <w:p w:rsidR="00B85BC3" w:rsidRDefault="00D7065F">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ELi süsteemide abil mõõdetakse meetmete mõju ELis ja liikmesriikides. Seda võib teha teatavate juba kogutud andmetel põhinevate oluliste tulemusnäitajate kindlaksmääramisega. Need näitajad töötatakse välja ELi teadusasutuste abi</w:t>
      </w:r>
      <w:r>
        <w:rPr>
          <w:rFonts w:ascii="Times New Roman" w:hAnsi="Times New Roman"/>
          <w:noProof/>
          <w:sz w:val="24"/>
        </w:rPr>
        <w:t>ga (vt punkt 2.1) ning need võimaldavad liikmesriikidel selgel ja lihtsal viisil hinnata edusamme, mida on tehtud riiklike antimikroobikumiresistentsuse vastaste terviseühtsuse tegevuskavade rakendamisel.</w:t>
      </w:r>
      <w:r>
        <w:rPr>
          <w:noProof/>
        </w:rPr>
        <w:t xml:space="preserve"> </w:t>
      </w:r>
      <w:r>
        <w:rPr>
          <w:rFonts w:ascii="Times New Roman" w:hAnsi="Times New Roman"/>
          <w:noProof/>
          <w:sz w:val="24"/>
        </w:rPr>
        <w:t>Samuti aitavad näitajad liikmesriikidel seada mõõde</w:t>
      </w:r>
      <w:r>
        <w:rPr>
          <w:rFonts w:ascii="Times New Roman" w:hAnsi="Times New Roman"/>
          <w:noProof/>
          <w:sz w:val="24"/>
        </w:rPr>
        <w:t>tavate tulemustega eesmärke, milleks on vähendada peamiste antimikroobikumide suhtes resistentsete mikroorganismide põhjustatud nakkusi inimestel ja toiduloomadel, muuta antimikroobikumide kasutamine inim- ja veterinaarmeditsiinis asjakohasemaks ning võide</w:t>
      </w:r>
      <w:r>
        <w:rPr>
          <w:rFonts w:ascii="Times New Roman" w:hAnsi="Times New Roman"/>
          <w:noProof/>
          <w:sz w:val="24"/>
        </w:rPr>
        <w:t>lda antimikroobikumiresistentsuse vastu kõigis valdkondades.</w:t>
      </w:r>
    </w:p>
    <w:p w:rsidR="00B85BC3" w:rsidRDefault="00B85BC3">
      <w:pPr>
        <w:pStyle w:val="LTTBody1"/>
        <w:numPr>
          <w:ilvl w:val="0"/>
          <w:numId w:val="0"/>
        </w:numPr>
        <w:jc w:val="both"/>
        <w:rPr>
          <w:rFonts w:ascii="Times New Roman" w:hAnsi="Times New Roman" w:cs="Times New Roman"/>
          <w:noProof/>
          <w:sz w:val="24"/>
          <w:szCs w:val="24"/>
        </w:rPr>
      </w:pPr>
    </w:p>
    <w:p w:rsidR="00B85BC3" w:rsidRDefault="00D7065F">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Edusamme arutatakse korrapäraselt antimikroobikumiresistentsusega tegelevas tervisühtsuse võrgustikus, et suunata liikmesriike ja teha kindlaks, kas on vaja võtta uusi ELi tasandi meetmeid.</w:t>
      </w:r>
    </w:p>
    <w:p w:rsidR="00B85BC3" w:rsidRDefault="00D7065F">
      <w:pPr>
        <w:pStyle w:val="Heading1"/>
        <w:keepNext/>
        <w:rPr>
          <w:noProof/>
        </w:rPr>
      </w:pPr>
      <w:r>
        <w:rPr>
          <w:noProof/>
        </w:rPr>
        <w:t>Kokk</w:t>
      </w:r>
      <w:r>
        <w:rPr>
          <w:noProof/>
        </w:rPr>
        <w:t>uvõte</w:t>
      </w:r>
    </w:p>
    <w:p w:rsidR="00B85BC3" w:rsidRDefault="00D7065F">
      <w:pPr>
        <w:keepNext/>
        <w:keepLines/>
        <w:rPr>
          <w:rFonts w:ascii="Times New Roman" w:hAnsi="Times New Roman"/>
          <w:noProof/>
          <w:sz w:val="24"/>
          <w:szCs w:val="24"/>
        </w:rPr>
      </w:pPr>
      <w:r>
        <w:rPr>
          <w:rFonts w:ascii="Times New Roman" w:hAnsi="Times New Roman"/>
          <w:noProof/>
          <w:sz w:val="24"/>
        </w:rPr>
        <w:t xml:space="preserve">Käesolevas teatises on sätestatud edasiste antimikroobikumiresistentsuse vastaste meetmete raamistik ning selle eesmärk on kasutada võimalikult hästi ära ELi õigusraamistikku ja poliitikameetmeid, keskendudes tegelikule lisaväärtusele, mida EL võib </w:t>
      </w:r>
      <w:r>
        <w:rPr>
          <w:rFonts w:ascii="Times New Roman" w:hAnsi="Times New Roman"/>
          <w:noProof/>
          <w:sz w:val="24"/>
        </w:rPr>
        <w:t>tuua antimikroobikumiresistentsuse vastasesse võitlusesse.</w:t>
      </w:r>
    </w:p>
    <w:p w:rsidR="00B85BC3" w:rsidRDefault="00D7065F">
      <w:pPr>
        <w:rPr>
          <w:rFonts w:ascii="Times New Roman" w:hAnsi="Times New Roman"/>
          <w:noProof/>
          <w:sz w:val="24"/>
          <w:szCs w:val="24"/>
        </w:rPr>
      </w:pPr>
      <w:r>
        <w:rPr>
          <w:rFonts w:ascii="Times New Roman" w:hAnsi="Times New Roman"/>
          <w:noProof/>
          <w:sz w:val="24"/>
        </w:rPr>
        <w:t>Enamikku meetmeid on võimalik kujundada olemasolevate meetmete kohandamise ja tõhustamisega, et saavutada integreeritum, terviklikum ja tõhusam strateegia antimikroobikumiresistentsuse vastu võitle</w:t>
      </w:r>
      <w:r>
        <w:rPr>
          <w:rFonts w:ascii="Times New Roman" w:hAnsi="Times New Roman"/>
          <w:noProof/>
          <w:sz w:val="24"/>
        </w:rPr>
        <w:t>miseks. Ülejäänud meetmete puhul keskendutakse väljaselgitatud puudustele ELi senises tegevuses. Nende puuduste kõrvaldamiseks on vaja kehtestada uusi meetmeid, saada uusi teadmisi ja luua uusi partnerlussuhteid.</w:t>
      </w:r>
    </w:p>
    <w:p w:rsidR="00B85BC3" w:rsidRDefault="00D7065F">
      <w:pPr>
        <w:rPr>
          <w:rFonts w:ascii="Times New Roman" w:hAnsi="Times New Roman"/>
          <w:noProof/>
          <w:sz w:val="24"/>
          <w:szCs w:val="24"/>
        </w:rPr>
      </w:pPr>
      <w:r>
        <w:rPr>
          <w:rFonts w:ascii="Times New Roman" w:hAnsi="Times New Roman"/>
          <w:noProof/>
          <w:sz w:val="24"/>
        </w:rPr>
        <w:t>Komisjon on veendunud, et käesolev uus terv</w:t>
      </w:r>
      <w:r>
        <w:rPr>
          <w:rFonts w:ascii="Times New Roman" w:hAnsi="Times New Roman"/>
          <w:noProof/>
          <w:sz w:val="24"/>
        </w:rPr>
        <w:t xml:space="preserve">iseühtsuse tegevuskava annab häid tulemusi ja parandab ELi antimikroobikumiresistentsuse vastase võitluse tulemuslikkust. </w:t>
      </w:r>
    </w:p>
    <w:p w:rsidR="00B85BC3" w:rsidRDefault="00D7065F">
      <w:pPr>
        <w:rPr>
          <w:rFonts w:ascii="Times New Roman" w:hAnsi="Times New Roman"/>
          <w:noProof/>
          <w:sz w:val="24"/>
          <w:szCs w:val="24"/>
        </w:rPr>
      </w:pPr>
      <w:r>
        <w:rPr>
          <w:rFonts w:ascii="Times New Roman" w:hAnsi="Times New Roman"/>
          <w:noProof/>
          <w:sz w:val="24"/>
        </w:rPr>
        <w:t>Tegevuskavaga tugevdatakse koostööd ja seiret, vähendatakse andmelünki ning võimaldatakse jagada ELis parimaid tavasid. Sellega luuak</w:t>
      </w:r>
      <w:r>
        <w:rPr>
          <w:rFonts w:ascii="Times New Roman" w:hAnsi="Times New Roman"/>
          <w:noProof/>
          <w:sz w:val="24"/>
        </w:rPr>
        <w:t xml:space="preserve">se sünergiat ja sidusust eri poliitikameetmete vahel, lähtudes terviseühtsuse põhimõttest. Tegevuskavaga toetatakse seega ELi ja selle liikmesriike uuenduslike, tulemuslike ja jätkusuutlike antimikroobikumiresistentsuse vastaste meetmete võtmisel. </w:t>
      </w:r>
    </w:p>
    <w:p w:rsidR="00B85BC3" w:rsidRDefault="00D7065F">
      <w:pPr>
        <w:rPr>
          <w:rFonts w:ascii="Times New Roman" w:hAnsi="Times New Roman"/>
          <w:noProof/>
          <w:sz w:val="24"/>
          <w:szCs w:val="24"/>
        </w:rPr>
      </w:pPr>
      <w:r>
        <w:rPr>
          <w:rFonts w:ascii="Times New Roman" w:hAnsi="Times New Roman"/>
          <w:noProof/>
          <w:sz w:val="24"/>
        </w:rPr>
        <w:t>Tegevus</w:t>
      </w:r>
      <w:r>
        <w:rPr>
          <w:rFonts w:ascii="Times New Roman" w:hAnsi="Times New Roman"/>
          <w:noProof/>
          <w:sz w:val="24"/>
        </w:rPr>
        <w:t xml:space="preserve">kavaga tugevdatakse strateegiliselt ka antimikroobikumiresistentsuse alast teadustegevust ja edendatakse aktiivselt üleilmset tegevust. </w:t>
      </w:r>
    </w:p>
    <w:p w:rsidR="00B85BC3" w:rsidRDefault="00D7065F">
      <w:pPr>
        <w:rPr>
          <w:rFonts w:ascii="Times New Roman" w:hAnsi="Times New Roman"/>
          <w:noProof/>
          <w:sz w:val="24"/>
          <w:szCs w:val="24"/>
        </w:rPr>
      </w:pPr>
      <w:r>
        <w:rPr>
          <w:rFonts w:ascii="Times New Roman" w:hAnsi="Times New Roman"/>
          <w:noProof/>
          <w:sz w:val="24"/>
        </w:rPr>
        <w:t>Komisjon kutsub Euroopa Parlamenti ja nõukogu üles käesolevat terviseühtsuse tegevuskava toetama ning palub liikmesriik</w:t>
      </w:r>
      <w:r>
        <w:rPr>
          <w:rFonts w:ascii="Times New Roman" w:hAnsi="Times New Roman"/>
          <w:noProof/>
          <w:sz w:val="24"/>
        </w:rPr>
        <w:t>idel ja kõigil sidusrühmadel tagada, et antimikroobikumiresistentsuse vastaseid meetmeid rakendataks kiiresti. Ainult pidev edasipüüdlikkus, jätkuv pühendumine ja kooskõlastatud tegevus võivad tuua pöörde ja kõnealust üleilmset ohtu vähendada.</w:t>
      </w:r>
    </w:p>
    <w:sectPr w:rsidR="00B85BC3">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C3" w:rsidRDefault="00D7065F">
      <w:pPr>
        <w:spacing w:after="0"/>
      </w:pPr>
      <w:r>
        <w:separator/>
      </w:r>
    </w:p>
  </w:endnote>
  <w:endnote w:type="continuationSeparator" w:id="0">
    <w:p w:rsidR="00B85BC3" w:rsidRDefault="00D7065F">
      <w:pPr>
        <w:spacing w:after="0"/>
      </w:pPr>
      <w:r>
        <w:continuationSeparator/>
      </w:r>
    </w:p>
  </w:endnote>
  <w:endnote w:type="continuationNotice" w:id="1">
    <w:p w:rsidR="00B85BC3" w:rsidRDefault="00B85B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EUAlbertina">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3" w:rsidRDefault="00B85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3" w:rsidRDefault="00D7065F">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3" w:rsidRDefault="00B85BC3">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3" w:rsidRDefault="00B85B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83205"/>
      <w:docPartObj>
        <w:docPartGallery w:val="Page Numbers (Bottom of Page)"/>
        <w:docPartUnique/>
      </w:docPartObj>
    </w:sdtPr>
    <w:sdtEndPr>
      <w:rPr>
        <w:noProof/>
      </w:rPr>
    </w:sdtEndPr>
    <w:sdtContent>
      <w:p w:rsidR="00B85BC3" w:rsidRDefault="00D7065F">
        <w:pPr>
          <w:pStyle w:val="Footer"/>
          <w:jc w:val="center"/>
        </w:pPr>
        <w:r>
          <w:fldChar w:fldCharType="begin"/>
        </w:r>
        <w:r>
          <w:instrText xml:space="preserve"> PAGE   \</w:instrText>
        </w:r>
        <w:r>
          <w:instrText xml:space="preserve">* MERGEFORMAT </w:instrText>
        </w:r>
        <w:r>
          <w:fldChar w:fldCharType="separate"/>
        </w:r>
        <w:r>
          <w:rPr>
            <w:noProof/>
          </w:rPr>
          <w:t>23</w:t>
        </w:r>
        <w:r>
          <w:rPr>
            <w:noProof/>
          </w:rPr>
          <w:fldChar w:fldCharType="end"/>
        </w:r>
      </w:p>
    </w:sdtContent>
  </w:sdt>
  <w:p w:rsidR="00B85BC3" w:rsidRDefault="00B85BC3">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3" w:rsidRDefault="00B8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C3" w:rsidRDefault="00D7065F">
      <w:pPr>
        <w:spacing w:after="0"/>
      </w:pPr>
      <w:r>
        <w:separator/>
      </w:r>
    </w:p>
  </w:footnote>
  <w:footnote w:type="continuationSeparator" w:id="0">
    <w:p w:rsidR="00B85BC3" w:rsidRDefault="00D7065F">
      <w:pPr>
        <w:spacing w:after="0"/>
      </w:pPr>
      <w:r>
        <w:continuationSeparator/>
      </w:r>
    </w:p>
  </w:footnote>
  <w:footnote w:type="continuationNotice" w:id="1">
    <w:p w:rsidR="00B85BC3" w:rsidRDefault="00B85BC3">
      <w:pPr>
        <w:spacing w:after="0"/>
      </w:pPr>
    </w:p>
  </w:footnote>
  <w:footnote w:id="2">
    <w:p w:rsidR="00B85BC3" w:rsidRDefault="00D7065F">
      <w:pPr>
        <w:pStyle w:val="FootnoteText"/>
        <w:spacing w:after="0" w:line="240" w:lineRule="auto"/>
        <w:rPr>
          <w:rStyle w:val="Hyperlink"/>
          <w:color w:val="auto"/>
        </w:rPr>
      </w:pPr>
      <w:r>
        <w:rPr>
          <w:rStyle w:val="Hyperlink"/>
          <w:color w:val="auto"/>
          <w:vertAlign w:val="superscript"/>
        </w:rPr>
        <w:footnoteRef/>
      </w:r>
      <w:r>
        <w:rPr>
          <w:rStyle w:val="Hyperlink"/>
          <w:color w:val="auto"/>
        </w:rPr>
        <w:t xml:space="preserve"> </w:t>
      </w:r>
      <w:hyperlink r:id="rId1">
        <w:r>
          <w:rPr>
            <w:rStyle w:val="Hyperlink"/>
            <w:rFonts w:ascii="Times New Roman" w:hAnsi="Times New Roman"/>
            <w:color w:val="auto"/>
          </w:rPr>
          <w:t>http://www.who.int/entity/drugresistance/documents/surveillancereport/en/index.html</w:t>
        </w:r>
      </w:hyperlink>
      <w:r>
        <w:rPr>
          <w:rStyle w:val="Hyperlink"/>
          <w:color w:val="auto"/>
        </w:rPr>
        <w:t xml:space="preserve"> </w:t>
      </w:r>
    </w:p>
  </w:footnote>
  <w:footnote w:id="3">
    <w:p w:rsidR="00B85BC3" w:rsidRDefault="00D7065F">
      <w:pPr>
        <w:pStyle w:val="FootnoteText"/>
        <w:spacing w:after="0" w:line="240" w:lineRule="auto"/>
        <w:rPr>
          <w:rStyle w:val="Hyperlink"/>
          <w:rFonts w:ascii="Times New Roman" w:hAnsi="Times New Roman"/>
          <w:color w:val="auto"/>
        </w:rPr>
      </w:pPr>
      <w:r>
        <w:rPr>
          <w:rStyle w:val="Hyperlink"/>
          <w:rFonts w:ascii="Times New Roman" w:hAnsi="Times New Roman"/>
          <w:color w:val="auto"/>
          <w:vertAlign w:val="superscript"/>
        </w:rPr>
        <w:footnoteRef/>
      </w:r>
      <w:r>
        <w:rPr>
          <w:rStyle w:val="Hyperlink"/>
          <w:rFonts w:ascii="Times New Roman" w:hAnsi="Times New Roman"/>
          <w:color w:val="auto"/>
        </w:rPr>
        <w:t xml:space="preserve"> </w:t>
      </w:r>
      <w:r>
        <w:rPr>
          <w:rStyle w:val="Hyperlink"/>
          <w:rFonts w:ascii="Times New Roman" w:hAnsi="Times New Roman"/>
          <w:color w:val="auto"/>
        </w:rPr>
        <w:t>Ühinenud Rahvaste Organisatsioon, 2016, „</w:t>
      </w:r>
      <w:proofErr w:type="spellStart"/>
      <w:r>
        <w:rPr>
          <w:rStyle w:val="Hyperlink"/>
          <w:rFonts w:ascii="Times New Roman" w:hAnsi="Times New Roman"/>
          <w:color w:val="auto"/>
        </w:rPr>
        <w:t>Political</w:t>
      </w:r>
      <w:proofErr w:type="spellEnd"/>
      <w:r>
        <w:rPr>
          <w:rStyle w:val="Hyperlink"/>
          <w:rFonts w:ascii="Times New Roman" w:hAnsi="Times New Roman"/>
          <w:color w:val="auto"/>
        </w:rPr>
        <w:t xml:space="preserve"> </w:t>
      </w:r>
      <w:proofErr w:type="spellStart"/>
      <w:r>
        <w:rPr>
          <w:rStyle w:val="Hyperlink"/>
          <w:rFonts w:ascii="Times New Roman" w:hAnsi="Times New Roman"/>
          <w:color w:val="auto"/>
        </w:rPr>
        <w:t>Declaration</w:t>
      </w:r>
      <w:proofErr w:type="spellEnd"/>
      <w:r>
        <w:rPr>
          <w:rStyle w:val="Hyperlink"/>
          <w:rFonts w:ascii="Times New Roman" w:hAnsi="Times New Roman"/>
          <w:color w:val="auto"/>
        </w:rPr>
        <w:t xml:space="preserve"> of </w:t>
      </w:r>
      <w:proofErr w:type="spellStart"/>
      <w:r>
        <w:rPr>
          <w:rStyle w:val="Hyperlink"/>
          <w:rFonts w:ascii="Times New Roman" w:hAnsi="Times New Roman"/>
          <w:color w:val="auto"/>
        </w:rPr>
        <w:t>the</w:t>
      </w:r>
      <w:proofErr w:type="spellEnd"/>
      <w:r>
        <w:rPr>
          <w:rStyle w:val="Hyperlink"/>
          <w:rFonts w:ascii="Times New Roman" w:hAnsi="Times New Roman"/>
          <w:color w:val="auto"/>
        </w:rPr>
        <w:t xml:space="preserve"> </w:t>
      </w:r>
      <w:proofErr w:type="spellStart"/>
      <w:r>
        <w:rPr>
          <w:rStyle w:val="Hyperlink"/>
          <w:rFonts w:ascii="Times New Roman" w:hAnsi="Times New Roman"/>
          <w:color w:val="auto"/>
        </w:rPr>
        <w:t>high-level</w:t>
      </w:r>
      <w:proofErr w:type="spellEnd"/>
      <w:r>
        <w:rPr>
          <w:rStyle w:val="Hyperlink"/>
          <w:rFonts w:ascii="Times New Roman" w:hAnsi="Times New Roman"/>
          <w:color w:val="auto"/>
        </w:rPr>
        <w:t xml:space="preserve"> meeting of </w:t>
      </w:r>
      <w:proofErr w:type="spellStart"/>
      <w:r>
        <w:rPr>
          <w:rStyle w:val="Hyperlink"/>
          <w:rFonts w:ascii="Times New Roman" w:hAnsi="Times New Roman"/>
          <w:color w:val="auto"/>
        </w:rPr>
        <w:t>the</w:t>
      </w:r>
      <w:proofErr w:type="spellEnd"/>
      <w:r>
        <w:rPr>
          <w:rStyle w:val="Hyperlink"/>
          <w:rFonts w:ascii="Times New Roman" w:hAnsi="Times New Roman"/>
          <w:color w:val="auto"/>
        </w:rPr>
        <w:t xml:space="preserve"> General </w:t>
      </w:r>
      <w:proofErr w:type="spellStart"/>
      <w:r>
        <w:rPr>
          <w:rStyle w:val="Hyperlink"/>
          <w:rFonts w:ascii="Times New Roman" w:hAnsi="Times New Roman"/>
          <w:color w:val="auto"/>
        </w:rPr>
        <w:t>Assembly</w:t>
      </w:r>
      <w:proofErr w:type="spellEnd"/>
      <w:r>
        <w:rPr>
          <w:rStyle w:val="Hyperlink"/>
          <w:rFonts w:ascii="Times New Roman" w:hAnsi="Times New Roman"/>
          <w:color w:val="auto"/>
        </w:rPr>
        <w:t xml:space="preserve"> on </w:t>
      </w:r>
      <w:proofErr w:type="spellStart"/>
      <w:r>
        <w:rPr>
          <w:rStyle w:val="Hyperlink"/>
          <w:rFonts w:ascii="Times New Roman" w:hAnsi="Times New Roman"/>
          <w:color w:val="auto"/>
        </w:rPr>
        <w:t>antimicrobial</w:t>
      </w:r>
      <w:proofErr w:type="spellEnd"/>
      <w:r>
        <w:rPr>
          <w:rStyle w:val="Hyperlink"/>
          <w:rFonts w:ascii="Times New Roman" w:hAnsi="Times New Roman"/>
          <w:color w:val="auto"/>
        </w:rPr>
        <w:t xml:space="preserve"> </w:t>
      </w:r>
      <w:proofErr w:type="spellStart"/>
      <w:r>
        <w:rPr>
          <w:rStyle w:val="Hyperlink"/>
          <w:rFonts w:ascii="Times New Roman" w:hAnsi="Times New Roman"/>
          <w:color w:val="auto"/>
        </w:rPr>
        <w:t>resistance</w:t>
      </w:r>
      <w:proofErr w:type="spellEnd"/>
      <w:r>
        <w:rPr>
          <w:rStyle w:val="Hyperlink"/>
          <w:rFonts w:ascii="Times New Roman" w:hAnsi="Times New Roman"/>
          <w:color w:val="auto"/>
        </w:rPr>
        <w:t xml:space="preserve">“ (ÜRO Peaassamblee kõrgetasemelisel kohtumisel vastu võetud poliitiline deklaratsioon </w:t>
      </w:r>
      <w:proofErr w:type="spellStart"/>
      <w:r>
        <w:rPr>
          <w:rStyle w:val="Hyperlink"/>
          <w:rFonts w:ascii="Times New Roman" w:hAnsi="Times New Roman"/>
          <w:color w:val="auto"/>
        </w:rPr>
        <w:t>antimikroobikumiresistentsus</w:t>
      </w:r>
      <w:r>
        <w:rPr>
          <w:rStyle w:val="Hyperlink"/>
          <w:rFonts w:ascii="Times New Roman" w:hAnsi="Times New Roman"/>
          <w:color w:val="auto"/>
        </w:rPr>
        <w:t>e</w:t>
      </w:r>
      <w:proofErr w:type="spellEnd"/>
      <w:r>
        <w:rPr>
          <w:rStyle w:val="Hyperlink"/>
          <w:rFonts w:ascii="Times New Roman" w:hAnsi="Times New Roman"/>
          <w:color w:val="auto"/>
        </w:rPr>
        <w:t xml:space="preserve"> kohta), New York, USA,</w:t>
      </w:r>
    </w:p>
  </w:footnote>
  <w:footnote w:id="4">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WHA 68.7,</w:t>
      </w:r>
    </w:p>
    <w:p w:rsidR="00B85BC3" w:rsidRDefault="00D7065F">
      <w:pPr>
        <w:pStyle w:val="FootnoteText"/>
        <w:spacing w:after="0" w:line="240" w:lineRule="auto"/>
        <w:rPr>
          <w:rFonts w:ascii="Times New Roman" w:hAnsi="Times New Roman"/>
        </w:rPr>
      </w:pPr>
      <w:r>
        <w:rPr>
          <w:rFonts w:ascii="Times New Roman" w:hAnsi="Times New Roman"/>
        </w:rPr>
        <w:t xml:space="preserve"> </w:t>
      </w:r>
      <w:hyperlink r:id="rId2">
        <w:r>
          <w:rPr>
            <w:rStyle w:val="Hyperlink"/>
            <w:rFonts w:ascii="Times New Roman" w:hAnsi="Times New Roman"/>
          </w:rPr>
          <w:t>http://www.wpro.who.int/entity/drug_resistance/resources/global_action_plan_eng.pdf</w:t>
        </w:r>
      </w:hyperlink>
    </w:p>
  </w:footnote>
  <w:footnote w:id="5">
    <w:p w:rsidR="00B85BC3" w:rsidRDefault="00D7065F">
      <w:pPr>
        <w:pStyle w:val="FootnoteText"/>
        <w:spacing w:after="0" w:line="240" w:lineRule="auto"/>
        <w:rPr>
          <w:rStyle w:val="Hyperlink"/>
          <w:rFonts w:ascii="Times New Roman" w:hAnsi="Times New Roman"/>
          <w:color w:val="auto"/>
        </w:rPr>
      </w:pPr>
      <w:r>
        <w:rPr>
          <w:rStyle w:val="Hyperlink"/>
          <w:rFonts w:ascii="Times New Roman" w:hAnsi="Times New Roman"/>
          <w:color w:val="auto"/>
          <w:vertAlign w:val="superscript"/>
        </w:rPr>
        <w:footnoteRef/>
      </w:r>
      <w:r>
        <w:rPr>
          <w:rStyle w:val="Hyperlink"/>
          <w:rFonts w:ascii="Times New Roman" w:hAnsi="Times New Roman"/>
          <w:color w:val="auto"/>
        </w:rPr>
        <w:t xml:space="preserve"> </w:t>
      </w:r>
      <w:r>
        <w:rPr>
          <w:rStyle w:val="Hyperlink"/>
          <w:rFonts w:ascii="Times New Roman" w:hAnsi="Times New Roman"/>
          <w:color w:val="auto"/>
        </w:rPr>
        <w:t>http://ecdc.europa.eu/en/publ</w:t>
      </w:r>
      <w:r>
        <w:rPr>
          <w:rStyle w:val="Hyperlink"/>
          <w:rFonts w:ascii="Times New Roman" w:hAnsi="Times New Roman"/>
          <w:color w:val="auto"/>
        </w:rPr>
        <w:t>ications/Publications/0909_TER_The_Bacterial_Challenge_Time_to_React.pdf</w:t>
      </w:r>
    </w:p>
  </w:footnote>
  <w:footnote w:id="6">
    <w:p w:rsidR="00B85BC3" w:rsidRDefault="00D7065F">
      <w:pPr>
        <w:pStyle w:val="FootnoteText"/>
        <w:spacing w:after="0"/>
        <w:rPr>
          <w:rFonts w:ascii="Times New Roman" w:hAnsi="Times New Roman"/>
        </w:rPr>
      </w:pPr>
      <w:r>
        <w:rPr>
          <w:rStyle w:val="Hyperlink"/>
          <w:color w:val="auto"/>
          <w:vertAlign w:val="superscript"/>
        </w:rPr>
        <w:footnoteRef/>
      </w:r>
      <w:r>
        <w:rPr>
          <w:rStyle w:val="Hyperlink"/>
          <w:rFonts w:ascii="Times New Roman" w:hAnsi="Times New Roman"/>
          <w:color w:val="auto"/>
        </w:rPr>
        <w:t xml:space="preserve"> </w:t>
      </w:r>
      <w:hyperlink r:id="rId3">
        <w:r>
          <w:rPr>
            <w:rStyle w:val="Hyperlink"/>
            <w:rFonts w:ascii="Times New Roman" w:hAnsi="Times New Roman"/>
          </w:rPr>
          <w:t>https://amr-review.org/sites/default/files/160525_Final%20paper_with%20cover.pdf</w:t>
        </w:r>
      </w:hyperlink>
    </w:p>
  </w:footnote>
  <w:footnote w:id="7">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Maailmapank, 2016, „</w:t>
      </w:r>
      <w:proofErr w:type="spellStart"/>
      <w:r>
        <w:rPr>
          <w:rFonts w:ascii="Times New Roman" w:hAnsi="Times New Roman"/>
        </w:rPr>
        <w:t>Drug-Resistant</w:t>
      </w:r>
      <w:proofErr w:type="spellEnd"/>
      <w:r>
        <w:rPr>
          <w:rFonts w:ascii="Times New Roman" w:hAnsi="Times New Roman"/>
        </w:rPr>
        <w:t xml:space="preserve"> </w:t>
      </w:r>
      <w:proofErr w:type="spellStart"/>
      <w:r>
        <w:rPr>
          <w:rFonts w:ascii="Times New Roman" w:hAnsi="Times New Roman"/>
        </w:rPr>
        <w:t>Infections</w:t>
      </w:r>
      <w:proofErr w:type="spellEnd"/>
      <w:r>
        <w:rPr>
          <w:rFonts w:ascii="Times New Roman" w:hAnsi="Times New Roman"/>
        </w:rPr>
        <w:t xml:space="preserve">: </w:t>
      </w:r>
      <w:r>
        <w:rPr>
          <w:rFonts w:ascii="Times New Roman" w:hAnsi="Times New Roman"/>
        </w:rPr>
        <w:br/>
        <w:t xml:space="preserve">A </w:t>
      </w:r>
      <w:proofErr w:type="spellStart"/>
      <w:r>
        <w:rPr>
          <w:rFonts w:ascii="Times New Roman" w:hAnsi="Times New Roman"/>
        </w:rPr>
        <w:t>Threat</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Our</w:t>
      </w:r>
      <w:proofErr w:type="spellEnd"/>
      <w:r>
        <w:rPr>
          <w:rFonts w:ascii="Times New Roman" w:hAnsi="Times New Roman"/>
        </w:rPr>
        <w:t xml:space="preserve"> </w:t>
      </w:r>
      <w:proofErr w:type="spellStart"/>
      <w:r>
        <w:rPr>
          <w:rFonts w:ascii="Times New Roman" w:hAnsi="Times New Roman"/>
        </w:rPr>
        <w:t>Economic</w:t>
      </w:r>
      <w:proofErr w:type="spellEnd"/>
      <w:r>
        <w:rPr>
          <w:rFonts w:ascii="Times New Roman" w:hAnsi="Times New Roman"/>
        </w:rPr>
        <w:t xml:space="preserve"> </w:t>
      </w:r>
      <w:proofErr w:type="spellStart"/>
      <w:r>
        <w:rPr>
          <w:rFonts w:ascii="Times New Roman" w:hAnsi="Times New Roman"/>
        </w:rPr>
        <w:t>Future</w:t>
      </w:r>
      <w:proofErr w:type="spellEnd"/>
      <w:r>
        <w:rPr>
          <w:rFonts w:ascii="Times New Roman" w:hAnsi="Times New Roman"/>
        </w:rPr>
        <w:t>“ (Ravimresistentsed nakkused: oht meie majandustulevikule), Washington, DC,</w:t>
      </w:r>
    </w:p>
  </w:footnote>
  <w:footnote w:id="8">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http:/</w:t>
        </w:r>
        <w:r>
          <w:rPr>
            <w:rStyle w:val="Hyperlink"/>
            <w:rFonts w:ascii="Times New Roman" w:hAnsi="Times New Roman"/>
          </w:rPr>
          <w:t>/www.un.org/sustainabledevelopment/sustainable-development-goals</w:t>
        </w:r>
      </w:hyperlink>
    </w:p>
  </w:footnote>
  <w:footnote w:id="9">
    <w:p w:rsidR="00B85BC3" w:rsidRDefault="00D7065F">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KOM(2001) 333 (lõplik).</w:t>
      </w:r>
    </w:p>
  </w:footnote>
  <w:footnote w:id="10">
    <w:p w:rsidR="00B85BC3" w:rsidRDefault="00D7065F">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KOM(2011) 748.</w:t>
      </w:r>
    </w:p>
  </w:footnote>
  <w:footnote w:id="11">
    <w:p w:rsidR="00B85BC3" w:rsidRDefault="00D7065F">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http://www.imi.europa.eu/content/nd4bb</w:t>
        </w:r>
      </w:hyperlink>
    </w:p>
  </w:footnote>
  <w:footnote w:id="12">
    <w:p w:rsidR="00B85BC3" w:rsidRDefault="00D7065F">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hyperlink r:id="rId6" w:history="1">
        <w:r>
          <w:rPr>
            <w:rStyle w:val="Hyperlink"/>
            <w:rFonts w:ascii="Times New Roman" w:hAnsi="Times New Roman"/>
          </w:rPr>
          <w:t>http://www.imi.europa.eu</w:t>
        </w:r>
      </w:hyperlink>
    </w:p>
  </w:footnote>
  <w:footnote w:id="13">
    <w:p w:rsidR="00B85BC3" w:rsidRDefault="00D7065F">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hyperlink r:id="rId7">
        <w:r>
          <w:rPr>
            <w:rStyle w:val="Hyperlink"/>
            <w:rFonts w:ascii="Times New Roman" w:hAnsi="Times New Roman"/>
          </w:rPr>
          <w:t>http://www.jpiamr.eu</w:t>
        </w:r>
      </w:hyperlink>
    </w:p>
  </w:footnote>
  <w:footnote w:id="14">
    <w:p w:rsidR="00B85BC3" w:rsidRDefault="00D7065F">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Style w:val="FootnoteReference"/>
          <w:rFonts w:ascii="Times New Roman" w:hAnsi="Times New Roman"/>
          <w:vertAlign w:val="baseline"/>
        </w:rPr>
        <w:t>Ravi, mida rakendatakse juhul, kui kõigi muude ravivõimalustega ei ole õnnestunud patsiendil soovitud ravitulemust saavutada.</w:t>
      </w:r>
    </w:p>
  </w:footnote>
  <w:footnote w:id="15">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8">
        <w:r>
          <w:rPr>
            <w:rStyle w:val="FootnoteReference"/>
            <w:rFonts w:ascii="Times New Roman" w:hAnsi="Times New Roman"/>
            <w:vertAlign w:val="baseline"/>
          </w:rPr>
          <w:t>http://ecdc.europa.eu/en/publications/Publications/antimicrobial-resistance-europe-2015.pdf</w:t>
        </w:r>
      </w:hyperlink>
    </w:p>
  </w:footnote>
  <w:footnote w:id="16">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Payne</w:t>
      </w:r>
      <w:proofErr w:type="spellEnd"/>
      <w:r>
        <w:rPr>
          <w:rFonts w:ascii="Times New Roman" w:hAnsi="Times New Roman"/>
        </w:rPr>
        <w:t xml:space="preserve"> et </w:t>
      </w:r>
      <w:proofErr w:type="spellStart"/>
      <w:r>
        <w:rPr>
          <w:rFonts w:ascii="Times New Roman" w:hAnsi="Times New Roman"/>
        </w:rPr>
        <w:t>al</w:t>
      </w:r>
      <w:proofErr w:type="spellEnd"/>
      <w:r>
        <w:rPr>
          <w:rFonts w:ascii="Times New Roman" w:hAnsi="Times New Roman"/>
        </w:rPr>
        <w:t>., „</w:t>
      </w:r>
      <w:proofErr w:type="spellStart"/>
      <w:r>
        <w:rPr>
          <w:rFonts w:ascii="Times New Roman" w:hAnsi="Times New Roman"/>
        </w:rPr>
        <w:t>Drugs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bad</w:t>
      </w:r>
      <w:proofErr w:type="spellEnd"/>
      <w:r>
        <w:rPr>
          <w:rFonts w:ascii="Times New Roman" w:hAnsi="Times New Roman"/>
        </w:rPr>
        <w:t xml:space="preserve"> </w:t>
      </w:r>
      <w:proofErr w:type="spellStart"/>
      <w:r>
        <w:rPr>
          <w:rFonts w:ascii="Times New Roman" w:hAnsi="Times New Roman"/>
        </w:rPr>
        <w:t>bugs</w:t>
      </w:r>
      <w:proofErr w:type="spellEnd"/>
      <w:r>
        <w:rPr>
          <w:rFonts w:ascii="Times New Roman" w:hAnsi="Times New Roman"/>
        </w:rPr>
        <w:t xml:space="preserve">: </w:t>
      </w:r>
      <w:proofErr w:type="spellStart"/>
      <w:r>
        <w:rPr>
          <w:rFonts w:ascii="Times New Roman" w:hAnsi="Times New Roman"/>
        </w:rPr>
        <w:t>confronting</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ch</w:t>
      </w:r>
      <w:r>
        <w:rPr>
          <w:rFonts w:ascii="Times New Roman" w:hAnsi="Times New Roman"/>
        </w:rPr>
        <w:t>allenges</w:t>
      </w:r>
      <w:proofErr w:type="spellEnd"/>
      <w:r>
        <w:rPr>
          <w:rFonts w:ascii="Times New Roman" w:hAnsi="Times New Roman"/>
        </w:rPr>
        <w:t xml:space="preserve"> of </w:t>
      </w:r>
      <w:proofErr w:type="spellStart"/>
      <w:r>
        <w:rPr>
          <w:rFonts w:ascii="Times New Roman" w:hAnsi="Times New Roman"/>
        </w:rPr>
        <w:t>antibacterial</w:t>
      </w:r>
      <w:proofErr w:type="spellEnd"/>
      <w:r>
        <w:rPr>
          <w:rFonts w:ascii="Times New Roman" w:hAnsi="Times New Roman"/>
        </w:rPr>
        <w:t xml:space="preserve"> </w:t>
      </w:r>
      <w:proofErr w:type="spellStart"/>
      <w:r>
        <w:rPr>
          <w:rFonts w:ascii="Times New Roman" w:hAnsi="Times New Roman"/>
        </w:rPr>
        <w:t>discovery</w:t>
      </w:r>
      <w:proofErr w:type="spellEnd"/>
      <w:r>
        <w:rPr>
          <w:rFonts w:ascii="Times New Roman" w:hAnsi="Times New Roman"/>
        </w:rPr>
        <w:t xml:space="preserve">“, </w:t>
      </w:r>
      <w:proofErr w:type="spellStart"/>
      <w:r>
        <w:rPr>
          <w:rFonts w:ascii="Times New Roman" w:hAnsi="Times New Roman"/>
        </w:rPr>
        <w:t>Nature</w:t>
      </w:r>
      <w:proofErr w:type="spellEnd"/>
      <w:r>
        <w:rPr>
          <w:rFonts w:ascii="Times New Roman" w:hAnsi="Times New Roman"/>
        </w:rPr>
        <w:t xml:space="preserve"> </w:t>
      </w:r>
      <w:proofErr w:type="spellStart"/>
      <w:r>
        <w:rPr>
          <w:rFonts w:ascii="Times New Roman" w:hAnsi="Times New Roman"/>
        </w:rPr>
        <w:t>Reviews</w:t>
      </w:r>
      <w:proofErr w:type="spellEnd"/>
      <w:r>
        <w:rPr>
          <w:rFonts w:ascii="Times New Roman" w:hAnsi="Times New Roman"/>
        </w:rPr>
        <w:t xml:space="preserve"> </w:t>
      </w:r>
      <w:proofErr w:type="spellStart"/>
      <w:r>
        <w:rPr>
          <w:rFonts w:ascii="Times New Roman" w:hAnsi="Times New Roman"/>
        </w:rPr>
        <w:t>Drug</w:t>
      </w:r>
      <w:proofErr w:type="spellEnd"/>
      <w:r>
        <w:rPr>
          <w:rFonts w:ascii="Times New Roman" w:hAnsi="Times New Roman"/>
        </w:rPr>
        <w:t xml:space="preserve"> </w:t>
      </w:r>
      <w:proofErr w:type="spellStart"/>
      <w:r>
        <w:rPr>
          <w:rFonts w:ascii="Times New Roman" w:hAnsi="Times New Roman"/>
        </w:rPr>
        <w:t>Discovery</w:t>
      </w:r>
      <w:proofErr w:type="spellEnd"/>
      <w:r>
        <w:rPr>
          <w:rFonts w:ascii="Times New Roman" w:hAnsi="Times New Roman"/>
        </w:rPr>
        <w:t xml:space="preserve"> 6, 29–40 (jaanuar 2007)</w:t>
      </w:r>
    </w:p>
  </w:footnote>
  <w:footnote w:id="17">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hyperlink r:id="rId9">
        <w:r>
          <w:rPr>
            <w:rStyle w:val="Hyperlink"/>
            <w:rFonts w:ascii="Times New Roman" w:hAnsi="Times New Roman"/>
          </w:rPr>
          <w:t>http://www.consilium.europa.eu/en/p</w:t>
        </w:r>
        <w:r>
          <w:rPr>
            <w:rStyle w:val="Hyperlink"/>
            <w:rFonts w:ascii="Times New Roman" w:hAnsi="Times New Roman"/>
          </w:rPr>
          <w:t>ress/press-releases/2016/06/17-epsco-conclusions-antimicrobial-resistance</w:t>
        </w:r>
      </w:hyperlink>
    </w:p>
  </w:footnote>
  <w:footnote w:id="18">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rPr>
        <w:t xml:space="preserve">SWD(2016) 347 </w:t>
      </w:r>
      <w:proofErr w:type="spellStart"/>
      <w:r>
        <w:rPr>
          <w:rFonts w:ascii="Times New Roman" w:hAnsi="Times New Roman"/>
        </w:rPr>
        <w:t>final</w:t>
      </w:r>
      <w:proofErr w:type="spellEnd"/>
    </w:p>
  </w:footnote>
  <w:footnote w:id="19">
    <w:p w:rsidR="00B85BC3" w:rsidRDefault="00D7065F">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Pr>
        <w:t xml:space="preserve"> </w:t>
      </w:r>
      <w:hyperlink r:id="rId10">
        <w:r>
          <w:rPr>
            <w:rStyle w:val="FootnoteReference"/>
            <w:rFonts w:ascii="Times New Roman" w:hAnsi="Times New Roman"/>
            <w:vertAlign w:val="baseline"/>
          </w:rPr>
          <w:t>http://ec.europa.eu/smart-regulation/roadm</w:t>
        </w:r>
        <w:r>
          <w:rPr>
            <w:rStyle w:val="FootnoteReference"/>
            <w:rFonts w:ascii="Times New Roman" w:hAnsi="Times New Roman"/>
            <w:vertAlign w:val="baseline"/>
          </w:rPr>
          <w:t>aps/docs/2016_sante_176_action_plan_against_amr_en.pdf</w:t>
        </w:r>
      </w:hyperlink>
    </w:p>
  </w:footnote>
  <w:footnote w:id="20">
    <w:p w:rsidR="00B85BC3" w:rsidRDefault="00D7065F">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hyperlink r:id="rId11">
        <w:r>
          <w:rPr>
            <w:rStyle w:val="FootnoteReference"/>
            <w:rFonts w:ascii="Times New Roman" w:hAnsi="Times New Roman"/>
            <w:vertAlign w:val="baseline"/>
          </w:rPr>
          <w:t>https://ec.europa.eu/health/amr/consultations/consultation_20170123_amr-new-action-plan_e</w:t>
        </w:r>
        <w:r>
          <w:rPr>
            <w:rStyle w:val="FootnoteReference"/>
            <w:rFonts w:ascii="Times New Roman" w:hAnsi="Times New Roman"/>
            <w:vertAlign w:val="baseline"/>
          </w:rPr>
          <w:t>n</w:t>
        </w:r>
      </w:hyperlink>
    </w:p>
  </w:footnote>
  <w:footnote w:id="21">
    <w:p w:rsidR="00B85BC3" w:rsidRDefault="00D7065F">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Maailma Terviseorganisatsioon, 2015, 68th </w:t>
      </w:r>
      <w:proofErr w:type="spellStart"/>
      <w:r>
        <w:rPr>
          <w:rFonts w:ascii="Times New Roman" w:hAnsi="Times New Roman"/>
        </w:rPr>
        <w:t>World</w:t>
      </w:r>
      <w:proofErr w:type="spellEnd"/>
      <w:r>
        <w:rPr>
          <w:rFonts w:ascii="Times New Roman" w:hAnsi="Times New Roman"/>
        </w:rPr>
        <w:t xml:space="preserve"> </w:t>
      </w:r>
      <w:proofErr w:type="spellStart"/>
      <w:r>
        <w:rPr>
          <w:rFonts w:ascii="Times New Roman" w:hAnsi="Times New Roman"/>
        </w:rPr>
        <w:t>Health</w:t>
      </w:r>
      <w:proofErr w:type="spellEnd"/>
      <w:r>
        <w:rPr>
          <w:rFonts w:ascii="Times New Roman" w:hAnsi="Times New Roman"/>
        </w:rPr>
        <w:t xml:space="preserve"> </w:t>
      </w:r>
      <w:proofErr w:type="spellStart"/>
      <w:r>
        <w:rPr>
          <w:rFonts w:ascii="Times New Roman" w:hAnsi="Times New Roman"/>
        </w:rPr>
        <w:t>Assembly</w:t>
      </w:r>
      <w:proofErr w:type="spellEnd"/>
      <w:r>
        <w:rPr>
          <w:rFonts w:ascii="Times New Roman" w:hAnsi="Times New Roman"/>
        </w:rPr>
        <w:t>:</w:t>
      </w:r>
      <w:r>
        <w:rPr>
          <w:rFonts w:ascii="Times New Roman" w:hAnsi="Times New Roman"/>
          <w:i/>
        </w:rPr>
        <w:t xml:space="preserve"> WHA </w:t>
      </w:r>
      <w:proofErr w:type="spellStart"/>
      <w:r>
        <w:rPr>
          <w:rFonts w:ascii="Times New Roman" w:hAnsi="Times New Roman"/>
          <w:i/>
        </w:rPr>
        <w:t>resolution</w:t>
      </w:r>
      <w:proofErr w:type="spellEnd"/>
      <w:r>
        <w:rPr>
          <w:rFonts w:ascii="Times New Roman" w:hAnsi="Times New Roman"/>
          <w:i/>
        </w:rPr>
        <w:t xml:space="preserve"> 68.7 (68. maailma terviseassamblee: WHA resolutsioon 68.7),</w:t>
      </w:r>
      <w:r>
        <w:rPr>
          <w:rFonts w:ascii="Times New Roman" w:hAnsi="Times New Roman"/>
        </w:rPr>
        <w:t xml:space="preserve"> Genf, Šveits; enne 2017. aasta keskpaika </w:t>
      </w:r>
      <w:proofErr w:type="spellStart"/>
      <w:r>
        <w:rPr>
          <w:rFonts w:ascii="Times New Roman" w:hAnsi="Times New Roman"/>
        </w:rPr>
        <w:t>antimikroobikumiresistentsuse</w:t>
      </w:r>
      <w:proofErr w:type="spellEnd"/>
      <w:r>
        <w:rPr>
          <w:rFonts w:ascii="Times New Roman" w:hAnsi="Times New Roman"/>
        </w:rPr>
        <w:t xml:space="preserve"> vastaste riiklike tegevuskavade olemasolu</w:t>
      </w:r>
      <w:r>
        <w:rPr>
          <w:rFonts w:ascii="Times New Roman" w:hAnsi="Times New Roman"/>
        </w:rPr>
        <w:t xml:space="preserve"> kohustus, mis on kinnitatud nõukogu järeldustes, milles käsitletakse terviseühtsuse põhimõtte alusel </w:t>
      </w:r>
      <w:proofErr w:type="spellStart"/>
      <w:r>
        <w:rPr>
          <w:rFonts w:ascii="Times New Roman" w:hAnsi="Times New Roman"/>
        </w:rPr>
        <w:t>antimikroobikumiresistentsuse</w:t>
      </w:r>
      <w:proofErr w:type="spellEnd"/>
      <w:r>
        <w:rPr>
          <w:rFonts w:ascii="Times New Roman" w:hAnsi="Times New Roman"/>
        </w:rPr>
        <w:t xml:space="preserve"> tõrje järgmisi etappe.</w:t>
      </w:r>
    </w:p>
  </w:footnote>
  <w:footnote w:id="22">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Euroopa Parlamendi ja nõukogu 9. märtsi 2016. aasta määrus (EL) 2016/429 loomataudide kohta, milleg</w:t>
      </w:r>
      <w:r>
        <w:rPr>
          <w:rStyle w:val="FootnoteReference"/>
          <w:rFonts w:ascii="Times New Roman" w:hAnsi="Times New Roman"/>
          <w:vertAlign w:val="baseline"/>
        </w:rPr>
        <w:t>a muudetakse teatavaid loomatervise valdkonna õigusakte või tunnistatakse need kehtetuks (loomatervise määrus) (ELT L 84, 31.3.2016, lk 1).</w:t>
      </w:r>
    </w:p>
  </w:footnote>
  <w:footnote w:id="23">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Komisjoni 12. novembri 2013. aasta rakendusotsus 2013/652/EL zoonootiliste ja </w:t>
      </w:r>
      <w:proofErr w:type="spellStart"/>
      <w:r>
        <w:rPr>
          <w:rFonts w:ascii="Times New Roman" w:hAnsi="Times New Roman"/>
        </w:rPr>
        <w:t>kommensaalsete</w:t>
      </w:r>
      <w:proofErr w:type="spellEnd"/>
      <w:r>
        <w:rPr>
          <w:rFonts w:ascii="Times New Roman" w:hAnsi="Times New Roman"/>
        </w:rPr>
        <w:t xml:space="preserve"> bakterite </w:t>
      </w:r>
      <w:proofErr w:type="spellStart"/>
      <w:r>
        <w:rPr>
          <w:rFonts w:ascii="Times New Roman" w:hAnsi="Times New Roman"/>
        </w:rPr>
        <w:t>antimikroob</w:t>
      </w:r>
      <w:r>
        <w:rPr>
          <w:rFonts w:ascii="Times New Roman" w:hAnsi="Times New Roman"/>
        </w:rPr>
        <w:t>se</w:t>
      </w:r>
      <w:proofErr w:type="spellEnd"/>
      <w:r>
        <w:rPr>
          <w:rFonts w:ascii="Times New Roman" w:hAnsi="Times New Roman"/>
        </w:rPr>
        <w:t xml:space="preserve"> resistentsuse [Termin on muutunud. Uus termin on „</w:t>
      </w:r>
      <w:proofErr w:type="spellStart"/>
      <w:r>
        <w:rPr>
          <w:rFonts w:ascii="Times New Roman" w:hAnsi="Times New Roman"/>
        </w:rPr>
        <w:t>antimikroobikumiresistentsus</w:t>
      </w:r>
      <w:proofErr w:type="spellEnd"/>
      <w:r>
        <w:rPr>
          <w:rFonts w:ascii="Times New Roman" w:hAnsi="Times New Roman"/>
        </w:rPr>
        <w:t>“] seire ja aruandluse kohta (ELT L 303, 14.11.2013, lk 26).</w:t>
      </w:r>
    </w:p>
  </w:footnote>
  <w:footnote w:id="24">
    <w:p w:rsidR="00B85BC3" w:rsidRDefault="00D7065F">
      <w:pPr>
        <w:pStyle w:val="FootnoteText"/>
        <w:spacing w:after="0" w:line="240" w:lineRule="auto"/>
      </w:pPr>
      <w:r>
        <w:rPr>
          <w:rStyle w:val="FootnoteReference"/>
          <w:rFonts w:ascii="Times New Roman" w:hAnsi="Times New Roman"/>
        </w:rPr>
        <w:footnoteRef/>
      </w:r>
      <w:r>
        <w:rPr>
          <w:rFonts w:ascii="Times New Roman" w:hAnsi="Times New Roman"/>
        </w:rPr>
        <w:t xml:space="preserve"> </w:t>
      </w:r>
      <w:r>
        <w:rPr>
          <w:rFonts w:ascii="Times New Roman" w:hAnsi="Times New Roman"/>
        </w:rPr>
        <w:t>Komisjoni 19. märtsi 2002. aasta otsus 2002/253/EÜ, millega nähakse ette haigusjuhtude määratlused ühenduse võrg</w:t>
      </w:r>
      <w:r>
        <w:rPr>
          <w:rFonts w:ascii="Times New Roman" w:hAnsi="Times New Roman"/>
        </w:rPr>
        <w:t>ustiku teavitamiseks nakkushaigustest vastavalt Euroopa Parlamendi ja nõukogu otsusele nr 2119/98/EÜ (EÜT L 86, 3.4.2002, lk 44);</w:t>
      </w:r>
    </w:p>
  </w:footnote>
  <w:footnote w:id="25">
    <w:p w:rsidR="00B85BC3" w:rsidRDefault="00D7065F">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Eurobaromeetri eriuuringud nr 338 (aprill 2010), nr 407 (november 2013) ja nr 445 (juuni 2016).</w:t>
      </w:r>
    </w:p>
  </w:footnote>
  <w:footnote w:id="26">
    <w:p w:rsidR="00B85BC3" w:rsidRDefault="00D7065F">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rPr>
          <w:rStyle w:val="FootnoteReference"/>
          <w:rFonts w:ascii="Times New Roman" w:hAnsi="Times New Roman"/>
          <w:vertAlign w:val="baseline"/>
        </w:rPr>
        <w:t>Euroopa Parlamendi ja nõuk</w:t>
      </w:r>
      <w:r>
        <w:rPr>
          <w:rStyle w:val="FootnoteReference"/>
          <w:rFonts w:ascii="Times New Roman" w:hAnsi="Times New Roman"/>
          <w:vertAlign w:val="baseline"/>
        </w:rPr>
        <w:t>ogu 22. oktoobri 2013. aasta otsus nr 1082/2013/EL tõsiste piiriüleste terviseohtude kohta ja millega tunnistatakse kehtetuks otsus nr 2119/98/EÜ (ELT L 293, 5.11.2013, lk 1).</w:t>
      </w:r>
    </w:p>
  </w:footnote>
  <w:footnote w:id="27">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 xml:space="preserve">JA-04-2016 – </w:t>
      </w:r>
      <w:proofErr w:type="spellStart"/>
      <w:r>
        <w:rPr>
          <w:rStyle w:val="FootnoteReference"/>
          <w:rFonts w:ascii="Times New Roman" w:hAnsi="Times New Roman"/>
          <w:vertAlign w:val="baseline"/>
        </w:rPr>
        <w:t>Antimikroobikumiresistentsus</w:t>
      </w:r>
      <w:proofErr w:type="spellEnd"/>
      <w:r>
        <w:rPr>
          <w:rStyle w:val="FootnoteReference"/>
          <w:rFonts w:ascii="Times New Roman" w:hAnsi="Times New Roman"/>
          <w:vertAlign w:val="baseline"/>
        </w:rPr>
        <w:t xml:space="preserve"> ja tervishoiuteenustega seotud nakku</w:t>
      </w:r>
      <w:r>
        <w:rPr>
          <w:rStyle w:val="FootnoteReference"/>
          <w:rFonts w:ascii="Times New Roman" w:hAnsi="Times New Roman"/>
          <w:vertAlign w:val="baseline"/>
        </w:rPr>
        <w:t>sed.</w:t>
      </w:r>
    </w:p>
  </w:footnote>
  <w:footnote w:id="28">
    <w:p w:rsidR="00B85BC3" w:rsidRDefault="00D7065F">
      <w:pPr>
        <w:pStyle w:val="FootnoteText"/>
        <w:spacing w:after="0" w:line="240" w:lineRule="auto"/>
        <w:rPr>
          <w:rStyle w:val="FootnoteReference"/>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 xml:space="preserve">Komisjoni 12. novembri 2013. aasta rakendusotsus 2013/652/EL zoonootiliste ja </w:t>
      </w:r>
      <w:proofErr w:type="spellStart"/>
      <w:r>
        <w:rPr>
          <w:rStyle w:val="FootnoteReference"/>
          <w:rFonts w:ascii="Times New Roman" w:hAnsi="Times New Roman"/>
          <w:vertAlign w:val="baseline"/>
        </w:rPr>
        <w:t>kommensaalsete</w:t>
      </w:r>
      <w:proofErr w:type="spellEnd"/>
      <w:r>
        <w:rPr>
          <w:rStyle w:val="FootnoteReference"/>
          <w:rFonts w:ascii="Times New Roman" w:hAnsi="Times New Roman"/>
          <w:vertAlign w:val="baseline"/>
        </w:rPr>
        <w:t xml:space="preserve"> bakterite </w:t>
      </w:r>
      <w:proofErr w:type="spellStart"/>
      <w:r>
        <w:rPr>
          <w:rStyle w:val="FootnoteReference"/>
          <w:rFonts w:ascii="Times New Roman" w:hAnsi="Times New Roman"/>
          <w:vertAlign w:val="baseline"/>
        </w:rPr>
        <w:t>antimikroobse</w:t>
      </w:r>
      <w:proofErr w:type="spellEnd"/>
      <w:r>
        <w:rPr>
          <w:rStyle w:val="FootnoteReference"/>
          <w:rFonts w:ascii="Times New Roman" w:hAnsi="Times New Roman"/>
          <w:vertAlign w:val="baseline"/>
        </w:rPr>
        <w:t xml:space="preserve"> resistentsuse [Termin on muutunud. Uus termin on „</w:t>
      </w:r>
      <w:proofErr w:type="spellStart"/>
      <w:r>
        <w:rPr>
          <w:rStyle w:val="FootnoteReference"/>
          <w:rFonts w:ascii="Times New Roman" w:hAnsi="Times New Roman"/>
          <w:vertAlign w:val="baseline"/>
        </w:rPr>
        <w:t>antimikroobikumiresistentsus</w:t>
      </w:r>
      <w:proofErr w:type="spellEnd"/>
      <w:r>
        <w:rPr>
          <w:rStyle w:val="FootnoteReference"/>
          <w:rFonts w:ascii="Times New Roman" w:hAnsi="Times New Roman"/>
          <w:vertAlign w:val="baseline"/>
        </w:rPr>
        <w:t xml:space="preserve">“] seire ja aruandluse kohta (ELT L 303, 14.11.2013, </w:t>
      </w:r>
      <w:r>
        <w:rPr>
          <w:rStyle w:val="FootnoteReference"/>
          <w:rFonts w:ascii="Times New Roman" w:hAnsi="Times New Roman"/>
          <w:vertAlign w:val="baseline"/>
        </w:rPr>
        <w:t>lk 26).</w:t>
      </w:r>
    </w:p>
  </w:footnote>
  <w:footnote w:id="29">
    <w:p w:rsidR="00B85BC3" w:rsidRDefault="00D7065F">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hyperlink r:id="rId12">
        <w:r>
          <w:rPr>
            <w:rStyle w:val="Hyperlink"/>
            <w:rFonts w:ascii="Times New Roman" w:hAnsi="Times New Roman"/>
          </w:rPr>
          <w:t>http://www.gavi.org/about/value/</w:t>
        </w:r>
      </w:hyperlink>
    </w:p>
  </w:footnote>
  <w:footnote w:id="30">
    <w:p w:rsidR="00B85BC3" w:rsidRDefault="00D7065F">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13">
        <w:r>
          <w:rPr>
            <w:rStyle w:val="FootnoteReference"/>
            <w:rFonts w:ascii="Times New Roman" w:hAnsi="Times New Roman"/>
            <w:vertAlign w:val="baseline"/>
          </w:rPr>
          <w:t>http://eur-lex.europa.eu/legal-content/ET/TXT/PDF/?</w:t>
        </w:r>
        <w:r>
          <w:rPr>
            <w:rStyle w:val="FootnoteReference"/>
            <w:rFonts w:ascii="Times New Roman" w:hAnsi="Times New Roman"/>
            <w:vertAlign w:val="baseline"/>
          </w:rPr>
          <w:t>uri=CELEX:52015XC0911%2801%29&amp;from=ET</w:t>
        </w:r>
      </w:hyperlink>
    </w:p>
  </w:footnote>
  <w:footnote w:id="31">
    <w:p w:rsidR="00B85BC3" w:rsidRDefault="00D7065F">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vertAlign w:val="baseline"/>
        </w:rPr>
        <w:t xml:space="preserve"> COM(2014) 558 (</w:t>
      </w:r>
      <w:proofErr w:type="spellStart"/>
      <w:r>
        <w:rPr>
          <w:rStyle w:val="FootnoteReference"/>
          <w:rFonts w:ascii="Times New Roman" w:hAnsi="Times New Roman"/>
          <w:vertAlign w:val="baseline"/>
        </w:rPr>
        <w:t>final</w:t>
      </w:r>
      <w:proofErr w:type="spellEnd"/>
      <w:r>
        <w:rPr>
          <w:rStyle w:val="FootnoteReference"/>
          <w:rFonts w:ascii="Times New Roman" w:hAnsi="Times New Roman"/>
          <w:vertAlign w:val="baseline"/>
        </w:rPr>
        <w:t>), COM(2014) 556 (</w:t>
      </w:r>
      <w:proofErr w:type="spellStart"/>
      <w:r>
        <w:rPr>
          <w:rStyle w:val="FootnoteReference"/>
          <w:rFonts w:ascii="Times New Roman" w:hAnsi="Times New Roman"/>
          <w:vertAlign w:val="baseline"/>
        </w:rPr>
        <w:t>final</w:t>
      </w:r>
      <w:proofErr w:type="spellEnd"/>
      <w:r>
        <w:rPr>
          <w:rStyle w:val="FootnoteReference"/>
          <w:rFonts w:ascii="Times New Roman" w:hAnsi="Times New Roman"/>
          <w:vertAlign w:val="baseline"/>
        </w:rPr>
        <w:t>).</w:t>
      </w:r>
    </w:p>
  </w:footnote>
  <w:footnote w:id="32">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vertAlign w:val="baseline"/>
        </w:rPr>
        <w:t xml:space="preserve"> Euroopa Parlamendi ja nõukogu 12. augusti 2013. aasta direktiiv 2013/39/EL, millega muudetakse direktiive 2000/60/EÜ ja 2008/105/EÜ seoses veepoliitika valdkonna priori</w:t>
      </w:r>
      <w:r>
        <w:rPr>
          <w:rStyle w:val="FootnoteReference"/>
          <w:rFonts w:ascii="Times New Roman" w:hAnsi="Times New Roman"/>
          <w:vertAlign w:val="baseline"/>
        </w:rPr>
        <w:t>teetsete ainetega (ELT L 226, 24.8.2013, lk 1).</w:t>
      </w:r>
    </w:p>
  </w:footnote>
  <w:footnote w:id="33">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Euroopa Parlamendi ja nõukogu 23. oktoobri 2000. aasta direktiiv 2000/60/EÜ, millega kehtestatakse ühenduse veepoliitika alane tegevusraamistik (EÜT L 327, 22.12.2000, lk 1).</w:t>
      </w:r>
    </w:p>
  </w:footnote>
  <w:footnote w:id="34">
    <w:p w:rsidR="00B85BC3" w:rsidRDefault="00D7065F">
      <w:pPr>
        <w:pStyle w:val="FootnoteText"/>
        <w:spacing w:after="0" w:line="240" w:lineRule="auto"/>
        <w:rPr>
          <w:rStyle w:val="FootnoteReference"/>
        </w:rPr>
      </w:pPr>
      <w:r>
        <w:rPr>
          <w:rStyle w:val="FootnoteReference"/>
          <w:rFonts w:ascii="Times New Roman" w:hAnsi="Times New Roman"/>
        </w:rPr>
        <w:footnoteRef/>
      </w:r>
      <w:r>
        <w:rPr>
          <w:rFonts w:ascii="Times New Roman" w:hAnsi="Times New Roman"/>
        </w:rPr>
        <w:t xml:space="preserve"> </w:t>
      </w:r>
      <w:hyperlink r:id="rId14">
        <w:r>
          <w:rPr>
            <w:rStyle w:val="FootnoteReference"/>
            <w:rFonts w:ascii="Times New Roman" w:hAnsi="Times New Roman"/>
            <w:vertAlign w:val="baseline"/>
          </w:rPr>
          <w:t>https://ipchem.jrc.ec.europa.eu/RDSIdiscovery/ipchem/index.html</w:t>
        </w:r>
      </w:hyperlink>
      <w:r>
        <w:rPr>
          <w:rStyle w:val="FootnoteReference"/>
          <w:rFonts w:ascii="Times New Roman" w:hAnsi="Times New Roman"/>
          <w:vertAlign w:val="baseline"/>
        </w:rPr>
        <w:t xml:space="preserve"> </w:t>
      </w:r>
    </w:p>
  </w:footnote>
  <w:footnote w:id="35">
    <w:p w:rsidR="00B85BC3" w:rsidRDefault="00D7065F">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15">
        <w:r>
          <w:rPr>
            <w:rStyle w:val="FootnoteReference"/>
            <w:rFonts w:ascii="Times New Roman" w:hAnsi="Times New Roman"/>
            <w:vertAlign w:val="baseline"/>
          </w:rPr>
          <w:t>http://www.ifpma.org/partners-2/declaration-by-the-pharmaceutical-biotechnology-and-diagnostics-industries-on-combating-antimicrobial-resistance-amr/</w:t>
        </w:r>
      </w:hyperlink>
      <w:r>
        <w:rPr>
          <w:rStyle w:val="FootnoteReference"/>
          <w:rFonts w:ascii="Times New Roman" w:hAnsi="Times New Roman"/>
          <w:vertAlign w:val="baseline"/>
        </w:rPr>
        <w:t xml:space="preserve"> </w:t>
      </w:r>
    </w:p>
  </w:footnote>
  <w:footnote w:id="36">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vertAlign w:val="baseline"/>
        </w:rPr>
        <w:t xml:space="preserve"> Komisjoni 2. oktoobri 2015. aasta delegeeritud määrus (EL) 2016/161, </w:t>
      </w:r>
      <w:r>
        <w:rPr>
          <w:rStyle w:val="FootnoteReference"/>
          <w:rFonts w:ascii="Times New Roman" w:hAnsi="Times New Roman"/>
          <w:vertAlign w:val="baseline"/>
        </w:rPr>
        <w:t>millega täiendatakse Euroopa Parlamendi ja nõukogu direktiivi 2001/83/EÜ üksikasjalike eeskirjade kehtestamisega inimtervishoius kasutatavate ravimite välispakendil olevate turvaelementide kohta (ELT L 32, 9.2.2016, lk 1).</w:t>
      </w:r>
    </w:p>
  </w:footnote>
  <w:footnote w:id="37">
    <w:p w:rsidR="00B85BC3" w:rsidRDefault="00D7065F">
      <w:pPr>
        <w:pStyle w:val="FootnoteText"/>
        <w:spacing w:after="0" w:line="240" w:lineRule="auto"/>
        <w:rPr>
          <w:rStyle w:val="FootnoteReference"/>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https://ec.europa.eu/digital-single-market/en/innovation-procurement</w:t>
      </w:r>
    </w:p>
  </w:footnote>
  <w:footnote w:id="38">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Nt akadeemilistes ringkondades ja ettevõtetes tegutsevad teadlased, reguleerivad asutused jt.</w:t>
      </w:r>
    </w:p>
  </w:footnote>
  <w:footnote w:id="39">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hyperlink r:id="rId16">
        <w:r>
          <w:rPr>
            <w:rStyle w:val="Hyperlink"/>
            <w:rFonts w:ascii="Times New Roman" w:hAnsi="Times New Roman"/>
          </w:rPr>
          <w:t>http://www.saicm.org/EmergingPolicyIssues/Pharmaceuticalnbsp;Pollutants/tabid/5477/language/en-US/Default.aspx</w:t>
        </w:r>
      </w:hyperlink>
    </w:p>
  </w:footnote>
  <w:footnote w:id="40">
    <w:p w:rsidR="00B85BC3" w:rsidRDefault="00D7065F">
      <w:pPr>
        <w:pStyle w:val="FootnoteText"/>
      </w:pPr>
      <w:r>
        <w:rPr>
          <w:rStyle w:val="FootnoteReference"/>
        </w:rPr>
        <w:footnoteRef/>
      </w:r>
      <w:r>
        <w:t xml:space="preserve"> </w:t>
      </w:r>
      <w:hyperlink r:id="rId17">
        <w:r>
          <w:rPr>
            <w:rStyle w:val="Hyperlink"/>
            <w:rFonts w:ascii="Times New Roman" w:hAnsi="Times New Roman"/>
          </w:rPr>
          <w:t>http://www.mhlw.go.jp/seisakunitsuite/bunya/hokabunya/kokusai/g7kobe/KobeCommunique_en.pdf</w:t>
        </w:r>
      </w:hyperlink>
    </w:p>
  </w:footnote>
  <w:footnote w:id="41">
    <w:p w:rsidR="00B85BC3" w:rsidRDefault="00D7065F">
      <w:pPr>
        <w:pStyle w:val="FootnoteText"/>
        <w:spacing w:after="0"/>
        <w:jc w:val="lef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8">
        <w:r>
          <w:rPr>
            <w:rStyle w:val="Hyperlink"/>
            <w:rFonts w:ascii="Times New Roman" w:hAnsi="Times New Roman"/>
          </w:rPr>
          <w:t>https://www.bundesgesundheitsministerium.de/fileadmin/Dateien/3_Downloads/G/G20-Gesundheit</w:t>
        </w:r>
        <w:r>
          <w:rPr>
            <w:rStyle w:val="Hyperlink"/>
            <w:rFonts w:ascii="Times New Roman" w:hAnsi="Times New Roman"/>
          </w:rPr>
          <w:t>sministertreffen/G20_Health_Ministers_Declaration_engl.pdf</w:t>
        </w:r>
      </w:hyperlink>
    </w:p>
  </w:footnote>
  <w:footnote w:id="42">
    <w:p w:rsidR="00B85BC3" w:rsidRDefault="00D7065F">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9">
        <w:r>
          <w:rPr>
            <w:rStyle w:val="Hyperlink"/>
            <w:rFonts w:ascii="Times New Roman" w:hAnsi="Times New Roman"/>
          </w:rPr>
          <w:t>http://www.star-idaz.net/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3" w:rsidRDefault="00B85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3" w:rsidRDefault="00B85BC3">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3" w:rsidRDefault="00B85BC3">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3" w:rsidRDefault="00B85B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3" w:rsidRDefault="00B85B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3" w:rsidRDefault="00B85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0EC"/>
    <w:multiLevelType w:val="hybridMultilevel"/>
    <w:tmpl w:val="7566389C"/>
    <w:lvl w:ilvl="0" w:tplc="08090001">
      <w:start w:val="1"/>
      <w:numFmt w:val="bullet"/>
      <w:lvlText w:val=""/>
      <w:lvlJc w:val="left"/>
      <w:pPr>
        <w:ind w:left="720" w:hanging="360"/>
      </w:pPr>
      <w:rPr>
        <w:rFonts w:ascii="Symbol" w:hAnsi="Symbol" w:hint="default"/>
      </w:rPr>
    </w:lvl>
    <w:lvl w:ilvl="1" w:tplc="440C054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76811"/>
    <w:multiLevelType w:val="hybridMultilevel"/>
    <w:tmpl w:val="3C10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F4E95"/>
    <w:multiLevelType w:val="hybridMultilevel"/>
    <w:tmpl w:val="0054EB9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A4D97"/>
    <w:multiLevelType w:val="hybridMultilevel"/>
    <w:tmpl w:val="AB8ED5F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233E1"/>
    <w:multiLevelType w:val="multilevel"/>
    <w:tmpl w:val="D1A64C34"/>
    <w:lvl w:ilvl="0">
      <w:start w:val="1"/>
      <w:numFmt w:val="decimal"/>
      <w:pStyle w:val="Heading1"/>
      <w:lvlText w:val="%1"/>
      <w:lvlJc w:val="left"/>
      <w:pPr>
        <w:ind w:left="432" w:hanging="432"/>
      </w:pPr>
    </w:lvl>
    <w:lvl w:ilvl="1">
      <w:start w:val="1"/>
      <w:numFmt w:val="decimal"/>
      <w:pStyle w:val="Heading2"/>
      <w:lvlText w:val="%1.%2"/>
      <w:lvlJc w:val="left"/>
      <w:pPr>
        <w:ind w:left="355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CB6656E"/>
    <w:multiLevelType w:val="hybridMultilevel"/>
    <w:tmpl w:val="C74892E2"/>
    <w:lvl w:ilvl="0" w:tplc="EFE24CC0">
      <w:start w:val="1"/>
      <w:numFmt w:val="decimal"/>
      <w:lvlText w:val="%1."/>
      <w:lvlJc w:val="left"/>
      <w:pPr>
        <w:ind w:left="720" w:hanging="360"/>
      </w:pPr>
      <w:rPr>
        <w:rFonts w:eastAsiaTheme="majorEastAsia"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C93A45"/>
    <w:multiLevelType w:val="hybridMultilevel"/>
    <w:tmpl w:val="57827EA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602B8"/>
    <w:multiLevelType w:val="hybridMultilevel"/>
    <w:tmpl w:val="85F6C004"/>
    <w:lvl w:ilvl="0" w:tplc="440C0548">
      <w:numFmt w:val="bullet"/>
      <w:lvlText w:val="-"/>
      <w:lvlJc w:val="left"/>
      <w:pPr>
        <w:ind w:left="780" w:hanging="360"/>
      </w:pPr>
      <w:rPr>
        <w:rFonts w:ascii="Times New Roman" w:eastAsiaTheme="minorHAns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21D041C"/>
    <w:multiLevelType w:val="hybridMultilevel"/>
    <w:tmpl w:val="E5208D4C"/>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pStyle w:val="NumPar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B00C70"/>
    <w:multiLevelType w:val="hybridMultilevel"/>
    <w:tmpl w:val="8F6CC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4A34A0"/>
    <w:multiLevelType w:val="hybridMultilevel"/>
    <w:tmpl w:val="56A0C5F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D3986"/>
    <w:multiLevelType w:val="hybridMultilevel"/>
    <w:tmpl w:val="F600E060"/>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E87202"/>
    <w:multiLevelType w:val="hybridMultilevel"/>
    <w:tmpl w:val="0CBE235E"/>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F025B6"/>
    <w:multiLevelType w:val="hybridMultilevel"/>
    <w:tmpl w:val="F334DC0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02FF5"/>
    <w:multiLevelType w:val="hybridMultilevel"/>
    <w:tmpl w:val="2CEA5C3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076C74"/>
    <w:multiLevelType w:val="multilevel"/>
    <w:tmpl w:val="EC783D4E"/>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327E3B2B"/>
    <w:multiLevelType w:val="hybridMultilevel"/>
    <w:tmpl w:val="0470A862"/>
    <w:lvl w:ilvl="0" w:tplc="3154E738">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47E038C"/>
    <w:multiLevelType w:val="hybridMultilevel"/>
    <w:tmpl w:val="D3AE6278"/>
    <w:lvl w:ilvl="0" w:tplc="ED846C16">
      <w:start w:val="1"/>
      <w:numFmt w:val="bullet"/>
      <w:pStyle w:val="LTTBody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3B7B0ED7"/>
    <w:multiLevelType w:val="hybridMultilevel"/>
    <w:tmpl w:val="E28C9E9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B4C0D"/>
    <w:multiLevelType w:val="hybridMultilevel"/>
    <w:tmpl w:val="84F2A0EE"/>
    <w:lvl w:ilvl="0" w:tplc="440C0548">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1692AC0"/>
    <w:multiLevelType w:val="hybridMultilevel"/>
    <w:tmpl w:val="6F9896B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723C5E"/>
    <w:multiLevelType w:val="hybridMultilevel"/>
    <w:tmpl w:val="204EB4E2"/>
    <w:lvl w:ilvl="0" w:tplc="440C0548">
      <w:numFmt w:val="bullet"/>
      <w:lvlText w:val="-"/>
      <w:lvlJc w:val="left"/>
      <w:pPr>
        <w:ind w:left="-60" w:hanging="360"/>
      </w:pPr>
      <w:rPr>
        <w:rFonts w:ascii="Times New Roman" w:eastAsiaTheme="minorHAnsi" w:hAnsi="Times New Roman" w:cs="Times New Roman" w:hint="default"/>
      </w:rPr>
    </w:lvl>
    <w:lvl w:ilvl="1" w:tplc="08090003">
      <w:start w:val="1"/>
      <w:numFmt w:val="bullet"/>
      <w:lvlText w:val="o"/>
      <w:lvlJc w:val="left"/>
      <w:pPr>
        <w:ind w:left="660" w:hanging="360"/>
      </w:pPr>
      <w:rPr>
        <w:rFonts w:ascii="Courier New" w:hAnsi="Courier New" w:cs="Courier New" w:hint="default"/>
      </w:rPr>
    </w:lvl>
    <w:lvl w:ilvl="2" w:tplc="08090005">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22">
    <w:nsid w:val="453C5E4C"/>
    <w:multiLevelType w:val="hybridMultilevel"/>
    <w:tmpl w:val="B0DC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51C67"/>
    <w:multiLevelType w:val="hybridMultilevel"/>
    <w:tmpl w:val="A81CE4B8"/>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7756F"/>
    <w:multiLevelType w:val="hybridMultilevel"/>
    <w:tmpl w:val="5822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46DD8"/>
    <w:multiLevelType w:val="hybridMultilevel"/>
    <w:tmpl w:val="A6E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36D15"/>
    <w:multiLevelType w:val="hybridMultilevel"/>
    <w:tmpl w:val="5C187480"/>
    <w:lvl w:ilvl="0" w:tplc="082CCF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C2527"/>
    <w:multiLevelType w:val="hybridMultilevel"/>
    <w:tmpl w:val="1264DDA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nsid w:val="56553CBB"/>
    <w:multiLevelType w:val="hybridMultilevel"/>
    <w:tmpl w:val="117E6048"/>
    <w:lvl w:ilvl="0" w:tplc="DE4CC03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7D4723"/>
    <w:multiLevelType w:val="hybridMultilevel"/>
    <w:tmpl w:val="8C8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01256"/>
    <w:multiLevelType w:val="hybridMultilevel"/>
    <w:tmpl w:val="39FA8A0E"/>
    <w:lvl w:ilvl="0" w:tplc="440C0548">
      <w:numFmt w:val="bullet"/>
      <w:lvlText w:val="-"/>
      <w:lvlJc w:val="left"/>
      <w:pPr>
        <w:ind w:left="607" w:hanging="360"/>
      </w:pPr>
      <w:rPr>
        <w:rFonts w:ascii="Times New Roman" w:eastAsiaTheme="minorHAnsi" w:hAnsi="Times New Roman"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2">
    <w:nsid w:val="5C1D07E8"/>
    <w:multiLevelType w:val="hybridMultilevel"/>
    <w:tmpl w:val="C7EE6A62"/>
    <w:lvl w:ilvl="0" w:tplc="440C054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5A7B50"/>
    <w:multiLevelType w:val="hybridMultilevel"/>
    <w:tmpl w:val="18D27AA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3D3EDA"/>
    <w:multiLevelType w:val="hybridMultilevel"/>
    <w:tmpl w:val="E9B44F2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7F2DCD"/>
    <w:multiLevelType w:val="hybridMultilevel"/>
    <w:tmpl w:val="8C6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B25D3C"/>
    <w:multiLevelType w:val="hybridMultilevel"/>
    <w:tmpl w:val="FC8E5DD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E21136"/>
    <w:multiLevelType w:val="multilevel"/>
    <w:tmpl w:val="0FFC8E26"/>
    <w:lvl w:ilvl="0">
      <w:start w:val="1"/>
      <w:numFmt w:val="decimal"/>
      <w:lvlText w:val="%1."/>
      <w:lvlJc w:val="left"/>
      <w:pPr>
        <w:ind w:left="432" w:hanging="432"/>
      </w:pPr>
    </w:lvl>
    <w:lvl w:ilvl="1">
      <w:start w:val="1"/>
      <w:numFmt w:val="decimal"/>
      <w:lvlText w:val="2.%2"/>
      <w:lvlJc w:val="left"/>
      <w:pPr>
        <w:ind w:left="327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7E043CA"/>
    <w:multiLevelType w:val="hybridMultilevel"/>
    <w:tmpl w:val="C42ED072"/>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A79EA"/>
    <w:multiLevelType w:val="hybridMultilevel"/>
    <w:tmpl w:val="D5141A0A"/>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F24DC4"/>
    <w:multiLevelType w:val="multilevel"/>
    <w:tmpl w:val="9418E486"/>
    <w:lvl w:ilvl="0">
      <w:start w:val="1"/>
      <w:numFmt w:val="decimal"/>
      <w:lvlText w:val="1.%1"/>
      <w:lvlJc w:val="left"/>
      <w:pPr>
        <w:ind w:left="432" w:hanging="432"/>
      </w:pPr>
      <w:rPr>
        <w:rFonts w:hint="default"/>
      </w:rPr>
    </w:lvl>
    <w:lvl w:ilvl="1">
      <w:start w:val="1"/>
      <w:numFmt w:val="decimal"/>
      <w:lvlText w:val="2.%2"/>
      <w:lvlJc w:val="left"/>
      <w:pPr>
        <w:ind w:left="327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59E0CA5"/>
    <w:multiLevelType w:val="hybridMultilevel"/>
    <w:tmpl w:val="6E7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EC4DD9"/>
    <w:multiLevelType w:val="hybridMultilevel"/>
    <w:tmpl w:val="A61E772E"/>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28"/>
  </w:num>
  <w:num w:numId="5">
    <w:abstractNumId w:val="17"/>
  </w:num>
  <w:num w:numId="6">
    <w:abstractNumId w:val="40"/>
  </w:num>
  <w:num w:numId="7">
    <w:abstractNumId w:val="30"/>
  </w:num>
  <w:num w:numId="8">
    <w:abstractNumId w:val="25"/>
  </w:num>
  <w:num w:numId="9">
    <w:abstractNumId w:val="0"/>
  </w:num>
  <w:num w:numId="10">
    <w:abstractNumId w:val="26"/>
  </w:num>
  <w:num w:numId="11">
    <w:abstractNumId w:val="1"/>
  </w:num>
  <w:num w:numId="12">
    <w:abstractNumId w:val="35"/>
  </w:num>
  <w:num w:numId="13">
    <w:abstractNumId w:val="29"/>
  </w:num>
  <w:num w:numId="14">
    <w:abstractNumId w:val="3"/>
  </w:num>
  <w:num w:numId="15">
    <w:abstractNumId w:val="41"/>
  </w:num>
  <w:num w:numId="16">
    <w:abstractNumId w:val="7"/>
  </w:num>
  <w:num w:numId="17">
    <w:abstractNumId w:val="6"/>
  </w:num>
  <w:num w:numId="18">
    <w:abstractNumId w:val="9"/>
  </w:num>
  <w:num w:numId="19">
    <w:abstractNumId w:val="19"/>
  </w:num>
  <w:num w:numId="20">
    <w:abstractNumId w:val="21"/>
  </w:num>
  <w:num w:numId="21">
    <w:abstractNumId w:val="31"/>
  </w:num>
  <w:num w:numId="22">
    <w:abstractNumId w:val="13"/>
  </w:num>
  <w:num w:numId="23">
    <w:abstractNumId w:val="32"/>
  </w:num>
  <w:num w:numId="24">
    <w:abstractNumId w:val="2"/>
  </w:num>
  <w:num w:numId="25">
    <w:abstractNumId w:val="23"/>
  </w:num>
  <w:num w:numId="26">
    <w:abstractNumId w:val="27"/>
  </w:num>
  <w:num w:numId="27">
    <w:abstractNumId w:val="10"/>
  </w:num>
  <w:num w:numId="28">
    <w:abstractNumId w:val="22"/>
  </w:num>
  <w:num w:numId="29">
    <w:abstractNumId w:val="24"/>
  </w:num>
  <w:num w:numId="30">
    <w:abstractNumId w:val="7"/>
  </w:num>
  <w:num w:numId="31">
    <w:abstractNumId w:val="38"/>
  </w:num>
  <w:num w:numId="32">
    <w:abstractNumId w:val="34"/>
  </w:num>
  <w:num w:numId="33">
    <w:abstractNumId w:val="18"/>
  </w:num>
  <w:num w:numId="34">
    <w:abstractNumId w:val="39"/>
  </w:num>
  <w:num w:numId="35">
    <w:abstractNumId w:val="42"/>
  </w:num>
  <w:num w:numId="36">
    <w:abstractNumId w:val="36"/>
  </w:num>
  <w:num w:numId="37">
    <w:abstractNumId w:val="20"/>
  </w:num>
  <w:num w:numId="38">
    <w:abstractNumId w:val="11"/>
  </w:num>
  <w:num w:numId="39">
    <w:abstractNumId w:val="14"/>
  </w:num>
  <w:num w:numId="40">
    <w:abstractNumId w:val="33"/>
  </w:num>
  <w:num w:numId="41">
    <w:abstractNumId w:val="12"/>
  </w:num>
  <w:num w:numId="42">
    <w:abstractNumId w:val="16"/>
  </w:num>
  <w:num w:numId="43">
    <w:abstractNumId w:val="5"/>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F720DD778FC04ABD8DBE859774FC91C2"/>
    <w:docVar w:name="LW_CROSSREFERENCE" w:val="{SWD(2017) 240 final}"/>
    <w:docVar w:name="LW_DocType" w:val="NORMAL"/>
    <w:docVar w:name="LW_EMISSION" w:val="29.6.2017"/>
    <w:docVar w:name="LW_EMISSION_ISODATE" w:val="2017-06-29"/>
    <w:docVar w:name="LW_EMISSION_LOCATION" w:val="BRX"/>
    <w:docVar w:name="LW_EMISSION_PREFIX" w:val="Brüssel,"/>
    <w:docVar w:name="LW_EMISSION_SUFFIX" w:val=" "/>
    <w:docVar w:name="LW_ID_DOCTYPE_NONLW" w:val="CP-011"/>
    <w:docVar w:name="LW_LANGUE" w:val="ET"/>
    <w:docVar w:name="LW_MARKING" w:val="&lt;UNUSED&g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7) 339"/>
    <w:docVar w:name="LW_REF.INTERNE" w:val="&lt;UNUSED&gt;"/>
    <w:docVar w:name="LW_SOUS.TITRE.OBJ" w:val="Commission's One-Health strategy in the fight against AMR"/>
    <w:docVar w:name="LW_SOUS.TITRE.OBJ.CP" w:val="&lt;UNUSED&gt;"/>
    <w:docVar w:name="LW_SUPERTITRE" w:val="&lt;UNUSED&gt;"/>
    <w:docVar w:name="LW_TITRE.OBJ.CP" w:val="Euroopa terviseühtsuse tegevuskava antimikroobikumiresistentsuse vastu võitlemiseks"/>
    <w:docVar w:name="LW_TYPE.DOC.CP" w:val="KOMISJONI TEATIS NÕUKOGULE JA EUROOPA PARLAMENDILE"/>
    <w:docVar w:name="LW_TYPE.DOC.CP.USERTEXT" w:val="&lt;EMPTY&gt;"/>
  </w:docVars>
  <w:rsids>
    <w:rsidRoot w:val="00B85BC3"/>
    <w:rsid w:val="00B85BC3"/>
    <w:rsid w:val="00D70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pPr>
      <w:keepLines/>
      <w:numPr>
        <w:numId w:val="44"/>
      </w:numPr>
      <w:spacing w:before="480"/>
      <w:outlineLvl w:val="0"/>
    </w:pPr>
    <w:rPr>
      <w:rFonts w:ascii="Times New Roman" w:eastAsiaTheme="majorEastAsia" w:hAnsi="Times New Roman"/>
      <w:b/>
      <w:bCs/>
      <w:smallCaps/>
      <w:color w:val="000000" w:themeColor="text1"/>
      <w:sz w:val="24"/>
      <w:szCs w:val="24"/>
    </w:rPr>
  </w:style>
  <w:style w:type="paragraph" w:styleId="Heading2">
    <w:name w:val="heading 2"/>
    <w:basedOn w:val="Normal"/>
    <w:next w:val="Normal"/>
    <w:link w:val="Heading2Char"/>
    <w:autoRedefine/>
    <w:uiPriority w:val="9"/>
    <w:qFormat/>
    <w:pPr>
      <w:keepNext/>
      <w:keepLines/>
      <w:numPr>
        <w:ilvl w:val="1"/>
        <w:numId w:val="44"/>
      </w:numPr>
      <w:ind w:left="576"/>
      <w:outlineLvl w:val="1"/>
    </w:pPr>
    <w:rPr>
      <w:rFonts w:ascii="Times New Roman" w:eastAsiaTheme="majorEastAsia" w:hAnsi="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4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pPr>
      <w:keepNext/>
      <w:numPr>
        <w:ilvl w:val="3"/>
        <w:numId w:val="4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Pr>
      <w:rFonts w:eastAsiaTheme="majorEastAsia" w:cstheme="majorBidi"/>
      <w:bCs/>
      <w:i/>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ascii="Calibri" w:hAnsi="Calibri" w:cs="Times New Roma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Calibri" w:hAnsi="Calibri" w:cs="Times New Roman"/>
      <w:i/>
      <w:iCs/>
      <w:color w:val="000000" w:themeColor="text1"/>
    </w:rPr>
  </w:style>
  <w:style w:type="paragraph" w:customStyle="1" w:styleId="Tiret1">
    <w:name w:val="Tiret 1"/>
    <w:basedOn w:val="Normal"/>
    <w:next w:val="Normal"/>
    <w:pPr>
      <w:numPr>
        <w:numId w:val="2"/>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2"/>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rPr>
      <w:rFonts w:eastAsia="Calibri"/>
    </w:r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basedOn w:val="DefaultParagraphFont"/>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Pr>
      <w:rFonts w:ascii="Calibri" w:hAnsi="Calibri" w:cs="Times New Roman"/>
    </w:rPr>
  </w:style>
  <w:style w:type="paragraph" w:styleId="ListBullet">
    <w:name w:val="List Bullet"/>
    <w:basedOn w:val="Normal"/>
    <w:pPr>
      <w:numPr>
        <w:numId w:val="4"/>
      </w:numPr>
    </w:pPr>
    <w:rPr>
      <w:rFonts w:ascii="Times New Roman" w:eastAsia="Times New Roman" w:hAnsi="Times New Roman"/>
      <w:sz w:val="24"/>
      <w:szCs w:val="20"/>
    </w:rPr>
  </w:style>
  <w:style w:type="paragraph" w:customStyle="1" w:styleId="LTTBody1">
    <w:name w:val="LTT Body 1"/>
    <w:basedOn w:val="Normal"/>
    <w:qFormat/>
    <w:pPr>
      <w:numPr>
        <w:numId w:val="5"/>
      </w:numPr>
      <w:spacing w:after="0"/>
      <w:jc w:val="left"/>
    </w:pPr>
    <w:rPr>
      <w:rFonts w:eastAsia="Times New Roman" w:cs="Calibri"/>
      <w:sz w:val="28"/>
      <w:szCs w:val="28"/>
    </w:rPr>
  </w:style>
  <w:style w:type="paragraph" w:customStyle="1" w:styleId="Briefingheading2">
    <w:name w:val="Briefing heading 2"/>
    <w:basedOn w:val="Normal"/>
    <w:pPr>
      <w:keepNext/>
      <w:spacing w:before="240" w:after="120"/>
    </w:pPr>
    <w:rPr>
      <w:rFonts w:ascii="Arial" w:hAnsi="Arial" w:cs="Arial"/>
      <w:b/>
      <w:bCs/>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Pr>
      <w:rFonts w:cs="Times New Roman"/>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at21">
    <w:name w:val="a__t21"/>
    <w:basedOn w:val="DefaultParagraphFon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rPr>
      <w:rFonts w:ascii="Arial" w:hAnsi="Arial" w:cs="Arial"/>
    </w:rPr>
  </w:style>
  <w:style w:type="character" w:customStyle="1" w:styleId="st1">
    <w:name w:val="st1"/>
    <w:basedOn w:val="DefaultParagraphFont"/>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pPr>
      <w:keepLines/>
      <w:numPr>
        <w:numId w:val="44"/>
      </w:numPr>
      <w:spacing w:before="480"/>
      <w:outlineLvl w:val="0"/>
    </w:pPr>
    <w:rPr>
      <w:rFonts w:ascii="Times New Roman" w:eastAsiaTheme="majorEastAsia" w:hAnsi="Times New Roman"/>
      <w:b/>
      <w:bCs/>
      <w:smallCaps/>
      <w:color w:val="000000" w:themeColor="text1"/>
      <w:sz w:val="24"/>
      <w:szCs w:val="24"/>
    </w:rPr>
  </w:style>
  <w:style w:type="paragraph" w:styleId="Heading2">
    <w:name w:val="heading 2"/>
    <w:basedOn w:val="Normal"/>
    <w:next w:val="Normal"/>
    <w:link w:val="Heading2Char"/>
    <w:autoRedefine/>
    <w:uiPriority w:val="9"/>
    <w:qFormat/>
    <w:pPr>
      <w:keepNext/>
      <w:keepLines/>
      <w:numPr>
        <w:ilvl w:val="1"/>
        <w:numId w:val="44"/>
      </w:numPr>
      <w:ind w:left="576"/>
      <w:outlineLvl w:val="1"/>
    </w:pPr>
    <w:rPr>
      <w:rFonts w:ascii="Times New Roman" w:eastAsiaTheme="majorEastAsia" w:hAnsi="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4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pPr>
      <w:keepNext/>
      <w:numPr>
        <w:ilvl w:val="3"/>
        <w:numId w:val="4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Pr>
      <w:rFonts w:eastAsiaTheme="majorEastAsia" w:cstheme="majorBidi"/>
      <w:bCs/>
      <w:i/>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ascii="Calibri" w:hAnsi="Calibri" w:cs="Times New Roma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Calibri" w:hAnsi="Calibri" w:cs="Times New Roman"/>
      <w:i/>
      <w:iCs/>
      <w:color w:val="000000" w:themeColor="text1"/>
    </w:rPr>
  </w:style>
  <w:style w:type="paragraph" w:customStyle="1" w:styleId="Tiret1">
    <w:name w:val="Tiret 1"/>
    <w:basedOn w:val="Normal"/>
    <w:next w:val="Normal"/>
    <w:pPr>
      <w:numPr>
        <w:numId w:val="2"/>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2"/>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rPr>
      <w:rFonts w:eastAsia="Calibri"/>
    </w:r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basedOn w:val="DefaultParagraphFont"/>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Pr>
      <w:rFonts w:ascii="Calibri" w:hAnsi="Calibri" w:cs="Times New Roman"/>
    </w:rPr>
  </w:style>
  <w:style w:type="paragraph" w:styleId="ListBullet">
    <w:name w:val="List Bullet"/>
    <w:basedOn w:val="Normal"/>
    <w:pPr>
      <w:numPr>
        <w:numId w:val="4"/>
      </w:numPr>
    </w:pPr>
    <w:rPr>
      <w:rFonts w:ascii="Times New Roman" w:eastAsia="Times New Roman" w:hAnsi="Times New Roman"/>
      <w:sz w:val="24"/>
      <w:szCs w:val="20"/>
    </w:rPr>
  </w:style>
  <w:style w:type="paragraph" w:customStyle="1" w:styleId="LTTBody1">
    <w:name w:val="LTT Body 1"/>
    <w:basedOn w:val="Normal"/>
    <w:qFormat/>
    <w:pPr>
      <w:numPr>
        <w:numId w:val="5"/>
      </w:numPr>
      <w:spacing w:after="0"/>
      <w:jc w:val="left"/>
    </w:pPr>
    <w:rPr>
      <w:rFonts w:eastAsia="Times New Roman" w:cs="Calibri"/>
      <w:sz w:val="28"/>
      <w:szCs w:val="28"/>
    </w:rPr>
  </w:style>
  <w:style w:type="paragraph" w:customStyle="1" w:styleId="Briefingheading2">
    <w:name w:val="Briefing heading 2"/>
    <w:basedOn w:val="Normal"/>
    <w:pPr>
      <w:keepNext/>
      <w:spacing w:before="240" w:after="120"/>
    </w:pPr>
    <w:rPr>
      <w:rFonts w:ascii="Arial" w:hAnsi="Arial" w:cs="Arial"/>
      <w:b/>
      <w:bCs/>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Pr>
      <w:rFonts w:cs="Times New Roman"/>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at21">
    <w:name w:val="a__t21"/>
    <w:basedOn w:val="DefaultParagraphFon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rPr>
      <w:rFonts w:ascii="Arial" w:hAnsi="Arial" w:cs="Arial"/>
    </w:rPr>
  </w:style>
  <w:style w:type="character" w:customStyle="1" w:styleId="st1">
    <w:name w:val="st1"/>
    <w:basedOn w:val="DefaultParagraphFont"/>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261">
      <w:bodyDiv w:val="1"/>
      <w:marLeft w:val="0"/>
      <w:marRight w:val="0"/>
      <w:marTop w:val="0"/>
      <w:marBottom w:val="0"/>
      <w:divBdr>
        <w:top w:val="none" w:sz="0" w:space="0" w:color="auto"/>
        <w:left w:val="none" w:sz="0" w:space="0" w:color="auto"/>
        <w:bottom w:val="none" w:sz="0" w:space="0" w:color="auto"/>
        <w:right w:val="none" w:sz="0" w:space="0" w:color="auto"/>
      </w:divBdr>
    </w:div>
    <w:div w:id="652683024">
      <w:bodyDiv w:val="1"/>
      <w:marLeft w:val="0"/>
      <w:marRight w:val="0"/>
      <w:marTop w:val="0"/>
      <w:marBottom w:val="0"/>
      <w:divBdr>
        <w:top w:val="none" w:sz="0" w:space="0" w:color="auto"/>
        <w:left w:val="none" w:sz="0" w:space="0" w:color="auto"/>
        <w:bottom w:val="none" w:sz="0" w:space="0" w:color="auto"/>
        <w:right w:val="none" w:sz="0" w:space="0" w:color="auto"/>
      </w:divBdr>
    </w:div>
    <w:div w:id="1183785663">
      <w:bodyDiv w:val="1"/>
      <w:marLeft w:val="0"/>
      <w:marRight w:val="0"/>
      <w:marTop w:val="0"/>
      <w:marBottom w:val="0"/>
      <w:divBdr>
        <w:top w:val="none" w:sz="0" w:space="0" w:color="auto"/>
        <w:left w:val="none" w:sz="0" w:space="0" w:color="auto"/>
        <w:bottom w:val="none" w:sz="0" w:space="0" w:color="auto"/>
        <w:right w:val="none" w:sz="0" w:space="0" w:color="auto"/>
      </w:divBdr>
    </w:div>
    <w:div w:id="1258756071">
      <w:bodyDiv w:val="1"/>
      <w:marLeft w:val="0"/>
      <w:marRight w:val="0"/>
      <w:marTop w:val="0"/>
      <w:marBottom w:val="0"/>
      <w:divBdr>
        <w:top w:val="none" w:sz="0" w:space="0" w:color="auto"/>
        <w:left w:val="none" w:sz="0" w:space="0" w:color="auto"/>
        <w:bottom w:val="none" w:sz="0" w:space="0" w:color="auto"/>
        <w:right w:val="none" w:sz="0" w:space="0" w:color="auto"/>
      </w:divBdr>
    </w:div>
    <w:div w:id="1485778139">
      <w:bodyDiv w:val="1"/>
      <w:marLeft w:val="0"/>
      <w:marRight w:val="0"/>
      <w:marTop w:val="0"/>
      <w:marBottom w:val="0"/>
      <w:divBdr>
        <w:top w:val="none" w:sz="0" w:space="0" w:color="auto"/>
        <w:left w:val="none" w:sz="0" w:space="0" w:color="auto"/>
        <w:bottom w:val="none" w:sz="0" w:space="0" w:color="auto"/>
        <w:right w:val="none" w:sz="0" w:space="0" w:color="auto"/>
      </w:divBdr>
    </w:div>
    <w:div w:id="1750080816">
      <w:bodyDiv w:val="1"/>
      <w:marLeft w:val="0"/>
      <w:marRight w:val="0"/>
      <w:marTop w:val="0"/>
      <w:marBottom w:val="0"/>
      <w:divBdr>
        <w:top w:val="none" w:sz="0" w:space="0" w:color="auto"/>
        <w:left w:val="none" w:sz="0" w:space="0" w:color="auto"/>
        <w:bottom w:val="none" w:sz="0" w:space="0" w:color="auto"/>
        <w:right w:val="none" w:sz="0" w:space="0" w:color="auto"/>
      </w:divBdr>
    </w:div>
    <w:div w:id="19103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dc.europa.eu/en/publications/Publications/antimicrobial-resistance-europe-2015.pdf" TargetMode="External"/><Relationship Id="rId13" Type="http://schemas.openxmlformats.org/officeDocument/2006/relationships/hyperlink" Target="http://eur-lex.europa.eu/legal-content/ET/TXT/PDF/?uri=CELEX:52015XC0911%2801%29&amp;from=ET" TargetMode="External"/><Relationship Id="rId18" Type="http://schemas.openxmlformats.org/officeDocument/2006/relationships/hyperlink" Target="https://www.bundesgesundheitsministerium.de/fileadmin/Dateien/3_Downloads/G/G20-Gesundheitsministertreffen/G20_Health_Ministers_Declaration_engl.pdf" TargetMode="External"/><Relationship Id="rId3" Type="http://schemas.openxmlformats.org/officeDocument/2006/relationships/hyperlink" Target="https://amr-review.org/sites/default/files/160525_Final%20paper_with%20cover.pdf" TargetMode="External"/><Relationship Id="rId7" Type="http://schemas.openxmlformats.org/officeDocument/2006/relationships/hyperlink" Target="http://www.jpiamr.eu/" TargetMode="External"/><Relationship Id="rId12" Type="http://schemas.openxmlformats.org/officeDocument/2006/relationships/hyperlink" Target="http://www.gavi.org/about/value/" TargetMode="External"/><Relationship Id="rId17" Type="http://schemas.openxmlformats.org/officeDocument/2006/relationships/hyperlink" Target="http://www.mhlw.go.jp/seisakunitsuite/bunya/hokabunya/kokusai/g7kobe/KobeCommunique_en.pdf" TargetMode="External"/><Relationship Id="rId2" Type="http://schemas.openxmlformats.org/officeDocument/2006/relationships/hyperlink" Target="http://www.wpro.who.int/entity/drug_resistance/resources/global_action_plan_eng.pdf" TargetMode="External"/><Relationship Id="rId16" Type="http://schemas.openxmlformats.org/officeDocument/2006/relationships/hyperlink" Target="http://www.saicm.org/EmergingPolicyIssues/Pharmaceuticalnbsp;Pollutants/tabid/5477/language/en-US/Default.aspx" TargetMode="External"/><Relationship Id="rId1" Type="http://schemas.openxmlformats.org/officeDocument/2006/relationships/hyperlink" Target="http://www.who.int/entity/drugresistance/documents/surveillancereport/en/index.html" TargetMode="External"/><Relationship Id="rId6" Type="http://schemas.openxmlformats.org/officeDocument/2006/relationships/hyperlink" Target="http://www.imi.europa.eu/" TargetMode="External"/><Relationship Id="rId11" Type="http://schemas.openxmlformats.org/officeDocument/2006/relationships/hyperlink" Target="https://ec.europa.eu/health/amr/consultations/consultation_20170123_amr-new-action-plan_en" TargetMode="External"/><Relationship Id="rId5" Type="http://schemas.openxmlformats.org/officeDocument/2006/relationships/hyperlink" Target="http://www.imi.europa.eu/content/nd4bb" TargetMode="External"/><Relationship Id="rId15" Type="http://schemas.openxmlformats.org/officeDocument/2006/relationships/hyperlink" Target="http://www.ifpma.org/partners-2/declaration-by-the-pharmaceutical-biotechnology-and-diagnostics-industries-on-combating-antimicrobial-resistance-amr/" TargetMode="External"/><Relationship Id="rId10" Type="http://schemas.openxmlformats.org/officeDocument/2006/relationships/hyperlink" Target="http://ec.europa.eu/smart-regulation/roadmaps/docs/2016_sante_176_action_plan_against_amr_en.pdf" TargetMode="External"/><Relationship Id="rId19" Type="http://schemas.openxmlformats.org/officeDocument/2006/relationships/hyperlink" Target="http://www.star-idaz.net/" TargetMode="External"/><Relationship Id="rId4" Type="http://schemas.openxmlformats.org/officeDocument/2006/relationships/hyperlink" Target="http://www.un.org/sustainabledevelopment/sustainable-development-goals" TargetMode="External"/><Relationship Id="rId9" Type="http://schemas.openxmlformats.org/officeDocument/2006/relationships/hyperlink" Target="http://www.consilium.europa.eu/en/press/press-releases/2016/06/17-epsco-conclusions-antimicrobial-resistance" TargetMode="External"/><Relationship Id="rId14" Type="http://schemas.openxmlformats.org/officeDocument/2006/relationships/hyperlink" Target="https://ipchem.jrc.ec.europa.eu/RDSIdiscovery/ipch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7AB9-50F6-4EA9-888D-CB8DAF78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7837</Words>
  <Characters>44675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SANTE/176/2016-EN Rev, 2</vt:lpstr>
    </vt:vector>
  </TitlesOfParts>
  <Manager/>
  <Company/>
  <LinksUpToDate>false</LinksUpToDate>
  <CharactersWithSpaces>52408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SANTE/176/2016-EN Rev, 2</dc:title>
  <dc:subject>communication from the commission to the council and the european parliament</dc:subject>
  <dc:creator/>
  <cp:keywords>176</cp:keywords>
  <dc:description>Outlook 20.6.2017</dc:description>
  <cp:lastModifiedBy>LAGES CARVALHO Patrick (SG)</cp:lastModifiedBy>
  <cp:revision>23</cp:revision>
  <cp:lastPrinted>2017-06-02T07:43:00Z</cp:lastPrinted>
  <dcterms:created xsi:type="dcterms:W3CDTF">2017-06-20T13:25:00Z</dcterms:created>
  <dcterms:modified xsi:type="dcterms:W3CDTF">2017-06-28T06:10:00Z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