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04E78DEED75E41108C471A6D39B9E65D" style="width:449.5pt;height:388.5pt">
            <v:imagedata r:id="rId9" o:title=""/>
          </v:shape>
        </w:pict>
      </w:r>
    </w:p>
    <w:bookmarkEnd w:id="0"/>
    <w:p>
      <w:pPr>
        <w:pStyle w:val="Text"/>
        <w:rPr>
          <w:noProof/>
          <w:color w:val="auto"/>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1"/>
          <w:cols w:space="720"/>
          <w:docGrid w:linePitch="326"/>
        </w:sectPr>
      </w:pPr>
    </w:p>
    <w:p>
      <w:pPr>
        <w:pStyle w:val="Heading1"/>
        <w:jc w:val="both"/>
        <w:rPr>
          <w:noProof/>
          <w:color w:val="auto"/>
          <w:lang w:val="el-GR"/>
        </w:rPr>
      </w:pPr>
      <w:bookmarkStart w:id="1" w:name="_GoBack"/>
      <w:bookmarkEnd w:id="1"/>
      <w:r>
        <w:rPr>
          <w:noProof/>
          <w:color w:val="auto"/>
          <w:lang w:val="el-GR"/>
        </w:rPr>
        <w:lastRenderedPageBreak/>
        <w:t>1. Σκοπός της έκθεσης</w:t>
      </w:r>
    </w:p>
    <w:p>
      <w:pPr>
        <w:spacing w:before="240" w:after="240"/>
        <w:ind w:right="-28"/>
        <w:jc w:val="both"/>
        <w:rPr>
          <w:rFonts w:eastAsia="Calibri"/>
          <w:bCs/>
          <w:noProof/>
          <w:lang w:val="el-GR"/>
        </w:rPr>
      </w:pPr>
      <w:r>
        <w:rPr>
          <w:noProof/>
          <w:lang w:val="el-GR"/>
        </w:rPr>
        <w:t xml:space="preserve">Το </w:t>
      </w:r>
      <w:r>
        <w:rPr>
          <w:noProof/>
        </w:rPr>
        <w:t>EMAS</w:t>
      </w:r>
      <w:r>
        <w:rPr>
          <w:noProof/>
          <w:lang w:val="el-GR"/>
        </w:rPr>
        <w:t xml:space="preserve"> και το οικολογικό σήμα της ΕΕ εντάσσονται στο πλαίσιο πολιτικής της ΕΕ για τη βιώσιμη κατανάλωση και παραγωγή. Το οικολογικό σήμα της ΕΕ δημιουργήθηκε το 1992 και το </w:t>
      </w:r>
      <w:r>
        <w:rPr>
          <w:noProof/>
        </w:rPr>
        <w:t>EMAS</w:t>
      </w:r>
      <w:r>
        <w:rPr>
          <w:noProof/>
          <w:lang w:val="el-GR"/>
        </w:rPr>
        <w:t xml:space="preserve"> το 1995. Τα δύο συστήματα ενεργοποιήθηκαν εκ νέου το 2008, στο πλαίσιο της ανακοίνωσης όσον αφορά το σχέδιο δράσης για τη βιώσιμη κατανάλωση και παραγωγή και τη βιώσιμη βιομηχανική πολιτική (σχέδιο δράσης ΒΚΠ)</w:t>
      </w:r>
      <w:r>
        <w:rPr>
          <w:rStyle w:val="FootnoteReference"/>
          <w:noProof/>
        </w:rPr>
        <w:footnoteReference w:id="2"/>
      </w:r>
      <w:r>
        <w:rPr>
          <w:noProof/>
          <w:lang w:val="el-GR"/>
        </w:rPr>
        <w:t>. Σκοπός του οικολογικού σήματος της ΕΕ είναι:</w:t>
      </w:r>
      <w:r>
        <w:rPr>
          <w:i/>
          <w:noProof/>
          <w:lang w:val="el-GR"/>
        </w:rPr>
        <w:t>… η «προώθηση προϊόντων με μειωμένες περιβαλλοντικές επιπτώσεις σε όλη τη διάρκεια του κύκλου ζωής τους» και η «παροχή στους καταναλωτές επακριβών, μη παραπλανητικών και επιστημονικά τεκμηριωμένων πληροφοριών για τις επιπτώσεις των προϊόντων στο περιβάλλον»</w:t>
      </w:r>
      <w:r>
        <w:rPr>
          <w:noProof/>
          <w:lang w:val="el-GR"/>
        </w:rPr>
        <w:t>· σκοπός του Ε</w:t>
      </w:r>
      <w:r>
        <w:rPr>
          <w:noProof/>
        </w:rPr>
        <w:t>MAS</w:t>
      </w:r>
      <w:r>
        <w:rPr>
          <w:noProof/>
          <w:lang w:val="el-GR"/>
        </w:rPr>
        <w:t xml:space="preserve"> είναι:</w:t>
      </w:r>
      <w:r>
        <w:rPr>
          <w:i/>
          <w:noProof/>
          <w:lang w:val="el-GR"/>
        </w:rPr>
        <w:t xml:space="preserve"> «... να προωθήσει τη συνεχή βελτίωση των περιβαλλοντικών επιδόσεων των οργανισμών με την καθιέρωση και εφαρμογή συστημάτων περιβαλλοντικής διαχείρισης από τους οργανισμούς, με τη συστηματική, αντικειμενική και περιοδική αξιολόγηση των επιδόσεων των συστημάτων αυτών, με την ενημέρωση ως προς τις περιβαλλοντικές επιδόσεις, με ανοικτό διάλογο με το κοινό και άλλους ενδιαφερόμενους, καθώς και με την ενεργό συμμετοχή των εργαζομένων στους οργανισμούς και την κατάλληλη εκπαίδευση».</w:t>
      </w:r>
    </w:p>
    <w:p>
      <w:pPr>
        <w:pStyle w:val="Default"/>
        <w:jc w:val="both"/>
        <w:rPr>
          <w:rFonts w:ascii="Times New Roman" w:hAnsi="Times New Roman" w:cs="Times New Roman"/>
          <w:noProof/>
          <w:color w:val="auto"/>
          <w:lang w:val="el-GR"/>
        </w:rPr>
      </w:pPr>
      <w:r>
        <w:rPr>
          <w:rFonts w:ascii="Times New Roman" w:hAnsi="Times New Roman"/>
          <w:noProof/>
          <w:color w:val="auto"/>
          <w:lang w:val="el-GR"/>
        </w:rPr>
        <w:t>Σύμφωνα με το άρθρο 14 του κανονισμού (ΕΚ) αριθ. 66/2010 σχετικά με το οικολογικό σήμα της ΕΕ</w:t>
      </w:r>
      <w:r>
        <w:rPr>
          <w:rStyle w:val="FootnoteReference"/>
          <w:rFonts w:ascii="Times New Roman" w:hAnsi="Times New Roman"/>
          <w:noProof/>
          <w:color w:val="auto"/>
        </w:rPr>
        <w:footnoteReference w:id="3"/>
      </w:r>
      <w:r>
        <w:rPr>
          <w:rFonts w:ascii="Times New Roman" w:hAnsi="Times New Roman"/>
          <w:noProof/>
          <w:color w:val="auto"/>
          <w:lang w:val="el-GR"/>
        </w:rPr>
        <w:t xml:space="preserve"> (κανονισμός για το οικολογικό σήμα της ΕΕ), η Επιτροπή πρέπει να υποβάλει στο Ευρωπαϊκό Κοινοβούλιο και το Συμβούλιο έκθεση σχετικά με την εφαρμογή του συστήματος οικολογικού σήματος της ΕΕ, καθώς και να εντοπίσει στοιχεία ενδεχόμενης αναθεώρησης του συστήματος.</w:t>
      </w:r>
    </w:p>
    <w:p>
      <w:pPr>
        <w:pStyle w:val="Default"/>
        <w:jc w:val="both"/>
        <w:rPr>
          <w:rFonts w:ascii="Times New Roman" w:hAnsi="Times New Roman" w:cs="Times New Roman"/>
          <w:noProof/>
          <w:color w:val="auto"/>
          <w:lang w:val="el-GR"/>
        </w:rPr>
      </w:pPr>
    </w:p>
    <w:p>
      <w:pPr>
        <w:pStyle w:val="Default"/>
        <w:jc w:val="both"/>
        <w:rPr>
          <w:rFonts w:ascii="Times New Roman" w:hAnsi="Times New Roman" w:cs="Times New Roman"/>
          <w:noProof/>
          <w:color w:val="auto"/>
          <w:lang w:val="el-GR"/>
        </w:rPr>
      </w:pPr>
      <w:r>
        <w:rPr>
          <w:rFonts w:ascii="Times New Roman" w:hAnsi="Times New Roman"/>
          <w:noProof/>
          <w:color w:val="auto"/>
          <w:lang w:val="el-GR"/>
        </w:rPr>
        <w:t>Το άρθρο 47 του κανονισμού (ΕΚ) αριθ. 1221/2009 περί της εθελοντικής συμμετοχής οργανισμών σε κοινοτικό σύστημα οικολογικής διαχείρισης και οικολογικού ελέγχου (</w:t>
      </w:r>
      <w:r>
        <w:rPr>
          <w:rFonts w:ascii="Times New Roman" w:hAnsi="Times New Roman"/>
          <w:noProof/>
          <w:color w:val="auto"/>
        </w:rPr>
        <w:t>EMAS</w:t>
      </w:r>
      <w:r>
        <w:rPr>
          <w:rFonts w:ascii="Times New Roman" w:hAnsi="Times New Roman"/>
          <w:noProof/>
          <w:color w:val="auto"/>
          <w:lang w:val="el-GR"/>
        </w:rPr>
        <w:t>)</w:t>
      </w:r>
      <w:r>
        <w:rPr>
          <w:rStyle w:val="FootnoteReference"/>
          <w:rFonts w:ascii="Times New Roman" w:hAnsi="Times New Roman"/>
          <w:noProof/>
          <w:color w:val="auto"/>
        </w:rPr>
        <w:footnoteReference w:id="4"/>
      </w:r>
      <w:r>
        <w:rPr>
          <w:rFonts w:ascii="Times New Roman" w:hAnsi="Times New Roman"/>
          <w:noProof/>
          <w:color w:val="auto"/>
          <w:lang w:val="el-GR"/>
        </w:rPr>
        <w:t xml:space="preserve"> (κανονισμός για το </w:t>
      </w:r>
      <w:r>
        <w:rPr>
          <w:rFonts w:ascii="Times New Roman" w:hAnsi="Times New Roman"/>
          <w:noProof/>
          <w:color w:val="auto"/>
        </w:rPr>
        <w:t>EMAS</w:t>
      </w:r>
      <w:r>
        <w:rPr>
          <w:rFonts w:ascii="Times New Roman" w:hAnsi="Times New Roman"/>
          <w:noProof/>
          <w:color w:val="auto"/>
          <w:lang w:val="el-GR"/>
        </w:rPr>
        <w:t xml:space="preserve">) προβλέπει ότι η Επιτροπή υποβάλλει στο Ευρωπαϊκό Κοινοβούλιο και το Συμβούλιο έκθεση με πληροφορίες σχετικά με τις δράσεις και τα μέτρα που υλοποιούνται σύμφωνα με το σχετικό κεφάλαιο (κεφάλαιο </w:t>
      </w:r>
      <w:r>
        <w:rPr>
          <w:rFonts w:ascii="Times New Roman" w:hAnsi="Times New Roman"/>
          <w:noProof/>
          <w:color w:val="auto"/>
        </w:rPr>
        <w:t>VIII</w:t>
      </w:r>
      <w:r>
        <w:rPr>
          <w:rFonts w:ascii="Times New Roman" w:hAnsi="Times New Roman"/>
          <w:noProof/>
          <w:color w:val="auto"/>
          <w:lang w:val="el-GR"/>
        </w:rPr>
        <w:t>) και τις πληροφορίες που λαμβάνει από τα κράτη μέλη σύμφωνα με το άρθρο 41. Το άρθρο 50 του κανονισμού απαιτεί από την Επιτροπή να αναθεωρεί το ΕΜΑ</w:t>
      </w:r>
      <w:r>
        <w:rPr>
          <w:rFonts w:ascii="Times New Roman" w:hAnsi="Times New Roman"/>
          <w:noProof/>
          <w:color w:val="auto"/>
        </w:rPr>
        <w:t>S</w:t>
      </w:r>
      <w:r>
        <w:rPr>
          <w:rFonts w:ascii="Times New Roman" w:hAnsi="Times New Roman"/>
          <w:noProof/>
          <w:color w:val="auto"/>
          <w:lang w:val="el-GR"/>
        </w:rPr>
        <w:t>, με βάση την πείρα που έχει αποκτήσει κατά την εφαρμογή του και τις διεθνείς εξελίξεις. Η Επιτροπή πρέπει να λαμβάνει υπόψη τις εκθέσεις που υποβάλλει στο Ευρωπαϊκό Κοινοβούλιο και το Συμβούλιο σύμφωνα με το άρθρο 47.</w:t>
      </w:r>
    </w:p>
    <w:p>
      <w:pPr>
        <w:pStyle w:val="Default"/>
        <w:jc w:val="both"/>
        <w:rPr>
          <w:rFonts w:ascii="Times New Roman" w:hAnsi="Times New Roman" w:cs="Times New Roman"/>
          <w:noProof/>
          <w:color w:val="auto"/>
          <w:lang w:val="el-GR"/>
        </w:rPr>
      </w:pPr>
    </w:p>
    <w:p>
      <w:pPr>
        <w:pStyle w:val="Default"/>
        <w:jc w:val="both"/>
        <w:rPr>
          <w:rFonts w:ascii="Times New Roman" w:hAnsi="Times New Roman" w:cs="Times New Roman"/>
          <w:noProof/>
          <w:color w:val="auto"/>
          <w:lang w:val="el-GR"/>
        </w:rPr>
      </w:pPr>
      <w:r>
        <w:rPr>
          <w:rFonts w:ascii="Times New Roman" w:hAnsi="Times New Roman"/>
          <w:noProof/>
          <w:color w:val="auto"/>
          <w:lang w:val="el-GR"/>
        </w:rPr>
        <w:t>Η παρούσα έκθεση της Επιτροπής και τα παραρτήματά της πληρούν τις ανωτέρω απαιτήσεις. Επίσης, παραθέτουν τα ευρήματα του ελέγχου καταλληλότητας της νομοθεσίας ο οποίος διενεργήθηκε στο πλαίσιο του προγράμματος βελτίωσης της καταλληλότητας και της αποδοτικότητας του κανονιστικού πλαισίου (</w:t>
      </w:r>
      <w:r>
        <w:rPr>
          <w:rFonts w:ascii="Times New Roman" w:hAnsi="Times New Roman"/>
          <w:noProof/>
          <w:color w:val="auto"/>
        </w:rPr>
        <w:t>REFIT</w:t>
      </w:r>
      <w:r>
        <w:rPr>
          <w:rStyle w:val="FootnoteReference"/>
          <w:rFonts w:ascii="Times New Roman" w:hAnsi="Times New Roman"/>
          <w:noProof/>
          <w:color w:val="auto"/>
        </w:rPr>
        <w:footnoteReference w:id="5"/>
      </w:r>
      <w:r>
        <w:rPr>
          <w:rFonts w:ascii="Times New Roman" w:hAnsi="Times New Roman"/>
          <w:noProof/>
          <w:color w:val="auto"/>
          <w:lang w:val="el-GR"/>
        </w:rPr>
        <w:t xml:space="preserve">) της Ευρωπαϊκής Επιτροπής. Στόχος </w:t>
      </w:r>
      <w:r>
        <w:rPr>
          <w:rFonts w:ascii="Times New Roman" w:hAnsi="Times New Roman"/>
          <w:noProof/>
          <w:color w:val="auto"/>
        </w:rPr>
        <w:t>REFIT</w:t>
      </w:r>
      <w:r>
        <w:rPr>
          <w:rFonts w:ascii="Times New Roman" w:hAnsi="Times New Roman"/>
          <w:noProof/>
          <w:color w:val="auto"/>
          <w:lang w:val="el-GR"/>
        </w:rPr>
        <w:t xml:space="preserve"> του ελέγχου καταλληλότητας είναι να καταστήσει κατανοητό πώς αποδίδουν οι κανονισμοί ως προς τα επιδιωκόμενα οφέλη τους για τους πολίτες, τις επιχειρήσεις και την κοινωνία.</w:t>
      </w:r>
    </w:p>
    <w:p>
      <w:pPr>
        <w:pStyle w:val="Default"/>
        <w:jc w:val="both"/>
        <w:rPr>
          <w:rFonts w:ascii="Times New Roman" w:hAnsi="Times New Roman" w:cs="Times New Roman"/>
          <w:noProof/>
          <w:color w:val="auto"/>
          <w:lang w:val="el-GR"/>
        </w:rPr>
      </w:pPr>
    </w:p>
    <w:p>
      <w:pPr>
        <w:pStyle w:val="Default"/>
        <w:jc w:val="both"/>
        <w:rPr>
          <w:noProof/>
          <w:color w:val="auto"/>
          <w:lang w:val="el-GR"/>
        </w:rPr>
      </w:pPr>
      <w:r>
        <w:rPr>
          <w:rFonts w:ascii="Times New Roman" w:hAnsi="Times New Roman"/>
          <w:noProof/>
          <w:color w:val="auto"/>
          <w:lang w:val="el-GR"/>
        </w:rPr>
        <w:t xml:space="preserve">Το </w:t>
      </w:r>
      <w:r>
        <w:rPr>
          <w:rFonts w:ascii="Times New Roman" w:hAnsi="Times New Roman"/>
          <w:noProof/>
          <w:color w:val="auto"/>
        </w:rPr>
        <w:t>EMAS</w:t>
      </w:r>
      <w:r>
        <w:rPr>
          <w:rFonts w:ascii="Times New Roman" w:hAnsi="Times New Roman"/>
          <w:noProof/>
          <w:color w:val="auto"/>
          <w:lang w:val="el-GR"/>
        </w:rPr>
        <w:t xml:space="preserve"> και το οικολογικό σήμα της ΕΕ αποτελούν αναπόσπαστα μέρη του πλαισίου πολιτικής προϊόντων, όπως παρουσιάστηκε στην ανακοίνωση του 2008 όσον αφορά το σχέδιο δράσης για τη βιώσιμη κατανάλωση και παραγωγή και τη βιώσιμη βιομηχανική πολιτική</w:t>
      </w:r>
      <w:r>
        <w:rPr>
          <w:rStyle w:val="FootnoteReference"/>
          <w:rFonts w:ascii="Times New Roman" w:hAnsi="Times New Roman"/>
          <w:noProof/>
          <w:color w:val="auto"/>
        </w:rPr>
        <w:footnoteReference w:id="6"/>
      </w:r>
      <w:r>
        <w:rPr>
          <w:rFonts w:ascii="Times New Roman" w:hAnsi="Times New Roman"/>
          <w:noProof/>
          <w:color w:val="auto"/>
          <w:lang w:val="el-GR"/>
        </w:rPr>
        <w:t>. Έκτοτε, το 7</w:t>
      </w:r>
      <w:r>
        <w:rPr>
          <w:rFonts w:ascii="Times New Roman" w:hAnsi="Times New Roman"/>
          <w:noProof/>
          <w:color w:val="auto"/>
          <w:vertAlign w:val="superscript"/>
          <w:lang w:val="el-GR"/>
        </w:rPr>
        <w:t>ο</w:t>
      </w:r>
      <w:r>
        <w:rPr>
          <w:rFonts w:ascii="Times New Roman" w:hAnsi="Times New Roman"/>
          <w:noProof/>
          <w:color w:val="auto"/>
          <w:lang w:val="el-GR"/>
        </w:rPr>
        <w:t xml:space="preserve"> πρόγραμμα δράσης για το περιβάλλον</w:t>
      </w:r>
      <w:r>
        <w:rPr>
          <w:rStyle w:val="FootnoteReference"/>
          <w:rFonts w:ascii="Times New Roman" w:hAnsi="Times New Roman"/>
          <w:noProof/>
          <w:color w:val="auto"/>
        </w:rPr>
        <w:footnoteReference w:id="7"/>
      </w:r>
      <w:r>
        <w:rPr>
          <w:rFonts w:ascii="Times New Roman" w:hAnsi="Times New Roman"/>
          <w:noProof/>
          <w:color w:val="auto"/>
          <w:lang w:val="el-GR"/>
        </w:rPr>
        <w:t xml:space="preserve"> επισήμανε την ανάγκη για δημιουργία πλαισίου πολιτικής το οποίο θα δίνει πιο κατάλληλα μηνύματα στους παραγωγούς και τους καταναλωτές για την προαγωγή της αποδοτικής χρήσης των πόρων και της κυκλικής οικονομίας, ενώ η ανακοίνωση όσον αφορά το σχέδιο δράσης για την κυκλική οικονομία</w:t>
      </w:r>
      <w:r>
        <w:rPr>
          <w:rStyle w:val="FootnoteReference"/>
          <w:rFonts w:ascii="Times New Roman" w:hAnsi="Times New Roman"/>
          <w:noProof/>
          <w:color w:val="auto"/>
        </w:rPr>
        <w:footnoteReference w:id="8"/>
      </w:r>
      <w:r>
        <w:rPr>
          <w:rFonts w:ascii="Times New Roman" w:hAnsi="Times New Roman"/>
          <w:noProof/>
          <w:color w:val="auto"/>
          <w:lang w:val="el-GR"/>
        </w:rPr>
        <w:t xml:space="preserve"> επισήμανε την ανάγκη υποστήριξης των προσπαθειών τόσο στην παραγωγή όσο και στην κατανάλωση για την επίτευξη της μετάβασης σε μια κυκλική οικονομία –συμπεριλαμβανόμενης της καλύτερης χρήσης του </w:t>
      </w:r>
      <w:r>
        <w:rPr>
          <w:rFonts w:ascii="Times New Roman" w:hAnsi="Times New Roman"/>
          <w:noProof/>
          <w:color w:val="auto"/>
        </w:rPr>
        <w:t>EMAS</w:t>
      </w:r>
      <w:r>
        <w:rPr>
          <w:rFonts w:ascii="Times New Roman" w:hAnsi="Times New Roman"/>
          <w:noProof/>
          <w:color w:val="auto"/>
          <w:lang w:val="el-GR"/>
        </w:rPr>
        <w:t xml:space="preserve"> και του οικολογικού σήματος της ΕΕ. Παράλληλα, </w:t>
      </w:r>
      <w:r>
        <w:rPr>
          <w:noProof/>
          <w:color w:val="auto"/>
          <w:lang w:val="el-GR"/>
        </w:rPr>
        <w:t xml:space="preserve">οι κανονισμοί συμβάλλουν σαφώς στην επίτευξη του θεματολογίου του ΟΗΕ για το 2030 και των 17 στόχων του για τη βιώσιμη ανάπτυξη (ΣΒΑ), και πιο συγκεκριμένα του στόχου 12 </w:t>
      </w:r>
      <w:r>
        <w:rPr>
          <w:i/>
          <w:noProof/>
          <w:color w:val="auto"/>
          <w:lang w:val="el-GR"/>
        </w:rPr>
        <w:t>«Διασφάλιση μεθόδων βιώσιμης κατανάλωσης και παραγωγής»</w:t>
      </w:r>
      <w:r>
        <w:rPr>
          <w:noProof/>
          <w:color w:val="auto"/>
          <w:lang w:val="el-GR"/>
        </w:rPr>
        <w:t xml:space="preserve">. </w:t>
      </w:r>
    </w:p>
    <w:p>
      <w:pPr>
        <w:pStyle w:val="Default"/>
        <w:jc w:val="both"/>
        <w:rPr>
          <w:noProof/>
          <w:color w:val="auto"/>
          <w:lang w:val="el-GR"/>
        </w:rPr>
      </w:pPr>
    </w:p>
    <w:p>
      <w:pPr>
        <w:pStyle w:val="Default"/>
        <w:jc w:val="both"/>
        <w:rPr>
          <w:noProof/>
          <w:color w:val="auto"/>
          <w:lang w:val="el-GR"/>
        </w:rPr>
      </w:pPr>
      <w:r>
        <w:rPr>
          <w:noProof/>
          <w:color w:val="auto"/>
          <w:lang w:val="el-GR"/>
        </w:rPr>
        <w:t xml:space="preserve">Εκτός από την επίτευξη των περιβαλλοντικών στόχων, το </w:t>
      </w:r>
      <w:r>
        <w:rPr>
          <w:noProof/>
          <w:color w:val="auto"/>
        </w:rPr>
        <w:t>EMAS</w:t>
      </w:r>
      <w:r>
        <w:rPr>
          <w:noProof/>
          <w:color w:val="auto"/>
          <w:lang w:val="el-GR"/>
        </w:rPr>
        <w:t xml:space="preserve"> και το οικολογικό σήμα της ΕΕ έχουν τη δυνατότητα να υποστηρίξουν οικονομικούς στόχους. Για παράδειγμα, οι επιχειρήσεις, συμπεριλαμβανομένων των ΜΜΕ που συμμετέχουν στο </w:t>
      </w:r>
      <w:r>
        <w:rPr>
          <w:noProof/>
          <w:color w:val="auto"/>
        </w:rPr>
        <w:t>EMAS</w:t>
      </w:r>
      <w:r>
        <w:rPr>
          <w:noProof/>
          <w:color w:val="auto"/>
          <w:lang w:val="el-GR"/>
        </w:rPr>
        <w:t xml:space="preserve">, μπορούν να ενισχύουν τις οικονομικές επιδόσεις και την ανταγωνιστικότητά τους µέσω μιας πιο αποδοτικής χρήσης των πόρων τους. Εφόσον χρησιμοποιούνται ευρέως και εφαρμόζονται καταλλήλως, το </w:t>
      </w:r>
      <w:r>
        <w:rPr>
          <w:noProof/>
          <w:color w:val="auto"/>
        </w:rPr>
        <w:t>EMAS</w:t>
      </w:r>
      <w:r>
        <w:rPr>
          <w:noProof/>
          <w:color w:val="auto"/>
          <w:lang w:val="el-GR"/>
        </w:rPr>
        <w:t xml:space="preserve"> και το οικολογικό σήμα της ΕΕ μπορούν να προαγάγουν την καινοτομία και να επιφέρουν πραγματικές αλλαγές στην αγορά.</w:t>
      </w:r>
    </w:p>
    <w:p>
      <w:pPr>
        <w:pStyle w:val="Default"/>
        <w:jc w:val="both"/>
        <w:rPr>
          <w:noProof/>
          <w:color w:val="auto"/>
          <w:lang w:val="el-GR"/>
        </w:rPr>
      </w:pPr>
    </w:p>
    <w:p>
      <w:pPr>
        <w:pStyle w:val="Default"/>
        <w:jc w:val="both"/>
        <w:rPr>
          <w:rFonts w:ascii="Times New Roman" w:hAnsi="Times New Roman" w:cs="Times New Roman"/>
          <w:noProof/>
          <w:color w:val="auto"/>
          <w:lang w:val="el-GR"/>
        </w:rPr>
      </w:pPr>
      <w:r>
        <w:rPr>
          <w:rFonts w:ascii="Times New Roman" w:hAnsi="Times New Roman"/>
          <w:noProof/>
          <w:color w:val="auto"/>
          <w:lang w:val="el-GR"/>
        </w:rPr>
        <w:t xml:space="preserve">Η παρούσα έκθεση αξιολογεί τις επιδόσεις του </w:t>
      </w:r>
      <w:r>
        <w:rPr>
          <w:rFonts w:ascii="Times New Roman" w:hAnsi="Times New Roman"/>
          <w:noProof/>
          <w:color w:val="auto"/>
        </w:rPr>
        <w:t>EMAS</w:t>
      </w:r>
      <w:r>
        <w:rPr>
          <w:rFonts w:ascii="Times New Roman" w:hAnsi="Times New Roman"/>
          <w:noProof/>
          <w:color w:val="auto"/>
          <w:lang w:val="el-GR"/>
        </w:rPr>
        <w:t xml:space="preserve"> και του οικολογικού σήματος της ΕΕ σε αυτό το ευρύτερο πλαίσιο.</w:t>
      </w:r>
    </w:p>
    <w:p>
      <w:pPr>
        <w:pStyle w:val="Heading1"/>
        <w:jc w:val="both"/>
        <w:rPr>
          <w:noProof/>
          <w:color w:val="auto"/>
          <w:lang w:val="el-GR"/>
        </w:rPr>
      </w:pPr>
      <w:r>
        <w:rPr>
          <w:noProof/>
          <w:color w:val="auto"/>
          <w:lang w:val="el-GR"/>
        </w:rPr>
        <w:t>2. Αξιολόγηση συνάφειας, αποτελεσματικότητας, αποδοτικότητας, συνοχής και προστιθέμενης αξίας για την ΕΕ</w:t>
      </w:r>
    </w:p>
    <w:p>
      <w:pPr>
        <w:pStyle w:val="Default"/>
        <w:jc w:val="both"/>
        <w:rPr>
          <w:rFonts w:ascii="Times New Roman" w:hAnsi="Times New Roman" w:cs="Times New Roman"/>
          <w:noProof/>
          <w:color w:val="auto"/>
          <w:lang w:val="el-GR"/>
        </w:rPr>
      </w:pPr>
    </w:p>
    <w:p>
      <w:pPr>
        <w:pStyle w:val="Default"/>
        <w:jc w:val="both"/>
        <w:rPr>
          <w:rFonts w:ascii="Times New Roman" w:hAnsi="Times New Roman" w:cs="Times New Roman"/>
          <w:noProof/>
          <w:color w:val="auto"/>
          <w:lang w:val="el-GR"/>
        </w:rPr>
      </w:pPr>
      <w:r>
        <w:rPr>
          <w:rFonts w:ascii="Times New Roman" w:hAnsi="Times New Roman"/>
          <w:noProof/>
          <w:color w:val="auto"/>
          <w:lang w:val="el-GR"/>
        </w:rPr>
        <w:t xml:space="preserve">Το 2013 η Επιτροπή ανέλαβε να διενεργήσει έλεγχο καταλληλότητας των κανονισμών για το οικολογικό σήμα της ΕΕ και το </w:t>
      </w:r>
      <w:r>
        <w:rPr>
          <w:rFonts w:ascii="Times New Roman" w:hAnsi="Times New Roman"/>
          <w:noProof/>
          <w:color w:val="auto"/>
        </w:rPr>
        <w:t>EMAS</w:t>
      </w:r>
      <w:r>
        <w:rPr>
          <w:rFonts w:ascii="Times New Roman" w:hAnsi="Times New Roman"/>
          <w:noProof/>
          <w:color w:val="auto"/>
          <w:lang w:val="el-GR"/>
        </w:rPr>
        <w:t>. Σύμφωνα με τις κατευθυντήριες γραμμές της Επιτροπής για τη βελτίωση της νομοθεσίας, ο έλεγχος καταλληλότητας εξέτασε τα δύο συστήματα όσον αφορά τη συνάφεια, την αποτελεσματικότητα, την αποδοτικότητα, τη συνοχή και την προστιθέμενη αξία τους για την ΕΕ. Επίσης, κατέβαλε ιδιαίτερη προσοχή στην κατανόηση της απόδοσης των κανονισμών ως προς τα επιδιωκόμενα οφέλη για τους πολίτες, τις επιχειρήσεις και την κοινωνία.</w:t>
      </w:r>
    </w:p>
    <w:p>
      <w:pPr>
        <w:pStyle w:val="Text"/>
        <w:spacing w:before="240" w:after="240" w:line="240" w:lineRule="auto"/>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Όσον αφορά τη διαδικασία, ο έλεγχος καταλληλότητας υποστηρίχθηκε από δύο επιμέρους μελέτες αξιολόγησης</w:t>
      </w:r>
      <w:r>
        <w:rPr>
          <w:rStyle w:val="FootnoteReference"/>
          <w:rFonts w:ascii="Times New Roman" w:hAnsi="Times New Roman"/>
          <w:noProof/>
          <w:color w:val="auto"/>
          <w:sz w:val="24"/>
        </w:rPr>
        <w:footnoteReference w:id="9"/>
      </w:r>
      <w:r>
        <w:rPr>
          <w:rFonts w:ascii="Times New Roman" w:hAnsi="Times New Roman"/>
          <w:noProof/>
          <w:color w:val="auto"/>
          <w:sz w:val="24"/>
          <w:lang w:val="el-GR"/>
        </w:rPr>
        <w:t xml:space="preserve"> που βασίστηκαν στη συμμετοχή των ενδιαφερομένων, συμπεριλαμβανομένης ανοικτής δημόσιας διαβούλευσης σχετικά με το οικολογικό σήμα της ΕΕ και μιας στοχοθετημένης διαβούλευσης με τους ενδιαφερομένους σχετικά με το </w:t>
      </w:r>
      <w:r>
        <w:rPr>
          <w:rFonts w:ascii="Times New Roman" w:hAnsi="Times New Roman"/>
          <w:noProof/>
          <w:color w:val="auto"/>
          <w:sz w:val="24"/>
        </w:rPr>
        <w:t>EMAS</w:t>
      </w:r>
      <w:r>
        <w:rPr>
          <w:rFonts w:ascii="Times New Roman" w:hAnsi="Times New Roman"/>
          <w:noProof/>
          <w:color w:val="auto"/>
          <w:sz w:val="24"/>
          <w:lang w:val="el-GR"/>
        </w:rPr>
        <w:t>. Η διαβούλευση με τους ενδιαφερομένους ήταν ιδιαίτερα σημαντική, δεδομένου ότι ο εθελοντικός χαρακτήρας των συστημάτων και η έλλειψη στοιχείων για την ποσοτικοποίηση των επιπτώσεών τους περιόρισαν, σε κάποιο βαθμό, την πληρότητα του ελέγχου καταλληλότητας.  Η απουσία μιας από κοινού συμφωνημένης μεθόδου για την ποσοτικοποίηση και τη συγκριτική αξιολόγηση των περιβαλλοντικών επιδόσεων των οργανισμών και των προϊόντων έχει επίσης ως αποτέλεσμα να καθίσταται αδύνατη η συστηματική σύγκριση μεταξύ προϊόντων και οργανισμών που συμμετέχουν στα συστήματα και όσων δεν συμμετέχουν σε αυτά. Επιπλέον, οι κανονισμοί δεν έχουν καθορίσει σαφείς στόχους για την υιοθέτησή τους. Τουτέστιν, είναι αδύνατον να αξιολογηθεί ποσοτικά κατά πόσον τα συστήματα έχουν εκπληρώσει τον σκοπό τους.</w:t>
      </w:r>
    </w:p>
    <w:p>
      <w:pPr>
        <w:pStyle w:val="Text"/>
        <w:spacing w:before="240" w:after="240" w:line="240" w:lineRule="auto"/>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 xml:space="preserve">Εντούτοις, ο έλεγχος καταλληλότητας επέτρεψε την αξιολόγηση της λειτουργίας και των επιδόσεων των συστημάτων και, ως εκ τούτου, την άντληση συμπερασμάτων για όσα λειτουργούν και/ή δεν λειτουργούν σωστά. </w:t>
      </w:r>
    </w:p>
    <w:p>
      <w:pPr>
        <w:pStyle w:val="Text"/>
        <w:spacing w:before="240" w:after="240" w:line="240" w:lineRule="auto"/>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Τα κυριότερα ευρήματα σχετικά με τον τρόπο που οι κανονισμοί επιτυγχάνουν τους στόχους τους, όπως εντοπίστηκαν και διερευνήθηκαν βάσει της λογικής παρέμβασης του ελέγχου καταλληλότητας, είναι ότι οι κανονισμοί:</w:t>
      </w:r>
    </w:p>
    <w:p>
      <w:pPr>
        <w:pStyle w:val="ListParagraph"/>
        <w:numPr>
          <w:ilvl w:val="0"/>
          <w:numId w:val="2"/>
        </w:numPr>
        <w:spacing w:before="240" w:after="120"/>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 xml:space="preserve">Συμβάλλουν στη μείωση του περιβαλλοντικού αντικτύπου της κατανάλωσης και της παραγωγής </w:t>
      </w:r>
      <w:r>
        <w:rPr>
          <w:rFonts w:ascii="Times New Roman" w:hAnsi="Times New Roman"/>
          <w:i/>
          <w:noProof/>
          <w:color w:val="auto"/>
          <w:sz w:val="24"/>
          <w:lang w:val="el-GR"/>
        </w:rPr>
        <w:t>(γενικός στόχος).</w:t>
      </w:r>
    </w:p>
    <w:p>
      <w:pPr>
        <w:pStyle w:val="ListParagraph"/>
        <w:numPr>
          <w:ilvl w:val="0"/>
          <w:numId w:val="2"/>
        </w:numPr>
        <w:spacing w:before="120" w:after="240" w:line="240" w:lineRule="auto"/>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Συμβάλλουν στην προαγωγή της συνεχούς βελτίωσης των περιβαλλοντικών επιδόσεων των οργανισμών και προωθούν προϊόντα με μειωμένο περιβαλλοντικό αντίκτυπο (</w:t>
      </w:r>
      <w:r>
        <w:rPr>
          <w:rFonts w:ascii="Times New Roman" w:hAnsi="Times New Roman"/>
          <w:i/>
          <w:noProof/>
          <w:color w:val="auto"/>
          <w:sz w:val="24"/>
          <w:lang w:val="el-GR"/>
        </w:rPr>
        <w:t>ειδικοί στόχοι</w:t>
      </w:r>
      <w:r>
        <w:rPr>
          <w:rFonts w:ascii="Times New Roman" w:hAnsi="Times New Roman"/>
          <w:noProof/>
          <w:color w:val="auto"/>
          <w:sz w:val="24"/>
          <w:lang w:val="el-GR"/>
        </w:rPr>
        <w:t xml:space="preserve">) μέσω των κριτηρίων για το οικολογικό σήμα της ΕΕ και μέσω των περιβαλλοντικών βελτιώσεων που παρατηρούνται στους οργανισμούς που συμμετέχουν στο </w:t>
      </w:r>
      <w:r>
        <w:rPr>
          <w:rFonts w:ascii="Times New Roman" w:hAnsi="Times New Roman"/>
          <w:noProof/>
          <w:color w:val="auto"/>
          <w:sz w:val="24"/>
        </w:rPr>
        <w:t>EMAS</w:t>
      </w:r>
      <w:r>
        <w:rPr>
          <w:rFonts w:ascii="Times New Roman" w:hAnsi="Times New Roman"/>
          <w:noProof/>
          <w:color w:val="auto"/>
          <w:sz w:val="24"/>
          <w:lang w:val="el-GR"/>
        </w:rPr>
        <w:t xml:space="preserve"> </w:t>
      </w:r>
      <w:r>
        <w:rPr>
          <w:rFonts w:ascii="Times New Roman" w:hAnsi="Times New Roman"/>
          <w:i/>
          <w:noProof/>
          <w:color w:val="auto"/>
          <w:sz w:val="24"/>
          <w:lang w:val="el-GR"/>
        </w:rPr>
        <w:t>(επιχειρησιακός στόχος)</w:t>
      </w:r>
      <w:r>
        <w:rPr>
          <w:rFonts w:ascii="Times New Roman" w:hAnsi="Times New Roman"/>
          <w:noProof/>
          <w:color w:val="auto"/>
          <w:sz w:val="24"/>
          <w:lang w:val="el-GR"/>
        </w:rPr>
        <w:t xml:space="preserve">. </w:t>
      </w:r>
    </w:p>
    <w:p>
      <w:pPr>
        <w:spacing w:before="240" w:after="240"/>
        <w:jc w:val="both"/>
        <w:rPr>
          <w:rFonts w:eastAsia="Times New Roman"/>
          <w:noProof/>
          <w:lang w:val="el-GR"/>
        </w:rPr>
      </w:pPr>
      <w:r>
        <w:rPr>
          <w:noProof/>
          <w:lang w:val="el-GR"/>
        </w:rPr>
        <w:t>Ωστόσο, αυτή η συμβολή είναι:</w:t>
      </w:r>
    </w:p>
    <w:p>
      <w:pPr>
        <w:pStyle w:val="ListParagraph"/>
        <w:numPr>
          <w:ilvl w:val="0"/>
          <w:numId w:val="2"/>
        </w:numPr>
        <w:spacing w:before="240" w:after="240" w:line="240" w:lineRule="auto"/>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 xml:space="preserve">Σημαντικά περιορισμένη από τον βαθμό υιοθέτησης του </w:t>
      </w:r>
      <w:r>
        <w:rPr>
          <w:rFonts w:ascii="Times New Roman" w:hAnsi="Times New Roman"/>
          <w:noProof/>
          <w:color w:val="auto"/>
          <w:sz w:val="24"/>
        </w:rPr>
        <w:t>EMAS</w:t>
      </w:r>
      <w:r>
        <w:rPr>
          <w:rFonts w:ascii="Times New Roman" w:hAnsi="Times New Roman"/>
          <w:noProof/>
          <w:color w:val="auto"/>
          <w:sz w:val="24"/>
          <w:lang w:val="el-GR"/>
        </w:rPr>
        <w:t xml:space="preserve"> και του οικολογικού σήματος της ΕΕ από παραγωγούς και οργανισμούς </w:t>
      </w:r>
      <w:r>
        <w:rPr>
          <w:rFonts w:ascii="Times New Roman" w:hAnsi="Times New Roman"/>
          <w:i/>
          <w:noProof/>
          <w:color w:val="auto"/>
          <w:sz w:val="24"/>
          <w:lang w:val="el-GR"/>
        </w:rPr>
        <w:t>(επιχειρησιακός στόχος),</w:t>
      </w:r>
      <w:r>
        <w:rPr>
          <w:rFonts w:ascii="Times New Roman" w:hAnsi="Times New Roman"/>
          <w:noProof/>
          <w:color w:val="auto"/>
          <w:sz w:val="24"/>
          <w:lang w:val="el-GR"/>
        </w:rPr>
        <w:t xml:space="preserve"> η οποία συνδέεται σε μεγάλο βαθμό με την περιορισμένη ευαισθητοποίηση των εξωτερικών ενδιαφερομένων, συμπεριλαμβανομένων των επιχειρηματικών εταίρων, των καταναλωτών και των αρχών, με αποτέλεσμα την περιορισμένη επιβράβευση της συμμετοχής τόσο σε επίπεδο αγοράς όσο και σε διοικητικό/κανονιστικό επίπεδο, αλλά και λόγω των κριτηρίων συμμετοχής τα οποία, σε ορισμένες περιπτώσεις, ενδέχεται να είναι δύσκολο να πληροί ο κλάδος της ΕΕ.</w:t>
      </w:r>
    </w:p>
    <w:p>
      <w:pPr>
        <w:pStyle w:val="ListParagraph"/>
        <w:numPr>
          <w:ilvl w:val="0"/>
          <w:numId w:val="2"/>
        </w:numPr>
        <w:spacing w:before="240" w:after="240" w:line="240" w:lineRule="auto"/>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Περιορισμένη σε σχέση με το συνολικό εύρος των προκλήσεων που πρέπει να αντιμετωπιστούν, όσον αφορά τη μείωση του συνολικού περιβαλλοντικού αντικτύπου τόσο της κατανάλωσης όσο και της παραγωγής.</w:t>
      </w:r>
    </w:p>
    <w:p>
      <w:pPr>
        <w:pStyle w:val="Text"/>
        <w:spacing w:after="240" w:line="240" w:lineRule="auto"/>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 xml:space="preserve">Παρά τους ανωτέρω περιορισμούς, οι κανονισμοί παραμένουν </w:t>
      </w:r>
      <w:r>
        <w:rPr>
          <w:rFonts w:ascii="Times New Roman" w:hAnsi="Times New Roman"/>
          <w:b/>
          <w:noProof/>
          <w:color w:val="auto"/>
          <w:sz w:val="24"/>
          <w:lang w:val="el-GR"/>
        </w:rPr>
        <w:t>συναφείς</w:t>
      </w:r>
      <w:r>
        <w:rPr>
          <w:rFonts w:ascii="Times New Roman" w:hAnsi="Times New Roman"/>
          <w:noProof/>
          <w:color w:val="auto"/>
          <w:sz w:val="24"/>
          <w:lang w:val="el-GR"/>
        </w:rPr>
        <w:t>, ως μέρος δέσμης δράσεων πολιτικής της ΕΕ για την κάλυψη της αυξανόμενης ανάγκης για αλλαγή των υφιστάμενων μεθόδων κατανάλωσης και παραγωγής, έτσι όπως εκφράζεται στους τρέχοντες στρατηγικούς στόχους πολιτικής, μεταξύ άλλων στη στρατηγική «Ευρώπη 2020»</w:t>
      </w:r>
      <w:r>
        <w:rPr>
          <w:rStyle w:val="FootnoteReference"/>
          <w:rFonts w:ascii="Times New Roman" w:hAnsi="Times New Roman"/>
          <w:noProof/>
          <w:color w:val="auto"/>
          <w:sz w:val="24"/>
        </w:rPr>
        <w:footnoteReference w:id="10"/>
      </w:r>
      <w:r>
        <w:rPr>
          <w:rFonts w:ascii="Times New Roman" w:hAnsi="Times New Roman"/>
          <w:noProof/>
          <w:color w:val="auto"/>
          <w:sz w:val="24"/>
          <w:lang w:val="el-GR"/>
        </w:rPr>
        <w:t>, στον «Χάρτη πορείας για μια αποδοτική, από πλευράς πόρων, Ευρώπη»</w:t>
      </w:r>
      <w:r>
        <w:rPr>
          <w:rStyle w:val="FootnoteReference"/>
          <w:rFonts w:ascii="Times New Roman" w:hAnsi="Times New Roman"/>
          <w:noProof/>
          <w:color w:val="auto"/>
          <w:sz w:val="24"/>
        </w:rPr>
        <w:footnoteReference w:id="11"/>
      </w:r>
      <w:r>
        <w:rPr>
          <w:rFonts w:ascii="Times New Roman" w:hAnsi="Times New Roman"/>
          <w:noProof/>
          <w:color w:val="auto"/>
          <w:sz w:val="24"/>
          <w:lang w:val="el-GR"/>
        </w:rPr>
        <w:t>, στο 7</w:t>
      </w:r>
      <w:r>
        <w:rPr>
          <w:rFonts w:ascii="Times New Roman" w:hAnsi="Times New Roman"/>
          <w:noProof/>
          <w:color w:val="auto"/>
          <w:sz w:val="24"/>
          <w:vertAlign w:val="superscript"/>
          <w:lang w:val="el-GR"/>
        </w:rPr>
        <w:t>ο</w:t>
      </w:r>
      <w:r>
        <w:rPr>
          <w:rFonts w:ascii="Times New Roman" w:hAnsi="Times New Roman"/>
          <w:noProof/>
          <w:color w:val="auto"/>
          <w:sz w:val="24"/>
          <w:lang w:val="el-GR"/>
        </w:rPr>
        <w:t xml:space="preserve"> πρόγραμμα δράσης για το περιβάλλον</w:t>
      </w:r>
      <w:r>
        <w:rPr>
          <w:rStyle w:val="FootnoteReference"/>
          <w:rFonts w:ascii="Times New Roman" w:hAnsi="Times New Roman"/>
          <w:noProof/>
          <w:color w:val="auto"/>
          <w:sz w:val="24"/>
        </w:rPr>
        <w:footnoteReference w:id="12"/>
      </w:r>
      <w:r>
        <w:rPr>
          <w:rFonts w:ascii="Times New Roman" w:hAnsi="Times New Roman"/>
          <w:noProof/>
          <w:color w:val="auto"/>
          <w:sz w:val="24"/>
          <w:lang w:val="el-GR"/>
        </w:rPr>
        <w:t xml:space="preserve"> και στο σχέδιο δράσης της ΕΕ για την κυκλική οικονομία</w:t>
      </w:r>
      <w:r>
        <w:rPr>
          <w:rStyle w:val="FootnoteReference"/>
          <w:rFonts w:ascii="Times New Roman" w:hAnsi="Times New Roman"/>
          <w:noProof/>
          <w:color w:val="auto"/>
          <w:sz w:val="24"/>
        </w:rPr>
        <w:footnoteReference w:id="13"/>
      </w:r>
      <w:r>
        <w:rPr>
          <w:rFonts w:ascii="Times New Roman" w:hAnsi="Times New Roman"/>
          <w:noProof/>
          <w:color w:val="auto"/>
          <w:sz w:val="24"/>
          <w:lang w:val="el-GR"/>
        </w:rPr>
        <w:t xml:space="preserve">. Μεταξύ των μέσων πολιτικής της ΕΕ, το </w:t>
      </w:r>
      <w:r>
        <w:rPr>
          <w:rFonts w:ascii="Times New Roman" w:hAnsi="Times New Roman"/>
          <w:noProof/>
          <w:color w:val="auto"/>
          <w:sz w:val="24"/>
        </w:rPr>
        <w:t>EMAS</w:t>
      </w:r>
      <w:r>
        <w:rPr>
          <w:rFonts w:ascii="Times New Roman" w:hAnsi="Times New Roman"/>
          <w:noProof/>
          <w:color w:val="auto"/>
          <w:sz w:val="24"/>
          <w:lang w:val="el-GR"/>
        </w:rPr>
        <w:t xml:space="preserve"> και το οικολογικό σήμα της ΕΕ (μαζί με τις πράσινες δημόσιες συμβάσεις) είναι μοναδικά, διότι στόχος τους είναι η αντιμετώπιση του περιβαλλοντικού αντικτύπου σε όλη τη διάρκεια του κύκλου ζωής των προϊόντων, συμπεριλαμβανομένων των ολοένα και περισσότερων επιπτώσεων από την ευρωπαϊκή κατανάλωση που πραγματοποιείται σε χώρες εκτός της ΕΕ όπου συχνά παράγονται προϊόντα και υλικά και από τις οποίες αυτά εισάγονται στην ΕΕ. Για το </w:t>
      </w:r>
      <w:r>
        <w:rPr>
          <w:rFonts w:ascii="Times New Roman" w:hAnsi="Times New Roman"/>
          <w:noProof/>
          <w:color w:val="auto"/>
          <w:sz w:val="24"/>
        </w:rPr>
        <w:t>EMAS</w:t>
      </w:r>
      <w:r>
        <w:rPr>
          <w:rFonts w:ascii="Times New Roman" w:hAnsi="Times New Roman"/>
          <w:noProof/>
          <w:color w:val="auto"/>
          <w:sz w:val="24"/>
          <w:lang w:val="el-GR"/>
        </w:rPr>
        <w:t xml:space="preserve">, τίθεται ζήτημα όσον αφορά τη μελλοντική συνάφειά του, αφού το πρότυπο </w:t>
      </w:r>
      <w:r>
        <w:rPr>
          <w:rFonts w:ascii="Times New Roman" w:hAnsi="Times New Roman"/>
          <w:noProof/>
          <w:color w:val="auto"/>
          <w:sz w:val="24"/>
        </w:rPr>
        <w:t>ISO</w:t>
      </w:r>
      <w:r>
        <w:rPr>
          <w:rFonts w:ascii="Times New Roman" w:hAnsi="Times New Roman"/>
          <w:noProof/>
          <w:color w:val="auto"/>
          <w:sz w:val="24"/>
          <w:lang w:val="el-GR"/>
        </w:rPr>
        <w:t xml:space="preserve"> 14001, το οποίο αναθεωρήθηκε το 2015, υιοθετεί ολοένα και περισσότερα στοιχεία του, όχι όμως ακόμη το σύνολο αυτών.</w:t>
      </w:r>
    </w:p>
    <w:p>
      <w:pPr>
        <w:pStyle w:val="Text"/>
        <w:spacing w:after="240" w:line="240" w:lineRule="auto"/>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 xml:space="preserve">Οι κανονισμοί είναι </w:t>
      </w:r>
      <w:r>
        <w:rPr>
          <w:rFonts w:ascii="Times New Roman" w:hAnsi="Times New Roman"/>
          <w:b/>
          <w:noProof/>
          <w:color w:val="auto"/>
          <w:sz w:val="24"/>
          <w:lang w:val="el-GR"/>
        </w:rPr>
        <w:t>μερικώς αποτελεσματικοί</w:t>
      </w:r>
      <w:r>
        <w:rPr>
          <w:rFonts w:ascii="Times New Roman" w:hAnsi="Times New Roman"/>
          <w:noProof/>
          <w:color w:val="auto"/>
          <w:sz w:val="24"/>
          <w:lang w:val="el-GR"/>
        </w:rPr>
        <w:t>, επειδή εξασφαλίζουν:</w:t>
      </w:r>
    </w:p>
    <w:p>
      <w:pPr>
        <w:pStyle w:val="ListParagraph"/>
        <w:numPr>
          <w:ilvl w:val="0"/>
          <w:numId w:val="4"/>
        </w:numPr>
        <w:spacing w:after="120" w:line="240" w:lineRule="auto"/>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Βελτιωμένες περιβαλλοντικές επιδόσεις για τα προϊόντα που φέρουν το οικολογικό σήμα της ΕΕ. Ωστόσο, ο ποσοτικός δείκτης αναφοράς της περιβαλλοντικής αριστείας (περιβαλλοντικές επιδόσεις που αντιστοιχούν στο ανώτερο 10-20</w:t>
      </w:r>
      <w:r>
        <w:rPr>
          <w:rFonts w:ascii="Times New Roman" w:hAnsi="Times New Roman"/>
          <w:noProof/>
          <w:color w:val="auto"/>
          <w:sz w:val="24"/>
        </w:rPr>
        <w:t> </w:t>
      </w:r>
      <w:r>
        <w:rPr>
          <w:rFonts w:ascii="Times New Roman" w:hAnsi="Times New Roman"/>
          <w:noProof/>
          <w:color w:val="auto"/>
          <w:sz w:val="24"/>
          <w:lang w:val="el-GR"/>
        </w:rPr>
        <w:t>% των προϊόντων στην αγορά) δεν μπορεί να επαληθευτεί, ελλείψει συμφωνημένης μεθοδολογίας σύγκρισης και διαθέσιμων πλήρων στοιχείων. Επίσης, σε ορισμένες περιπτώσεις, όταν η διάρκεια ισχύος των κριτηρίων του οικολογικού σήματος της ΕΕ παρατείνεται χωρίς διεξοδική ανάλυση της εξέλιξης της κατάστασης της αγοράς, το οικολογικό σήμα της ΕΕ μπορεί να μην αντικατοπτρίζει πλέον την περιβαλλοντική αριστεία.</w:t>
      </w:r>
    </w:p>
    <w:p>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jc w:val="both"/>
        <w:rPr>
          <w:noProof/>
          <w:color w:val="auto"/>
          <w:lang w:val="el-GR"/>
        </w:rPr>
      </w:pPr>
      <w:r>
        <w:rPr>
          <w:rFonts w:ascii="Times New Roman" w:hAnsi="Times New Roman"/>
          <w:noProof/>
          <w:color w:val="auto"/>
          <w:sz w:val="24"/>
          <w:lang w:val="el-GR"/>
        </w:rPr>
        <w:t xml:space="preserve">Βελτιωμένες περιβαλλοντικές επιδόσεις στην πλειονότητα των βασικών δεικτών, μεταξύ άλλων όσον αφορά την ενέργεια, το νερό και το </w:t>
      </w:r>
      <w:r>
        <w:rPr>
          <w:rFonts w:ascii="Times New Roman" w:hAnsi="Times New Roman"/>
          <w:noProof/>
          <w:color w:val="auto"/>
          <w:sz w:val="24"/>
        </w:rPr>
        <w:t>CO</w:t>
      </w:r>
      <w:r>
        <w:rPr>
          <w:rFonts w:ascii="Times New Roman" w:hAnsi="Times New Roman"/>
          <w:noProof/>
          <w:color w:val="auto"/>
          <w:sz w:val="24"/>
          <w:vertAlign w:val="subscript"/>
          <w:lang w:val="el-GR"/>
        </w:rPr>
        <w:t>2</w:t>
      </w:r>
      <w:r>
        <w:rPr>
          <w:rFonts w:ascii="Times New Roman" w:hAnsi="Times New Roman"/>
          <w:noProof/>
          <w:color w:val="auto"/>
          <w:sz w:val="24"/>
          <w:lang w:val="el-GR"/>
        </w:rPr>
        <w:t xml:space="preserve"> για τους οργανισμούς με πιστοποίηση </w:t>
      </w:r>
      <w:r>
        <w:rPr>
          <w:rFonts w:ascii="Times New Roman" w:hAnsi="Times New Roman"/>
          <w:noProof/>
          <w:color w:val="auto"/>
          <w:sz w:val="24"/>
        </w:rPr>
        <w:t>EMAS</w:t>
      </w:r>
      <w:r>
        <w:rPr>
          <w:rFonts w:ascii="Times New Roman" w:hAnsi="Times New Roman"/>
          <w:noProof/>
          <w:color w:val="auto"/>
          <w:sz w:val="24"/>
          <w:lang w:val="el-GR"/>
        </w:rPr>
        <w:t>. Για τους βασικούς δείκτες που αφορούν τα απόβλητα και τα υλικά, η εικόνα είναι ανάμικτη, με πάνω από το 75</w:t>
      </w:r>
      <w:r>
        <w:rPr>
          <w:rFonts w:ascii="Times New Roman" w:hAnsi="Times New Roman"/>
          <w:noProof/>
          <w:color w:val="auto"/>
          <w:sz w:val="24"/>
        </w:rPr>
        <w:t> </w:t>
      </w:r>
      <w:r>
        <w:rPr>
          <w:rFonts w:ascii="Times New Roman" w:hAnsi="Times New Roman"/>
          <w:noProof/>
          <w:color w:val="auto"/>
          <w:sz w:val="24"/>
          <w:lang w:val="el-GR"/>
        </w:rPr>
        <w:t xml:space="preserve">% των καταχωρισμένων στο </w:t>
      </w:r>
      <w:r>
        <w:rPr>
          <w:rFonts w:ascii="Times New Roman" w:hAnsi="Times New Roman"/>
          <w:noProof/>
          <w:color w:val="auto"/>
          <w:sz w:val="24"/>
        </w:rPr>
        <w:t>EMAS</w:t>
      </w:r>
      <w:r>
        <w:rPr>
          <w:rFonts w:ascii="Times New Roman" w:hAnsi="Times New Roman"/>
          <w:noProof/>
          <w:color w:val="auto"/>
          <w:sz w:val="24"/>
          <w:lang w:val="el-GR"/>
        </w:rPr>
        <w:t xml:space="preserve"> επιχειρήσεων να σημειώνουν αφενός θετικό αντίκτυπο στις επιδόσεις για τα απόβλητα και τα υλικά, και αφετέρου αρνητική μέση επίδοση υπολογισμένη βάσει δείγματος εκθέσεων όσον αφορά τους βασικούς δείκτες.  Σύμφωνα με μελέτες, σε γενικές γραμμές, το </w:t>
      </w:r>
      <w:r>
        <w:rPr>
          <w:rFonts w:ascii="Times New Roman" w:hAnsi="Times New Roman"/>
          <w:noProof/>
          <w:color w:val="auto"/>
          <w:sz w:val="24"/>
        </w:rPr>
        <w:t>EMAS</w:t>
      </w:r>
      <w:r>
        <w:rPr>
          <w:rFonts w:ascii="Times New Roman" w:hAnsi="Times New Roman"/>
          <w:noProof/>
          <w:color w:val="auto"/>
          <w:sz w:val="24"/>
          <w:lang w:val="el-GR"/>
        </w:rPr>
        <w:t xml:space="preserve"> επιτυγχάνει μεγαλύτερη βελτίωση στις περιβαλλοντικές επιδόσεις σε σύγκριση με το πρότυπο </w:t>
      </w:r>
      <w:r>
        <w:rPr>
          <w:rFonts w:ascii="Times New Roman" w:hAnsi="Times New Roman"/>
          <w:noProof/>
          <w:color w:val="auto"/>
          <w:sz w:val="24"/>
        </w:rPr>
        <w:t>ISO</w:t>
      </w:r>
      <w:r>
        <w:rPr>
          <w:rFonts w:ascii="Times New Roman" w:hAnsi="Times New Roman"/>
          <w:noProof/>
          <w:color w:val="auto"/>
          <w:sz w:val="24"/>
          <w:lang w:val="el-GR"/>
        </w:rPr>
        <w:t xml:space="preserve"> 14001</w:t>
      </w:r>
      <w:r>
        <w:rPr>
          <w:rStyle w:val="FootnoteReference"/>
          <w:rFonts w:ascii="Times New Roman" w:hAnsi="Times New Roman"/>
          <w:noProof/>
          <w:color w:val="auto"/>
          <w:sz w:val="24"/>
        </w:rPr>
        <w:footnoteReference w:id="14"/>
      </w:r>
      <w:r>
        <w:rPr>
          <w:rFonts w:ascii="Times New Roman" w:hAnsi="Times New Roman"/>
          <w:noProof/>
          <w:color w:val="auto"/>
          <w:sz w:val="24"/>
          <w:lang w:val="el-GR"/>
        </w:rPr>
        <w:t>.</w:t>
      </w:r>
    </w:p>
    <w:p>
      <w:pPr>
        <w:pStyle w:val="Text"/>
        <w:spacing w:after="240" w:line="240" w:lineRule="auto"/>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Ωστόσο, η συνολική αποτελεσματικότητα των μέσων είναι περιορισμένη λόγω της περιορισμένης υιοθέτησης:</w:t>
      </w:r>
    </w:p>
    <w:p>
      <w:pPr>
        <w:pStyle w:val="ListParagraph"/>
        <w:numPr>
          <w:ilvl w:val="0"/>
          <w:numId w:val="4"/>
        </w:numPr>
        <w:spacing w:after="240" w:line="240" w:lineRule="auto"/>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 xml:space="preserve">Η υιοθέτηση του </w:t>
      </w:r>
      <w:r>
        <w:rPr>
          <w:rFonts w:ascii="Times New Roman" w:hAnsi="Times New Roman"/>
          <w:noProof/>
          <w:color w:val="auto"/>
          <w:sz w:val="24"/>
        </w:rPr>
        <w:t>EMAS</w:t>
      </w:r>
      <w:r>
        <w:rPr>
          <w:rFonts w:ascii="Times New Roman" w:hAnsi="Times New Roman"/>
          <w:noProof/>
          <w:color w:val="auto"/>
          <w:sz w:val="24"/>
          <w:lang w:val="el-GR"/>
        </w:rPr>
        <w:t xml:space="preserve"> και του οικολογικού σήματος της ΕΕ δεν επαρκεί ώστε να επιτύχει σημαντικές αλλαγές στις γενικές μεθόδους κατανάλωσης και παραγωγής και, μέσω αυτών, να επιτευχθούν σημαντικά περιβαλλοντικά οφέλη πέραν των επιχειρήσεων και των οργανισμών που αποφασίζουν να ενταχθούν στα συστήματα. Η περιορισμένη υιοθέτηση και για τους δύο κανονισμούς μπορεί να συνδέεται με έλλειψη ευαισθητοποίησης και αναγνώρισης από την αγορά· με έλλειψη αναγνώρισης στη δημόσια πολιτική· και με το κόστος συμμόρφωσης και εξακρίβωσης της συμμόρφωσης.</w:t>
      </w:r>
    </w:p>
    <w:p>
      <w:pPr>
        <w:pStyle w:val="Text"/>
        <w:spacing w:before="240" w:after="240" w:line="240" w:lineRule="auto"/>
        <w:ind w:left="720"/>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Για το οικολογικό σήμα της ΕΕ, επισημαίνονται τα εξής: έλλειψη προωθητικών δραστηριοτήτων σε όλα τα επίπεδα, από την Επιτροπή, τα κράτη μέλη και (εθελοντική δράση) από τις εταιρείες· υψηλός αριθμός και αυστηρότητα των απαιτήσεων για τα κριτήρια· η πρόκληση της συμμόρφωσης με το άρθρο</w:t>
      </w:r>
      <w:r>
        <w:rPr>
          <w:rFonts w:ascii="Times New Roman" w:hAnsi="Times New Roman"/>
          <w:noProof/>
          <w:color w:val="auto"/>
          <w:sz w:val="24"/>
        </w:rPr>
        <w:t> </w:t>
      </w:r>
      <w:r>
        <w:rPr>
          <w:rFonts w:ascii="Times New Roman" w:hAnsi="Times New Roman"/>
          <w:noProof/>
          <w:color w:val="auto"/>
          <w:sz w:val="24"/>
          <w:lang w:val="el-GR"/>
        </w:rPr>
        <w:t>6 παράγραφος</w:t>
      </w:r>
      <w:r>
        <w:rPr>
          <w:rFonts w:ascii="Times New Roman" w:hAnsi="Times New Roman"/>
          <w:noProof/>
          <w:color w:val="auto"/>
          <w:sz w:val="24"/>
        </w:rPr>
        <w:t> </w:t>
      </w:r>
      <w:r>
        <w:rPr>
          <w:rFonts w:ascii="Times New Roman" w:hAnsi="Times New Roman"/>
          <w:noProof/>
          <w:color w:val="auto"/>
          <w:sz w:val="24"/>
          <w:lang w:val="el-GR"/>
        </w:rPr>
        <w:t xml:space="preserve">6, που απαγορεύει τη χρήση επικίνδυνων ουσιών. Επίσης, υπάρχουν σημαντικές διαφορές ως προς την υιοθέτηση του σήματος για διαφορετικούς τύπους προϊόντων, με αρκετές ομάδες προϊόντων να χαρακτηρίζονται από καθόλου έως οριακή μόνο υιοθέτηση, γεγονός που απεικονίζει, αφενός, τα εμπόδια για συγκεκριμένες ομάδες προϊόντων και, αφετέρου, την έλλειψη στρατηγικής προσέγγισης με σκοπό την επιλογή ομάδων για τις οποίες πρέπει να αναπτυχθούν ή να αναθεωρηθούν κριτήρια. </w:t>
      </w:r>
    </w:p>
    <w:p>
      <w:pPr>
        <w:pStyle w:val="Text"/>
        <w:spacing w:before="240" w:after="240" w:line="240" w:lineRule="auto"/>
        <w:ind w:left="720"/>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 xml:space="preserve">Όσον αφορά το </w:t>
      </w:r>
      <w:r>
        <w:rPr>
          <w:rFonts w:ascii="Times New Roman" w:hAnsi="Times New Roman"/>
          <w:noProof/>
          <w:color w:val="auto"/>
          <w:sz w:val="24"/>
        </w:rPr>
        <w:t>EMAS</w:t>
      </w:r>
      <w:r>
        <w:rPr>
          <w:rFonts w:ascii="Times New Roman" w:hAnsi="Times New Roman"/>
          <w:noProof/>
          <w:color w:val="auto"/>
          <w:sz w:val="24"/>
          <w:lang w:val="el-GR"/>
        </w:rPr>
        <w:t>, τα πρόσθετα εμπόδια είναι: έλλειψη ενσωμάτωσης στη δημόσια πολιτική υπό μορφή κινήτρων και ελάφρυνσης από άλλες κανονιστικές απαιτήσεις («κανονιστική ελάφρυνση»)· έλλειψη προωθητικών δραστηριοτήτων, και πάλι σε όλα τα επίπεδα· η ύπαρξη ενός παγκοσμίως αναγνωρισμένου και λιγότερο απαιτητικού (όσον αφορά την υποβολή εκθέσεων/επικύρωση) συστήματος περιβαλλοντικής διαχείρισης (</w:t>
      </w:r>
      <w:r>
        <w:rPr>
          <w:rFonts w:ascii="Times New Roman" w:hAnsi="Times New Roman"/>
          <w:noProof/>
          <w:color w:val="auto"/>
          <w:sz w:val="24"/>
        </w:rPr>
        <w:t>ISO</w:t>
      </w:r>
      <w:r>
        <w:rPr>
          <w:rFonts w:ascii="Times New Roman" w:hAnsi="Times New Roman"/>
          <w:noProof/>
          <w:color w:val="auto"/>
          <w:sz w:val="24"/>
          <w:lang w:val="el-GR"/>
        </w:rPr>
        <w:t xml:space="preserve"> 14001), που κατέχει ηγετική θέση στην αγορά.</w:t>
      </w:r>
    </w:p>
    <w:p>
      <w:pPr>
        <w:pStyle w:val="Text"/>
        <w:spacing w:before="240" w:after="240" w:line="240" w:lineRule="auto"/>
        <w:jc w:val="both"/>
        <w:rPr>
          <w:rFonts w:ascii="Times New Roman" w:hAnsi="Times New Roman" w:cs="Times New Roman"/>
          <w:noProof/>
          <w:color w:val="auto"/>
          <w:sz w:val="24"/>
          <w:szCs w:val="24"/>
          <w:lang w:val="el-GR"/>
        </w:rPr>
      </w:pPr>
      <w:r>
        <w:rPr>
          <w:rFonts w:ascii="Times New Roman" w:hAnsi="Times New Roman"/>
          <w:noProof/>
          <w:color w:val="auto"/>
          <w:sz w:val="24"/>
          <w:lang w:val="el-GR"/>
        </w:rPr>
        <w:t>Η αποτελεσματικότητα των δύο συστημάτων ποικίλλει μεταξύ των κρατών μελών, με κάποια κράτη να σημειώνουν καθόλου έως πολύ χαμηλή υιοθέτηση, και άλλα —όπως η Γερμανία και η Ισπανία με 1</w:t>
      </w:r>
      <w:r>
        <w:rPr>
          <w:rFonts w:ascii="Times New Roman" w:hAnsi="Times New Roman"/>
          <w:noProof/>
          <w:color w:val="auto"/>
          <w:sz w:val="24"/>
        </w:rPr>
        <w:t> </w:t>
      </w:r>
      <w:r>
        <w:rPr>
          <w:rFonts w:ascii="Times New Roman" w:hAnsi="Times New Roman"/>
          <w:noProof/>
          <w:color w:val="auto"/>
          <w:sz w:val="24"/>
          <w:lang w:val="el-GR"/>
        </w:rPr>
        <w:t>882 και 1</w:t>
      </w:r>
      <w:r>
        <w:rPr>
          <w:rFonts w:ascii="Times New Roman" w:hAnsi="Times New Roman"/>
          <w:noProof/>
          <w:color w:val="auto"/>
          <w:sz w:val="24"/>
        </w:rPr>
        <w:t> </w:t>
      </w:r>
      <w:r>
        <w:rPr>
          <w:rFonts w:ascii="Times New Roman" w:hAnsi="Times New Roman"/>
          <w:noProof/>
          <w:color w:val="auto"/>
          <w:sz w:val="24"/>
          <w:lang w:val="el-GR"/>
        </w:rPr>
        <w:t xml:space="preserve">289 καταχωρισμένους στο </w:t>
      </w:r>
      <w:r>
        <w:rPr>
          <w:rFonts w:ascii="Times New Roman" w:hAnsi="Times New Roman"/>
          <w:noProof/>
          <w:color w:val="auto"/>
          <w:sz w:val="24"/>
        </w:rPr>
        <w:t>EMAS</w:t>
      </w:r>
      <w:r>
        <w:rPr>
          <w:rFonts w:ascii="Times New Roman" w:hAnsi="Times New Roman"/>
          <w:noProof/>
          <w:color w:val="auto"/>
          <w:sz w:val="24"/>
          <w:lang w:val="el-GR"/>
        </w:rPr>
        <w:t xml:space="preserve"> χώρους δραστηριοτήτων αντίστοιχα, και η Γαλλία με 555 και η Ιταλία με 359 καταχωρισμένες άδειες οικολογικού σήματος της ΕΕ— να επιτυγχάνουν καλύτερα αποτελέσματα. Αυτές οι διαφορές μπορούν να αποδοθούν κυρίως στο επίπεδο των πόρων που επενδύουν τα κράτη μέλη, καθώς και στην ανάληψη ή μη πρωτοβουλιών για την ενσωμάτωση των μέσων σε ένα ευρύτερο σύνολο περιβαλλοντικών πολιτικών. Για παράδειγμα, η σύνδεση του </w:t>
      </w:r>
      <w:r>
        <w:rPr>
          <w:rFonts w:ascii="Times New Roman" w:hAnsi="Times New Roman"/>
          <w:noProof/>
          <w:color w:val="auto"/>
          <w:sz w:val="24"/>
        </w:rPr>
        <w:t>EMAS</w:t>
      </w:r>
      <w:r>
        <w:rPr>
          <w:rFonts w:ascii="Times New Roman" w:hAnsi="Times New Roman"/>
          <w:noProof/>
          <w:color w:val="auto"/>
          <w:sz w:val="24"/>
          <w:lang w:val="el-GR"/>
        </w:rPr>
        <w:t xml:space="preserve"> με τους κανόνες σχετικά με τις περιβαλλοντικές επιθεωρήσεις θα μπορούσε να αποτελέσει κίνητρο για την υιοθέτηση του </w:t>
      </w:r>
      <w:r>
        <w:rPr>
          <w:rFonts w:ascii="Times New Roman" w:hAnsi="Times New Roman"/>
          <w:noProof/>
          <w:color w:val="auto"/>
          <w:sz w:val="24"/>
        </w:rPr>
        <w:t>EMAS</w:t>
      </w:r>
      <w:r>
        <w:rPr>
          <w:rFonts w:ascii="Times New Roman" w:hAnsi="Times New Roman"/>
          <w:noProof/>
          <w:color w:val="auto"/>
          <w:sz w:val="24"/>
          <w:lang w:val="el-GR"/>
        </w:rPr>
        <w:t xml:space="preserve"> και την επίτευξη «κανονιστικής ελάφρυνσης»</w:t>
      </w:r>
      <w:r>
        <w:rPr>
          <w:rStyle w:val="FootnoteReference"/>
          <w:rFonts w:ascii="Times New Roman" w:hAnsi="Times New Roman"/>
          <w:noProof/>
          <w:color w:val="auto"/>
          <w:sz w:val="24"/>
        </w:rPr>
        <w:footnoteReference w:id="15"/>
      </w:r>
      <w:r>
        <w:rPr>
          <w:rFonts w:ascii="Times New Roman" w:hAnsi="Times New Roman"/>
          <w:noProof/>
          <w:color w:val="auto"/>
          <w:sz w:val="24"/>
          <w:lang w:val="el-GR"/>
        </w:rPr>
        <w:t>· ομοίως, θα μπορούσαν να δοθούν κίνητρα για την υιοθέτηση του οικολογικού σήματος της ΕΕ μέσω της συσχέτισής του με πράσινες δημόσιες συμβάσεις.</w:t>
      </w:r>
    </w:p>
    <w:p>
      <w:pPr>
        <w:pStyle w:val="Text"/>
        <w:spacing w:before="240" w:after="240" w:line="240" w:lineRule="auto"/>
        <w:jc w:val="both"/>
        <w:rPr>
          <w:rFonts w:ascii="Times New Roman" w:hAnsi="Times New Roman"/>
          <w:noProof/>
          <w:color w:val="auto"/>
          <w:sz w:val="24"/>
          <w:lang w:val="el-GR"/>
        </w:rPr>
      </w:pPr>
      <w:r>
        <w:rPr>
          <w:rFonts w:ascii="Times New Roman" w:hAnsi="Times New Roman"/>
          <w:noProof/>
          <w:color w:val="auto"/>
          <w:sz w:val="24"/>
          <w:lang w:val="el-GR"/>
        </w:rPr>
        <w:t xml:space="preserve">Με βάση τα τρέχοντα περιορισμένα στοιχεία για το κόστος και το όφελος, δεν είναι δυνατόν να απαντηθεί το ερώτημα της </w:t>
      </w:r>
      <w:r>
        <w:rPr>
          <w:rFonts w:ascii="Times New Roman" w:hAnsi="Times New Roman"/>
          <w:b/>
          <w:noProof/>
          <w:color w:val="auto"/>
          <w:sz w:val="24"/>
          <w:lang w:val="el-GR"/>
        </w:rPr>
        <w:t>αποδοτικότητας</w:t>
      </w:r>
      <w:r>
        <w:rPr>
          <w:rFonts w:ascii="Times New Roman" w:hAnsi="Times New Roman"/>
          <w:noProof/>
          <w:color w:val="auto"/>
          <w:sz w:val="24"/>
          <w:lang w:val="el-GR"/>
        </w:rPr>
        <w:t xml:space="preserve">. Υπάρχουν στοιχεία που συνδέουν τις πραγματοποιούμενες επενδύσεις (κόστος) και τα αποτελέσματα που παράγονται και, σύμφωνα με γενικές εκτιμήσεις, το κόστος λειτουργίας του συστήματος είναι σχετικά χαμηλό. </w:t>
      </w:r>
    </w:p>
    <w:p>
      <w:pPr>
        <w:pStyle w:val="ListParagraph"/>
        <w:numPr>
          <w:ilvl w:val="0"/>
          <w:numId w:val="4"/>
        </w:numPr>
        <w:spacing w:before="240" w:after="240" w:line="240" w:lineRule="auto"/>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Με βάση μια κατά προσέγγιση εκτίμηση, το μέσο ετήσιο κόστος διαχείρισης για την Ευρωπαϊκή Επιτροπή (δηλ. το κόστος χωρίς τις δαπάνες προσωπικού) ανέρχεται σε 500</w:t>
      </w:r>
      <w:r>
        <w:rPr>
          <w:rFonts w:ascii="Times New Roman" w:hAnsi="Times New Roman"/>
          <w:noProof/>
          <w:color w:val="auto"/>
          <w:sz w:val="24"/>
        </w:rPr>
        <w:t> </w:t>
      </w:r>
      <w:r>
        <w:rPr>
          <w:rFonts w:ascii="Times New Roman" w:hAnsi="Times New Roman"/>
          <w:noProof/>
          <w:color w:val="auto"/>
          <w:sz w:val="24"/>
          <w:lang w:val="el-GR"/>
        </w:rPr>
        <w:t>000</w:t>
      </w:r>
      <w:r>
        <w:rPr>
          <w:rFonts w:ascii="Times New Roman" w:hAnsi="Times New Roman"/>
          <w:noProof/>
          <w:color w:val="auto"/>
          <w:sz w:val="24"/>
        </w:rPr>
        <w:t> EUR</w:t>
      </w:r>
      <w:r>
        <w:rPr>
          <w:rFonts w:ascii="Times New Roman" w:hAnsi="Times New Roman"/>
          <w:noProof/>
          <w:color w:val="auto"/>
          <w:sz w:val="24"/>
          <w:lang w:val="el-GR"/>
        </w:rPr>
        <w:t xml:space="preserve"> για το </w:t>
      </w:r>
      <w:r>
        <w:rPr>
          <w:rFonts w:ascii="Times New Roman" w:hAnsi="Times New Roman"/>
          <w:noProof/>
          <w:color w:val="auto"/>
          <w:sz w:val="24"/>
        </w:rPr>
        <w:t>EMAS</w:t>
      </w:r>
      <w:r>
        <w:rPr>
          <w:rFonts w:ascii="Times New Roman" w:hAnsi="Times New Roman"/>
          <w:noProof/>
          <w:color w:val="auto"/>
          <w:sz w:val="24"/>
          <w:lang w:val="el-GR"/>
        </w:rPr>
        <w:t xml:space="preserve"> και 1</w:t>
      </w:r>
      <w:r>
        <w:rPr>
          <w:rFonts w:ascii="Times New Roman" w:hAnsi="Times New Roman"/>
          <w:noProof/>
          <w:color w:val="auto"/>
          <w:sz w:val="24"/>
        </w:rPr>
        <w:t> </w:t>
      </w:r>
      <w:r>
        <w:rPr>
          <w:rFonts w:ascii="Times New Roman" w:hAnsi="Times New Roman"/>
          <w:noProof/>
          <w:color w:val="auto"/>
          <w:sz w:val="24"/>
          <w:lang w:val="el-GR"/>
        </w:rPr>
        <w:t>100</w:t>
      </w:r>
      <w:r>
        <w:rPr>
          <w:rFonts w:ascii="Times New Roman" w:hAnsi="Times New Roman"/>
          <w:noProof/>
          <w:color w:val="auto"/>
          <w:sz w:val="24"/>
        </w:rPr>
        <w:t> </w:t>
      </w:r>
      <w:r>
        <w:rPr>
          <w:rFonts w:ascii="Times New Roman" w:hAnsi="Times New Roman"/>
          <w:noProof/>
          <w:color w:val="auto"/>
          <w:sz w:val="24"/>
          <w:lang w:val="el-GR"/>
        </w:rPr>
        <w:t>000</w:t>
      </w:r>
      <w:r>
        <w:rPr>
          <w:rFonts w:ascii="Times New Roman" w:hAnsi="Times New Roman"/>
          <w:noProof/>
          <w:color w:val="auto"/>
          <w:sz w:val="24"/>
        </w:rPr>
        <w:t> EUR</w:t>
      </w:r>
      <w:r>
        <w:rPr>
          <w:rFonts w:ascii="Times New Roman" w:hAnsi="Times New Roman"/>
          <w:noProof/>
          <w:color w:val="auto"/>
          <w:sz w:val="24"/>
          <w:lang w:val="el-GR"/>
        </w:rPr>
        <w:t xml:space="preserve"> για το οικολογικό σήμα της ΕΕ. Αυτά τα ποσά καλύπτουν ένα σύστημα 33 ομάδων προϊόντων, 2</w:t>
      </w:r>
      <w:r>
        <w:rPr>
          <w:rFonts w:ascii="Times New Roman" w:hAnsi="Times New Roman"/>
          <w:noProof/>
          <w:color w:val="auto"/>
          <w:sz w:val="24"/>
        </w:rPr>
        <w:t> </w:t>
      </w:r>
      <w:r>
        <w:rPr>
          <w:rFonts w:ascii="Times New Roman" w:hAnsi="Times New Roman"/>
          <w:noProof/>
          <w:color w:val="auto"/>
          <w:sz w:val="24"/>
          <w:lang w:val="el-GR"/>
        </w:rPr>
        <w:t>000 αδειών και 44</w:t>
      </w:r>
      <w:r>
        <w:rPr>
          <w:rFonts w:ascii="Times New Roman" w:hAnsi="Times New Roman"/>
          <w:noProof/>
          <w:color w:val="auto"/>
          <w:sz w:val="24"/>
        </w:rPr>
        <w:t> </w:t>
      </w:r>
      <w:r>
        <w:rPr>
          <w:rFonts w:ascii="Times New Roman" w:hAnsi="Times New Roman"/>
          <w:noProof/>
          <w:color w:val="auto"/>
          <w:sz w:val="24"/>
          <w:lang w:val="el-GR"/>
        </w:rPr>
        <w:t>000 προϊόντων για το οικολογικό σήμα της ΕΕ, και 4</w:t>
      </w:r>
      <w:r>
        <w:rPr>
          <w:rFonts w:ascii="Times New Roman" w:hAnsi="Times New Roman"/>
          <w:noProof/>
          <w:color w:val="auto"/>
          <w:sz w:val="24"/>
        </w:rPr>
        <w:t> </w:t>
      </w:r>
      <w:r>
        <w:rPr>
          <w:rFonts w:ascii="Times New Roman" w:hAnsi="Times New Roman"/>
          <w:noProof/>
          <w:color w:val="auto"/>
          <w:sz w:val="24"/>
          <w:lang w:val="el-GR"/>
        </w:rPr>
        <w:t>000 οργανισμών και 7</w:t>
      </w:r>
      <w:r>
        <w:rPr>
          <w:rFonts w:ascii="Times New Roman" w:hAnsi="Times New Roman"/>
          <w:noProof/>
          <w:color w:val="auto"/>
          <w:sz w:val="24"/>
        </w:rPr>
        <w:t> </w:t>
      </w:r>
      <w:r>
        <w:rPr>
          <w:rFonts w:ascii="Times New Roman" w:hAnsi="Times New Roman"/>
          <w:noProof/>
          <w:color w:val="auto"/>
          <w:sz w:val="24"/>
          <w:lang w:val="el-GR"/>
        </w:rPr>
        <w:t xml:space="preserve">500 χώρων για το </w:t>
      </w:r>
      <w:r>
        <w:rPr>
          <w:rFonts w:ascii="Times New Roman" w:hAnsi="Times New Roman"/>
          <w:noProof/>
          <w:color w:val="auto"/>
          <w:sz w:val="24"/>
        </w:rPr>
        <w:t>EMAS</w:t>
      </w:r>
      <w:r>
        <w:rPr>
          <w:rFonts w:ascii="Times New Roman" w:hAnsi="Times New Roman"/>
          <w:noProof/>
          <w:color w:val="auto"/>
          <w:sz w:val="24"/>
          <w:lang w:val="el-GR"/>
        </w:rPr>
        <w:t>.</w:t>
      </w:r>
    </w:p>
    <w:p>
      <w:pPr>
        <w:pStyle w:val="ListParagraph"/>
        <w:numPr>
          <w:ilvl w:val="0"/>
          <w:numId w:val="4"/>
        </w:numPr>
        <w:spacing w:before="240" w:after="240" w:line="240" w:lineRule="auto"/>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 xml:space="preserve">Οι σημαντικές διαφορές στις προσπάθειες εφαρμογής σε επίπεδο κρατών μελών απεικονίζουν τις διαφορετικές αξιολογήσεις της σχέσης κόστους/οφέλους. Λαμβανομένου υπόψη του εθελοντικού χαρακτήρα τους, τα συστήματα δεν μπορεί να θεωρούνται ότι επιβάλλουν δυσανάλογες επιβαρύνσεις στα κράτη μέλη ή στις επιχειρήσεις και τους οργανισμούς που επενδύουν σε αυτά μόνο στον βαθμό που τα θεωρούν επωφελή. Από την άλλη πλευρά, οι χαμηλές επενδύσεις οδηγούν επίσης σε περιορισμένη υιοθέτηση και περιορισμένο αντίκτυπο. </w:t>
      </w:r>
    </w:p>
    <w:p>
      <w:pPr>
        <w:pStyle w:val="ListParagraph"/>
        <w:numPr>
          <w:ilvl w:val="0"/>
          <w:numId w:val="4"/>
        </w:numPr>
        <w:spacing w:before="240" w:after="240" w:line="240" w:lineRule="auto"/>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 xml:space="preserve">Για ορισμένους καταχωρισμένους στο </w:t>
      </w:r>
      <w:r>
        <w:rPr>
          <w:rFonts w:ascii="Times New Roman" w:hAnsi="Times New Roman"/>
          <w:noProof/>
          <w:color w:val="auto"/>
          <w:sz w:val="24"/>
        </w:rPr>
        <w:t>EMAS</w:t>
      </w:r>
      <w:r>
        <w:rPr>
          <w:rFonts w:ascii="Times New Roman" w:hAnsi="Times New Roman"/>
          <w:noProof/>
          <w:color w:val="auto"/>
          <w:sz w:val="24"/>
          <w:lang w:val="el-GR"/>
        </w:rPr>
        <w:t xml:space="preserve"> οργανισμούς —ιδίως όσους δραστηριοποιούνται στην παραγωγή ενέργειας— τα μέτρα ενεργειακής απόδοσης μπορεί να αποφέρουν σημαντική εξοικονόμηση πόρων (σύμφωνα με τη μελέτη αξιολόγησης, αυτή η εξοικονόμηση ανέρχεται σε περίπου 1,3</w:t>
      </w:r>
      <w:r>
        <w:rPr>
          <w:rFonts w:ascii="Times New Roman" w:hAnsi="Times New Roman"/>
          <w:noProof/>
          <w:color w:val="auto"/>
          <w:sz w:val="24"/>
        </w:rPr>
        <w:t> </w:t>
      </w:r>
      <w:r>
        <w:rPr>
          <w:rFonts w:ascii="Times New Roman" w:hAnsi="Times New Roman"/>
          <w:noProof/>
          <w:color w:val="auto"/>
          <w:sz w:val="24"/>
          <w:lang w:val="el-GR"/>
        </w:rPr>
        <w:t>δισ.</w:t>
      </w:r>
      <w:r>
        <w:rPr>
          <w:rFonts w:ascii="Times New Roman" w:hAnsi="Times New Roman"/>
          <w:noProof/>
          <w:color w:val="auto"/>
          <w:sz w:val="24"/>
        </w:rPr>
        <w:t> EUR</w:t>
      </w:r>
      <w:r>
        <w:rPr>
          <w:rFonts w:ascii="Times New Roman" w:hAnsi="Times New Roman"/>
          <w:noProof/>
          <w:color w:val="auto"/>
          <w:sz w:val="24"/>
          <w:lang w:val="el-GR"/>
        </w:rPr>
        <w:t xml:space="preserve"> για όλους τους καταχωρισμένους στο </w:t>
      </w:r>
      <w:r>
        <w:rPr>
          <w:rFonts w:ascii="Times New Roman" w:hAnsi="Times New Roman"/>
          <w:noProof/>
          <w:color w:val="auto"/>
          <w:sz w:val="24"/>
        </w:rPr>
        <w:t>EMAS</w:t>
      </w:r>
      <w:r>
        <w:rPr>
          <w:rFonts w:ascii="Times New Roman" w:hAnsi="Times New Roman"/>
          <w:noProof/>
          <w:color w:val="auto"/>
          <w:sz w:val="24"/>
          <w:lang w:val="el-GR"/>
        </w:rPr>
        <w:t xml:space="preserve"> οργανισμούς σε διάστημα δύο ετών).</w:t>
      </w:r>
    </w:p>
    <w:p>
      <w:pPr>
        <w:spacing w:before="240" w:after="240"/>
        <w:jc w:val="both"/>
        <w:rPr>
          <w:rFonts w:eastAsia="Times New Roman"/>
          <w:noProof/>
          <w:lang w:val="el-GR"/>
        </w:rPr>
      </w:pPr>
      <w:r>
        <w:rPr>
          <w:noProof/>
          <w:lang w:val="el-GR"/>
        </w:rPr>
        <w:t>Ωστόσο, η αποδοτικότητα είναι μειωμένη:</w:t>
      </w:r>
    </w:p>
    <w:p>
      <w:pPr>
        <w:pStyle w:val="ListParagraph"/>
        <w:numPr>
          <w:ilvl w:val="0"/>
          <w:numId w:val="6"/>
        </w:numPr>
        <w:spacing w:before="240" w:after="240" w:line="240" w:lineRule="auto"/>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 xml:space="preserve">Όταν το κόστος συμμόρφωσης και εξακρίβωσης της συμμόρφωσης για τις μεμονωμένες επιχειρήσεις και τους οργανισμούς υπερβαίνει τα οφέλη και, επομένως, μειώνει την αξία για τους παραγωγούς και τους οργανισμούς και αποθαρρύνει τη συμμετοχή τους στα συστήματα. Ο αντίκτυπος αυτής της κατάστασης είναι ισχυρότερος στις μικρές επιχειρήσεις. Η χαμηλή υιοθέτηση του </w:t>
      </w:r>
      <w:r>
        <w:rPr>
          <w:rFonts w:ascii="Times New Roman" w:hAnsi="Times New Roman"/>
          <w:noProof/>
          <w:color w:val="auto"/>
          <w:sz w:val="24"/>
        </w:rPr>
        <w:t>EMAS</w:t>
      </w:r>
      <w:r>
        <w:rPr>
          <w:rFonts w:ascii="Times New Roman" w:hAnsi="Times New Roman"/>
          <w:noProof/>
          <w:color w:val="auto"/>
          <w:sz w:val="24"/>
          <w:lang w:val="el-GR"/>
        </w:rPr>
        <w:t xml:space="preserve"> έναντι του </w:t>
      </w:r>
      <w:r>
        <w:rPr>
          <w:rFonts w:ascii="Times New Roman" w:hAnsi="Times New Roman"/>
          <w:noProof/>
          <w:color w:val="auto"/>
          <w:sz w:val="24"/>
        </w:rPr>
        <w:t>ISO</w:t>
      </w:r>
      <w:r>
        <w:rPr>
          <w:rFonts w:ascii="Times New Roman" w:hAnsi="Times New Roman"/>
          <w:noProof/>
          <w:color w:val="auto"/>
          <w:sz w:val="24"/>
          <w:lang w:val="el-GR"/>
        </w:rPr>
        <w:t xml:space="preserve"> 14001 υποδεικνύει επίσης ότι η εμπειρία κόστους/οφέλους των οργανισμών από τα δύο συστήματα είναι διαφορετική.  </w:t>
      </w:r>
    </w:p>
    <w:p>
      <w:pPr>
        <w:pStyle w:val="ListParagraph"/>
        <w:numPr>
          <w:ilvl w:val="0"/>
          <w:numId w:val="6"/>
        </w:numPr>
        <w:spacing w:before="240" w:after="240" w:line="240" w:lineRule="auto"/>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 xml:space="preserve">Όπου υπάρχει χαμηλή ή καθόλου υιοθέτηση συγκεκριμένων ομάδων προϊόντων. Όσον αφορά το οικολογικό σήμα της ΕΕ, ορισμένες ομάδες προϊόντων χαρακτηρίζονται από καθόλου έως ελάχιστη υιοθέτηση, γεγονός που υποδεικνύει ότι η αγορά είναι ανώριμη και/ή ότι η διοικητική επιβάρυνση ή το κόστος εξακρίβωσης της συμμόρφωσης με ορισμένα κριτήρια μπορεί να κυμαίνεται σε πολύ υψηλά επίπεδα και να λειτουργεί ως τροχοπέδη στη συμμετοχή. </w:t>
      </w:r>
    </w:p>
    <w:p>
      <w:pPr>
        <w:pStyle w:val="Text"/>
        <w:spacing w:before="240" w:after="240" w:line="240" w:lineRule="auto"/>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 xml:space="preserve">Αμφότερα τα συστήματα θεωρούνται ότι εμφανίζουν </w:t>
      </w:r>
      <w:r>
        <w:rPr>
          <w:rFonts w:ascii="Times New Roman" w:hAnsi="Times New Roman"/>
          <w:b/>
          <w:noProof/>
          <w:color w:val="auto"/>
          <w:sz w:val="24"/>
          <w:lang w:val="el-GR"/>
        </w:rPr>
        <w:t>ευρεία</w:t>
      </w:r>
      <w:r>
        <w:rPr>
          <w:rFonts w:ascii="Times New Roman" w:hAnsi="Times New Roman"/>
          <w:noProof/>
          <w:color w:val="auto"/>
          <w:sz w:val="24"/>
          <w:lang w:val="el-GR"/>
        </w:rPr>
        <w:t xml:space="preserve"> </w:t>
      </w:r>
      <w:r>
        <w:rPr>
          <w:rFonts w:ascii="Times New Roman" w:hAnsi="Times New Roman"/>
          <w:b/>
          <w:noProof/>
          <w:color w:val="auto"/>
          <w:sz w:val="24"/>
          <w:lang w:val="el-GR"/>
        </w:rPr>
        <w:t>συνοχή</w:t>
      </w:r>
      <w:r>
        <w:rPr>
          <w:rFonts w:ascii="Times New Roman" w:hAnsi="Times New Roman"/>
          <w:noProof/>
          <w:color w:val="auto"/>
          <w:sz w:val="24"/>
          <w:lang w:val="el-GR"/>
        </w:rPr>
        <w:t xml:space="preserve"> και συμπληρωματικότητα με άλλες σχετικές πολιτικές της ΕΕ που συνδέονται με τη βιώσιμη κατανάλωση και παραγωγή της ΕΕ. Ωστόσο, η αξιολόγηση αναδεικνύει ζητήματα που αφορούν την ανάγκη για:</w:t>
      </w:r>
    </w:p>
    <w:p>
      <w:pPr>
        <w:pStyle w:val="ListParagraph"/>
        <w:numPr>
          <w:ilvl w:val="0"/>
          <w:numId w:val="8"/>
        </w:numPr>
        <w:spacing w:before="240" w:after="240" w:line="240" w:lineRule="auto"/>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 xml:space="preserve">Περαιτέρω διερεύνηση των συνεργειών με τις πολιτικές της ΕΕ που θα μπορούσαν να αξιοποιήσουν καλύτερα τις ευκαιρίες που παρέχει το οικολογικό σήμα της ΕΕ και/ή το </w:t>
      </w:r>
      <w:r>
        <w:rPr>
          <w:rFonts w:ascii="Times New Roman" w:hAnsi="Times New Roman"/>
          <w:noProof/>
          <w:color w:val="auto"/>
          <w:sz w:val="24"/>
        </w:rPr>
        <w:t>EMAS</w:t>
      </w:r>
      <w:r>
        <w:rPr>
          <w:rFonts w:ascii="Times New Roman" w:hAnsi="Times New Roman"/>
          <w:noProof/>
          <w:color w:val="auto"/>
          <w:sz w:val="24"/>
          <w:lang w:val="el-GR"/>
        </w:rPr>
        <w:t>, συμπεριλαμβανομένων, αλλά όχι αποκλειστικά, του σχεδίου δράσης για την κυκλική οικονομία, της οδηγίας για τις αθέμιτες εμπορικές πρακτικές, της οδηγίας για τις δημόσιες συμβάσεις και της οδηγίας για τις βιομηχανικές εκπομπές.</w:t>
      </w:r>
    </w:p>
    <w:p>
      <w:pPr>
        <w:spacing w:before="240" w:after="240"/>
        <w:jc w:val="both"/>
        <w:rPr>
          <w:rFonts w:eastAsia="Times New Roman"/>
          <w:noProof/>
          <w:lang w:val="el-GR"/>
        </w:rPr>
      </w:pPr>
      <w:r>
        <w:rPr>
          <w:noProof/>
          <w:lang w:val="el-GR"/>
        </w:rPr>
        <w:t xml:space="preserve">Όσον αφορά τη συνοχή ανάμεσα στα δύο συστήματα, η αξιολόγηση δείχνει ότι αλληλοσυμπληρώνονται και, παράλληλα, επικεντρώνονται σε διαφορετικούς στόχους. Μικρός βαθμός επικάλυψης, ωστόσο, διαπιστώνεται στην περίπτωση που τόσο το </w:t>
      </w:r>
      <w:r>
        <w:rPr>
          <w:noProof/>
        </w:rPr>
        <w:t>EMAS</w:t>
      </w:r>
      <w:r>
        <w:rPr>
          <w:noProof/>
          <w:lang w:val="el-GR"/>
        </w:rPr>
        <w:t xml:space="preserve"> όσο και το οικολογικό σήμα της ΕΕ καλύπτουν συγκεκριμένους κλάδους υπηρεσιών, όπως ο τουρισμός και η κατασκήνωση. Στην περίπτωση αυτή, πρέπει να δίνεται προσοχή ώστε να μην δημιουργείται σύγχυση στους καταναλωτές που μπορεί να επιλέγουν με βάση τα δύο συστήματα. </w:t>
      </w:r>
    </w:p>
    <w:p>
      <w:pPr>
        <w:pStyle w:val="Text"/>
        <w:spacing w:before="240" w:after="240" w:line="240" w:lineRule="auto"/>
        <w:jc w:val="both"/>
        <w:rPr>
          <w:rFonts w:ascii="Times New Roman" w:hAnsi="Times New Roman" w:cs="Times New Roman"/>
          <w:noProof/>
          <w:color w:val="auto"/>
          <w:sz w:val="24"/>
          <w:szCs w:val="24"/>
          <w:lang w:val="el-GR"/>
        </w:rPr>
      </w:pPr>
      <w:r>
        <w:rPr>
          <w:rFonts w:ascii="Times New Roman" w:hAnsi="Times New Roman"/>
          <w:noProof/>
          <w:color w:val="auto"/>
          <w:sz w:val="24"/>
          <w:lang w:val="el-GR"/>
        </w:rPr>
        <w:t xml:space="preserve">Η προστιθέμενη αξία για την ΕΕ που επιτυγχάνεται από τα συστήματα είναι άνιση. Οι κανονισμοί </w:t>
      </w:r>
      <w:r>
        <w:rPr>
          <w:rFonts w:ascii="Times New Roman" w:hAnsi="Times New Roman"/>
          <w:b/>
          <w:noProof/>
          <w:color w:val="auto"/>
          <w:sz w:val="24"/>
          <w:lang w:val="el-GR"/>
        </w:rPr>
        <w:t>προσέδωσαν προστιθέμενη αξία για την ΕΕ μέχρι του σημείου που περιορίζεται από τον εθελοντικό χαρακτήρα των συστημάτων</w:t>
      </w:r>
      <w:r>
        <w:rPr>
          <w:rFonts w:ascii="Times New Roman" w:hAnsi="Times New Roman"/>
          <w:noProof/>
          <w:color w:val="auto"/>
          <w:sz w:val="24"/>
          <w:lang w:val="el-GR"/>
        </w:rPr>
        <w:t xml:space="preserve">. Η προστιθέμενη αξία επιτυγχάνεται με την παροχή πλαισίου εναρμονισμένων κανόνων και διαδικασιών σε ολόκληρη την εσωτερική αγορά, το οποίο προσδίδει αξιοπιστία και διαφάνεια στους περιβαλλοντικούς ισχυρισμούς και μπορεί να υποστηρίξει το ενδοενωσιακό εμπόριο. Το πλαίσιο παρέχει πληροφορίες σχετικά με τις περιβαλλοντικές επιδόσεις προϊόντων και οργανισμών και δίνει τη δυνατότητα ενσωμάτωσης σε άλλες πολιτικές της ΕΕ και απλούστευσης των διαδικασιών. Κατ’ αυτόν τον τρόπο, το πλαίσιο υποστηρίζει τους παραγωγούς και τους οργανισμούς που προτίθενται να προχωρήσουν ένα βήμα πιο πέρα από τα υποχρεωτικά μέτρα· συμπεριλαμβανομένων, ιδίως, των ΜΜΕ που δεν θα είχαν την εσωτερική ικανότητα να δημιουργήσουν δικά τους συστήματα. </w:t>
      </w:r>
    </w:p>
    <w:p>
      <w:pPr>
        <w:pStyle w:val="Text"/>
        <w:spacing w:before="240" w:after="240" w:line="240" w:lineRule="auto"/>
        <w:jc w:val="both"/>
        <w:rPr>
          <w:rFonts w:ascii="Times New Roman" w:eastAsia="Times New Roman" w:hAnsi="Times New Roman" w:cs="Times New Roman"/>
          <w:noProof/>
          <w:color w:val="auto"/>
          <w:sz w:val="24"/>
          <w:szCs w:val="24"/>
          <w:lang w:val="el-GR"/>
        </w:rPr>
      </w:pPr>
      <w:r>
        <w:rPr>
          <w:rFonts w:ascii="Times New Roman" w:hAnsi="Times New Roman"/>
          <w:noProof/>
          <w:color w:val="auto"/>
          <w:sz w:val="24"/>
          <w:lang w:val="el-GR"/>
        </w:rPr>
        <w:t>Μια πλήρης ποσοτική αξιολόγηση κόστους/οφέλους δεν ήταν δυνατή. Ωστόσο, τα μέσα λειτουργούν σε ένα πλαίσιο γενικής δημόσιας στήριξης για τη βιώσιμη παραγωγή και κατανάλωση: το 77</w:t>
      </w:r>
      <w:r>
        <w:rPr>
          <w:rFonts w:ascii="Times New Roman" w:hAnsi="Times New Roman"/>
          <w:noProof/>
          <w:color w:val="auto"/>
          <w:sz w:val="24"/>
        </w:rPr>
        <w:t> </w:t>
      </w:r>
      <w:r>
        <w:rPr>
          <w:rFonts w:ascii="Times New Roman" w:hAnsi="Times New Roman"/>
          <w:noProof/>
          <w:color w:val="auto"/>
          <w:sz w:val="24"/>
          <w:lang w:val="el-GR"/>
        </w:rPr>
        <w:t>% του πληθυσμού της ΕΕ που συμμετείχε σε έρευνα του Ευρωβαρόμετρου δήλωσε διατεθειμένο να πληρώνει περισσότερο για φιλικά προς το περιβάλλον προϊόντα, εφόσον θεωρεί ότι οι ισχυρισμοί είναι αξιόπιστοι. Οι απαντήσεις στις δημόσιες διαβουλεύσεις που αφορούσαν ειδικά αυτά τα μέσα προέρχονταν κυρίως από όσους συμμετείχαν ήδη ενεργά στα μέσα. Ωστόσο, γενικά, τα μέσα αντιμετωπίστηκαν με θετικό τρόπο. Για παράδειγμα, οι ενδιαφερόμενοι που χρησιμοποιούν το οικολογικό σήμα της ΕΕ δήλωσαν σε ποσοστό 79</w:t>
      </w:r>
      <w:r>
        <w:rPr>
          <w:rFonts w:ascii="Times New Roman" w:hAnsi="Times New Roman"/>
          <w:noProof/>
          <w:color w:val="auto"/>
          <w:sz w:val="24"/>
        </w:rPr>
        <w:t> </w:t>
      </w:r>
      <w:r>
        <w:rPr>
          <w:rFonts w:ascii="Times New Roman" w:hAnsi="Times New Roman"/>
          <w:noProof/>
          <w:color w:val="auto"/>
          <w:sz w:val="24"/>
          <w:lang w:val="el-GR"/>
        </w:rPr>
        <w:t>% ότι το οικολογικό σήμα είναι ένα χρήσιμο εργαλείο που συμβάλλει στη μεγαλύτερη υιοθέτηση και στην ελεύθερη κυκλοφορία των πράσινων προϊόντων σε ολόκληρη την Ευρώπη, ενώ σε ποσοστό 95</w:t>
      </w:r>
      <w:r>
        <w:rPr>
          <w:rFonts w:ascii="Times New Roman" w:hAnsi="Times New Roman"/>
          <w:noProof/>
          <w:color w:val="auto"/>
          <w:sz w:val="24"/>
        </w:rPr>
        <w:t> </w:t>
      </w:r>
      <w:r>
        <w:rPr>
          <w:rFonts w:ascii="Times New Roman" w:hAnsi="Times New Roman"/>
          <w:noProof/>
          <w:color w:val="auto"/>
          <w:sz w:val="24"/>
          <w:lang w:val="el-GR"/>
        </w:rPr>
        <w:t>% δήλωσαν την πρόθεσή τους να το διατηρήσουν με ή χωρίς αλλαγές. Παράλληλα, σε ποσοστό άνω του 70</w:t>
      </w:r>
      <w:r>
        <w:rPr>
          <w:rFonts w:ascii="Times New Roman" w:hAnsi="Times New Roman"/>
          <w:noProof/>
          <w:color w:val="auto"/>
          <w:sz w:val="24"/>
        </w:rPr>
        <w:t> </w:t>
      </w:r>
      <w:r>
        <w:rPr>
          <w:rFonts w:ascii="Times New Roman" w:hAnsi="Times New Roman"/>
          <w:noProof/>
          <w:color w:val="auto"/>
          <w:sz w:val="24"/>
          <w:lang w:val="el-GR"/>
        </w:rPr>
        <w:t xml:space="preserve">%, οι ερωτηθέντες οργανισμοί που συμμετέχουν στο </w:t>
      </w:r>
      <w:r>
        <w:rPr>
          <w:rFonts w:ascii="Times New Roman" w:hAnsi="Times New Roman"/>
          <w:noProof/>
          <w:color w:val="auto"/>
          <w:sz w:val="24"/>
        </w:rPr>
        <w:t>EMAS</w:t>
      </w:r>
      <w:r>
        <w:rPr>
          <w:rFonts w:ascii="Times New Roman" w:hAnsi="Times New Roman"/>
          <w:noProof/>
          <w:color w:val="auto"/>
          <w:sz w:val="24"/>
          <w:lang w:val="el-GR"/>
        </w:rPr>
        <w:t xml:space="preserve"> θεωρούν ότι έχουν σημειώσει βελτίωση ή σημαντική βελτίωση στις επιδόσεις τους όσον αφορά την ενεργειακή απόδοση, τη χρήση υλικών, την κατανάλωση νερού και την παραγωγή αποβλήτων.</w:t>
      </w:r>
    </w:p>
    <w:p>
      <w:pPr>
        <w:pStyle w:val="Text"/>
        <w:spacing w:line="240" w:lineRule="auto"/>
        <w:jc w:val="both"/>
        <w:rPr>
          <w:rFonts w:ascii="Times New Roman" w:hAnsi="Times New Roman" w:cs="Times New Roman"/>
          <w:noProof/>
          <w:color w:val="auto"/>
          <w:sz w:val="24"/>
          <w:szCs w:val="24"/>
          <w:lang w:val="el-GR"/>
        </w:rPr>
      </w:pPr>
      <w:r>
        <w:rPr>
          <w:rFonts w:ascii="Times New Roman" w:hAnsi="Times New Roman"/>
          <w:noProof/>
          <w:color w:val="auto"/>
          <w:sz w:val="24"/>
          <w:lang w:val="el-GR"/>
        </w:rPr>
        <w:t xml:space="preserve">Η υιοθέτηση του </w:t>
      </w:r>
      <w:r>
        <w:rPr>
          <w:rFonts w:ascii="Times New Roman" w:hAnsi="Times New Roman"/>
          <w:noProof/>
          <w:color w:val="auto"/>
          <w:sz w:val="24"/>
        </w:rPr>
        <w:t>EMAS</w:t>
      </w:r>
      <w:r>
        <w:rPr>
          <w:rFonts w:ascii="Times New Roman" w:hAnsi="Times New Roman"/>
          <w:noProof/>
          <w:color w:val="auto"/>
          <w:sz w:val="24"/>
          <w:lang w:val="el-GR"/>
        </w:rPr>
        <w:t xml:space="preserve"> είναι σημαντικά χαμηλότερη έναντι του </w:t>
      </w:r>
      <w:r>
        <w:rPr>
          <w:rFonts w:ascii="Times New Roman" w:hAnsi="Times New Roman"/>
          <w:noProof/>
          <w:color w:val="auto"/>
          <w:sz w:val="24"/>
        </w:rPr>
        <w:t>ISO</w:t>
      </w:r>
      <w:r>
        <w:rPr>
          <w:rFonts w:ascii="Times New Roman" w:hAnsi="Times New Roman"/>
          <w:noProof/>
          <w:color w:val="auto"/>
          <w:sz w:val="24"/>
          <w:lang w:val="el-GR"/>
        </w:rPr>
        <w:t xml:space="preserve"> 14001. Ωστόσο, η αξιολόγηση καταδεικνύει ότι οι επιχειρήσεις που συμμετέχουν στο </w:t>
      </w:r>
      <w:r>
        <w:rPr>
          <w:rFonts w:ascii="Times New Roman" w:hAnsi="Times New Roman"/>
          <w:noProof/>
          <w:color w:val="auto"/>
          <w:sz w:val="24"/>
        </w:rPr>
        <w:t>EMAS</w:t>
      </w:r>
      <w:r>
        <w:rPr>
          <w:rFonts w:ascii="Times New Roman" w:hAnsi="Times New Roman"/>
          <w:noProof/>
          <w:color w:val="auto"/>
          <w:sz w:val="24"/>
          <w:lang w:val="el-GR"/>
        </w:rPr>
        <w:t xml:space="preserve"> σημειώνουν εξίσου καλές ή καλύτερες περιβαλλοντικές επιδόσεις από τους οργανισμούς που συμμετέχουν στο </w:t>
      </w:r>
      <w:r>
        <w:rPr>
          <w:rFonts w:ascii="Times New Roman" w:hAnsi="Times New Roman"/>
          <w:noProof/>
          <w:color w:val="auto"/>
          <w:sz w:val="24"/>
        </w:rPr>
        <w:t>ISO</w:t>
      </w:r>
      <w:r>
        <w:rPr>
          <w:rFonts w:ascii="Times New Roman" w:hAnsi="Times New Roman"/>
          <w:noProof/>
          <w:color w:val="auto"/>
          <w:sz w:val="24"/>
          <w:lang w:val="el-GR"/>
        </w:rPr>
        <w:t xml:space="preserve"> 14001· ότι οι συγκεκριμένες απαιτήσεις του </w:t>
      </w:r>
      <w:r>
        <w:rPr>
          <w:rFonts w:ascii="Times New Roman" w:hAnsi="Times New Roman"/>
          <w:noProof/>
          <w:color w:val="auto"/>
          <w:sz w:val="24"/>
        </w:rPr>
        <w:t>EMAS</w:t>
      </w:r>
      <w:r>
        <w:rPr>
          <w:rFonts w:ascii="Times New Roman" w:hAnsi="Times New Roman"/>
          <w:noProof/>
          <w:color w:val="auto"/>
          <w:sz w:val="24"/>
          <w:lang w:val="el-GR"/>
        </w:rPr>
        <w:t xml:space="preserve"> για τη διαφάνεια στις εκθέσεις και τον έλεγχο από τις δημόσιες αρχές (που δεν απαιτείται από το </w:t>
      </w:r>
      <w:r>
        <w:rPr>
          <w:rFonts w:ascii="Times New Roman" w:hAnsi="Times New Roman"/>
          <w:noProof/>
          <w:color w:val="auto"/>
          <w:sz w:val="24"/>
        </w:rPr>
        <w:t>ISO</w:t>
      </w:r>
      <w:r>
        <w:rPr>
          <w:rFonts w:ascii="Times New Roman" w:hAnsi="Times New Roman"/>
          <w:noProof/>
          <w:color w:val="auto"/>
          <w:sz w:val="24"/>
          <w:lang w:val="el-GR"/>
        </w:rPr>
        <w:t xml:space="preserve"> 14001) προσδίδουν μεγαλύτερη αξιοπιστία και καλύτερες δυνατότητες ενσωμάτωσης στην περιβαλλοντική πολιτική. Τα στοιχεία που αντλούνται από την πείρα ορισμένων κρατών μελών της ΕΕ, τα οποία δραστηριοποιήθηκαν ενεργά σε αυτό το πεδίο, επιβεβαιώνουν αυτήν τη δυναμική.</w:t>
      </w:r>
    </w:p>
    <w:p>
      <w:pPr>
        <w:pStyle w:val="Text"/>
        <w:spacing w:line="240" w:lineRule="auto"/>
        <w:jc w:val="both"/>
        <w:rPr>
          <w:rFonts w:ascii="Times New Roman" w:hAnsi="Times New Roman"/>
          <w:noProof/>
          <w:color w:val="auto"/>
          <w:sz w:val="24"/>
          <w:lang w:val="el-GR"/>
        </w:rPr>
      </w:pPr>
      <w:r>
        <w:rPr>
          <w:rFonts w:ascii="Times New Roman" w:hAnsi="Times New Roman"/>
          <w:noProof/>
          <w:color w:val="auto"/>
          <w:sz w:val="24"/>
          <w:lang w:val="el-GR"/>
        </w:rPr>
        <w:t xml:space="preserve">Ωστόσο, </w:t>
      </w:r>
      <w:r>
        <w:rPr>
          <w:rFonts w:ascii="Times New Roman" w:hAnsi="Times New Roman"/>
          <w:b/>
          <w:noProof/>
          <w:color w:val="auto"/>
          <w:sz w:val="24"/>
          <w:lang w:val="el-GR"/>
        </w:rPr>
        <w:t>επειδή τα συστήματα δεν έχουν επιτύχει πολύ σημαντική υιοθέτηση σε ολόκληρη την Ευρώπη, είναι δύσκολο να καταδειχθεί πλήρης προστιθέμενη αξία για την ΕΕ</w:t>
      </w:r>
      <w:r>
        <w:rPr>
          <w:rFonts w:ascii="Times New Roman" w:hAnsi="Times New Roman"/>
          <w:noProof/>
          <w:color w:val="auto"/>
          <w:sz w:val="24"/>
          <w:lang w:val="el-GR"/>
        </w:rPr>
        <w:t xml:space="preserve">, πέραν των περιβαλλοντικών βελτιώσεων για τα προϊόντα, τις υπηρεσίες και τους οργανισμούς που συμμετέχουν σε αυτά. Ειδικότερα, ο αντίκτυπος του </w:t>
      </w:r>
      <w:r>
        <w:rPr>
          <w:rFonts w:ascii="Times New Roman" w:hAnsi="Times New Roman"/>
          <w:noProof/>
          <w:color w:val="auto"/>
          <w:sz w:val="24"/>
        </w:rPr>
        <w:t>EMAS</w:t>
      </w:r>
      <w:r>
        <w:rPr>
          <w:rFonts w:ascii="Times New Roman" w:hAnsi="Times New Roman"/>
          <w:noProof/>
          <w:color w:val="auto"/>
          <w:sz w:val="24"/>
          <w:lang w:val="el-GR"/>
        </w:rPr>
        <w:t xml:space="preserve"> έχει πληγεί από τον ανταγωνισμό με το </w:t>
      </w:r>
      <w:r>
        <w:rPr>
          <w:rFonts w:ascii="Times New Roman" w:hAnsi="Times New Roman"/>
          <w:noProof/>
          <w:color w:val="auto"/>
          <w:sz w:val="24"/>
        </w:rPr>
        <w:t>ISO</w:t>
      </w:r>
      <w:r>
        <w:rPr>
          <w:rFonts w:ascii="Times New Roman" w:hAnsi="Times New Roman"/>
          <w:noProof/>
          <w:color w:val="auto"/>
          <w:sz w:val="24"/>
          <w:lang w:val="el-GR"/>
        </w:rPr>
        <w:t xml:space="preserve"> 14001, το οποίο παρέχει μια παγκοσμίως αναγνωρισμένη εναλλακτική στο </w:t>
      </w:r>
      <w:r>
        <w:rPr>
          <w:rFonts w:ascii="Times New Roman" w:hAnsi="Times New Roman"/>
          <w:noProof/>
          <w:color w:val="auto"/>
          <w:sz w:val="24"/>
        </w:rPr>
        <w:t>EMAS</w:t>
      </w:r>
      <w:r>
        <w:rPr>
          <w:rFonts w:ascii="Times New Roman" w:hAnsi="Times New Roman"/>
          <w:noProof/>
          <w:color w:val="auto"/>
          <w:sz w:val="24"/>
          <w:lang w:val="el-GR"/>
        </w:rPr>
        <w:t xml:space="preserve">. Ωστόσο, η αλληλεπίδραση ανάμεσα στα δύο συστήματα αποδείχθηκε εποικοδομητική. Το </w:t>
      </w:r>
      <w:r>
        <w:rPr>
          <w:rFonts w:ascii="Times New Roman" w:hAnsi="Times New Roman"/>
          <w:noProof/>
          <w:color w:val="auto"/>
          <w:sz w:val="24"/>
        </w:rPr>
        <w:t>EMAS</w:t>
      </w:r>
      <w:r>
        <w:rPr>
          <w:rFonts w:ascii="Times New Roman" w:hAnsi="Times New Roman"/>
          <w:noProof/>
          <w:color w:val="auto"/>
          <w:sz w:val="24"/>
          <w:lang w:val="el-GR"/>
        </w:rPr>
        <w:t xml:space="preserve"> υπήρξε πηγή έμπνευσης για νέες και βελτιωμένες εξελίξεις στο πλαίσιο του παγκόσμιου προτύπου </w:t>
      </w:r>
      <w:r>
        <w:rPr>
          <w:rFonts w:ascii="Times New Roman" w:hAnsi="Times New Roman"/>
          <w:noProof/>
          <w:color w:val="auto"/>
          <w:sz w:val="24"/>
        </w:rPr>
        <w:t>ISO</w:t>
      </w:r>
      <w:r>
        <w:rPr>
          <w:rFonts w:ascii="Times New Roman" w:hAnsi="Times New Roman"/>
          <w:noProof/>
          <w:color w:val="auto"/>
          <w:sz w:val="24"/>
          <w:lang w:val="el-GR"/>
        </w:rPr>
        <w:t xml:space="preserve"> 14001 που το έφεραν πιο κοντά στο </w:t>
      </w:r>
      <w:r>
        <w:rPr>
          <w:rFonts w:ascii="Times New Roman" w:hAnsi="Times New Roman"/>
          <w:noProof/>
          <w:color w:val="auto"/>
          <w:sz w:val="24"/>
        </w:rPr>
        <w:t>EMAS</w:t>
      </w:r>
      <w:r>
        <w:rPr>
          <w:rFonts w:ascii="Times New Roman" w:hAnsi="Times New Roman"/>
          <w:noProof/>
          <w:color w:val="auto"/>
          <w:sz w:val="24"/>
          <w:lang w:val="el-GR"/>
        </w:rPr>
        <w:t xml:space="preserve">, μολονότι εξακολουθούν να υφίστανται σημαντικές διαφορές. Το </w:t>
      </w:r>
      <w:r>
        <w:rPr>
          <w:rFonts w:ascii="Times New Roman" w:hAnsi="Times New Roman"/>
          <w:noProof/>
          <w:color w:val="auto"/>
          <w:sz w:val="24"/>
        </w:rPr>
        <w:t>EMAS</w:t>
      </w:r>
      <w:r>
        <w:rPr>
          <w:rFonts w:ascii="Times New Roman" w:hAnsi="Times New Roman"/>
          <w:noProof/>
          <w:color w:val="auto"/>
          <w:sz w:val="24"/>
          <w:lang w:val="el-GR"/>
        </w:rPr>
        <w:t xml:space="preserve">, σε αντίθεση με το </w:t>
      </w:r>
      <w:r>
        <w:rPr>
          <w:rFonts w:ascii="Times New Roman" w:hAnsi="Times New Roman"/>
          <w:noProof/>
          <w:color w:val="auto"/>
          <w:sz w:val="24"/>
        </w:rPr>
        <w:t>ISO</w:t>
      </w:r>
      <w:r>
        <w:rPr>
          <w:rFonts w:ascii="Times New Roman" w:hAnsi="Times New Roman"/>
          <w:noProof/>
          <w:color w:val="auto"/>
          <w:sz w:val="24"/>
          <w:lang w:val="el-GR"/>
        </w:rPr>
        <w:t xml:space="preserve"> 14001, παρέχει μια πλατφόρμα συμμόρφωσης και υποβολής εκθέσεων που καθιστά τις περιβαλλοντικές επιδόσεις του οργανισμού διαφανείς στο κοινό και τις αρχές. Αυτή η πλατφόρμα μπορεί επίσης να συμβάλει στην αναγνώριση, από τις αρχές, των προϊόντων και των οργανισμών με τις καλύτερες επιδόσεις, καθώς και στην ανάπτυξη μέτρων στήριξης, και να πυροδοτήσει τη μείωση της διοικητικής επιβάρυνσης. Αυτή η δυνατότητα ερμηνεύεται από το γεγονός ότι οι αρχές και άλλα τρίτα μέρη, σε αντίθεση με το </w:t>
      </w:r>
      <w:r>
        <w:rPr>
          <w:rFonts w:ascii="Times New Roman" w:hAnsi="Times New Roman"/>
          <w:noProof/>
          <w:color w:val="auto"/>
          <w:sz w:val="24"/>
        </w:rPr>
        <w:t>ISO</w:t>
      </w:r>
      <w:r>
        <w:rPr>
          <w:rFonts w:ascii="Times New Roman" w:hAnsi="Times New Roman"/>
          <w:noProof/>
          <w:color w:val="auto"/>
          <w:sz w:val="24"/>
          <w:lang w:val="el-GR"/>
        </w:rPr>
        <w:t>, έχουν πρόσβαση στις πληροφορίες για τις περιβαλλοντικές επιδόσεις και τη νομική συμμόρφωση και πρέπει να δίνουν τη σχετική έγκρισή τους, με αποτέλεσμα να υπάρχει επαρκής εξασφάλιση για την επίτευξη ελάφρυνσης από άλλες κανονιστικές επιβαρύνσεις.</w:t>
      </w:r>
    </w:p>
    <w:p>
      <w:pPr>
        <w:pStyle w:val="Text"/>
        <w:spacing w:line="240" w:lineRule="auto"/>
        <w:jc w:val="both"/>
        <w:rPr>
          <w:rFonts w:ascii="Times New Roman" w:eastAsia="Times New Roman" w:hAnsi="Times New Roman" w:cs="Times New Roman"/>
          <w:noProof/>
          <w:color w:val="auto"/>
          <w:sz w:val="24"/>
          <w:szCs w:val="24"/>
          <w:lang w:val="el-GR"/>
        </w:rPr>
      </w:pPr>
    </w:p>
    <w:p>
      <w:pPr>
        <w:pStyle w:val="Heading1"/>
        <w:jc w:val="both"/>
        <w:rPr>
          <w:noProof/>
          <w:color w:val="auto"/>
          <w:lang w:val="el-GR"/>
        </w:rPr>
      </w:pPr>
      <w:r>
        <w:rPr>
          <w:noProof/>
          <w:color w:val="auto"/>
          <w:lang w:val="el-GR"/>
        </w:rPr>
        <w:t>3. Συμπεράσματα</w:t>
      </w:r>
    </w:p>
    <w:p>
      <w:pPr>
        <w:pStyle w:val="Default"/>
        <w:jc w:val="both"/>
        <w:rPr>
          <w:rFonts w:ascii="Times New Roman" w:hAnsi="Times New Roman" w:cs="Times New Roman"/>
          <w:noProof/>
          <w:color w:val="auto"/>
          <w:lang w:val="el-GR"/>
        </w:rPr>
      </w:pPr>
    </w:p>
    <w:p>
      <w:pPr>
        <w:pStyle w:val="Default"/>
        <w:jc w:val="both"/>
        <w:rPr>
          <w:rFonts w:ascii="Times New Roman" w:hAnsi="Times New Roman" w:cs="Times New Roman"/>
          <w:noProof/>
          <w:color w:val="auto"/>
          <w:lang w:val="el-GR"/>
        </w:rPr>
      </w:pPr>
      <w:r>
        <w:rPr>
          <w:rFonts w:ascii="Times New Roman" w:hAnsi="Times New Roman"/>
          <w:noProof/>
          <w:color w:val="auto"/>
          <w:lang w:val="el-GR"/>
        </w:rPr>
        <w:t xml:space="preserve">Το οικολογικό σήμα της ΕΕ και το </w:t>
      </w:r>
      <w:r>
        <w:rPr>
          <w:rFonts w:ascii="Times New Roman" w:hAnsi="Times New Roman"/>
          <w:noProof/>
          <w:color w:val="auto"/>
        </w:rPr>
        <w:t>EMAS</w:t>
      </w:r>
      <w:r>
        <w:rPr>
          <w:rFonts w:ascii="Times New Roman" w:hAnsi="Times New Roman"/>
          <w:noProof/>
          <w:color w:val="auto"/>
          <w:lang w:val="el-GR"/>
        </w:rPr>
        <w:t xml:space="preserve"> είναι μέρος μιας ευρύτερης δέσμης μέσων πολιτικής για προϊόντα που συμβάλλουν στην κυκλική οικονομία. Ο έλεγχος καταλληλότητας (μελέτη αξιολόγησης και διαβούλευση με τα ενδιαφερόμενα μέρη) επιβεβαιώνει τον χρήσιμο –αν και περιορισμένο– ρόλο των συστημάτων ως εθελοντικών μέσων για τις επιχειρήσεις που διευκολύνουν τη μετάβαση σε μια κυκλική οικονομία και παρέχουν πληροφορίες σχετικά με τις περιβαλλοντικές επιδόσεις προϊόντων και οργανισμών στους καταναλωτές και στις συναλλαγές μεταξύ επιχειρήσεων. </w:t>
      </w:r>
    </w:p>
    <w:p>
      <w:pPr>
        <w:pStyle w:val="Default"/>
        <w:jc w:val="both"/>
        <w:rPr>
          <w:rFonts w:ascii="Times New Roman" w:hAnsi="Times New Roman" w:cs="Times New Roman"/>
          <w:noProof/>
          <w:color w:val="auto"/>
          <w:lang w:val="el-GR"/>
        </w:rPr>
      </w:pPr>
    </w:p>
    <w:p>
      <w:pPr>
        <w:pStyle w:val="Default"/>
        <w:jc w:val="both"/>
        <w:rPr>
          <w:rFonts w:ascii="Times New Roman" w:hAnsi="Times New Roman" w:cs="Times New Roman"/>
          <w:noProof/>
          <w:color w:val="auto"/>
          <w:lang w:val="el-GR"/>
        </w:rPr>
      </w:pPr>
      <w:r>
        <w:rPr>
          <w:rFonts w:ascii="Times New Roman" w:hAnsi="Times New Roman"/>
          <w:noProof/>
          <w:color w:val="auto"/>
          <w:lang w:val="el-GR"/>
        </w:rPr>
        <w:t>Τα αποτελέσματα του ελέγχου καταλληλότητας δείχνουν ότι η υιοθέτηση των συστημάτων θα μπορούσε να είναι καλύτερη και πιο αποδοτική. Προσδιορίζει σαφείς περιορισμούς των δύο μέσων, δεδομένου του εθελοντικού χαρακτήρα τους και του περιορισμένου επιπέδου υιοθέτησης για ορισμένες ομάδες προϊόντων, καθώς και της χαμηλής ευαισθητοποίησης για τα δύο συστήματα. Υπάρχει ανάγκη για μια πιο εστιασμένη προσέγγιση για τη μεγιστοποίηση των αποτελεσμάτων στην πράξη.</w:t>
      </w:r>
    </w:p>
    <w:p>
      <w:pPr>
        <w:pStyle w:val="Default"/>
        <w:jc w:val="both"/>
        <w:rPr>
          <w:rFonts w:ascii="Times New Roman" w:hAnsi="Times New Roman" w:cs="Times New Roman"/>
          <w:noProof/>
          <w:color w:val="auto"/>
          <w:lang w:val="el-GR"/>
        </w:rPr>
      </w:pPr>
    </w:p>
    <w:p>
      <w:pPr>
        <w:pStyle w:val="Default"/>
        <w:jc w:val="both"/>
        <w:rPr>
          <w:rFonts w:ascii="Times New Roman" w:hAnsi="Times New Roman" w:cs="Times New Roman"/>
          <w:noProof/>
          <w:color w:val="auto"/>
          <w:lang w:val="el-GR"/>
        </w:rPr>
      </w:pPr>
      <w:r>
        <w:rPr>
          <w:rFonts w:ascii="Times New Roman" w:hAnsi="Times New Roman"/>
          <w:noProof/>
          <w:color w:val="auto"/>
          <w:lang w:val="el-GR"/>
        </w:rPr>
        <w:t xml:space="preserve">Ως εκ τούτου, η Επιτροπή θα βελτιώσει τις επιδόσεις του συστήματος του </w:t>
      </w:r>
      <w:r>
        <w:rPr>
          <w:rFonts w:ascii="Times New Roman" w:hAnsi="Times New Roman"/>
          <w:b/>
          <w:noProof/>
          <w:color w:val="auto"/>
          <w:lang w:val="el-GR"/>
        </w:rPr>
        <w:t>κανονισμού για το οικολογικό σήμα της ΕΕ</w:t>
      </w:r>
      <w:r>
        <w:rPr>
          <w:rFonts w:ascii="Times New Roman" w:hAnsi="Times New Roman"/>
          <w:noProof/>
          <w:color w:val="auto"/>
          <w:lang w:val="el-GR"/>
        </w:rPr>
        <w:t xml:space="preserve"> και θα το κάνει πιο εστιασμένο, προκειμένου να διασφαλιστεί μεγαλύτερος σωρευτικός αντίκτυπος, λαμβάνοντας τα ακόλουθα μέτρα:</w:t>
      </w:r>
    </w:p>
    <w:p>
      <w:pPr>
        <w:pStyle w:val="Default"/>
        <w:jc w:val="both"/>
        <w:rPr>
          <w:rFonts w:ascii="Times New Roman" w:hAnsi="Times New Roman" w:cs="Times New Roman"/>
          <w:noProof/>
          <w:color w:val="auto"/>
          <w:lang w:val="el-GR"/>
        </w:rPr>
      </w:pPr>
    </w:p>
    <w:p>
      <w:pPr>
        <w:pStyle w:val="Default"/>
        <w:jc w:val="both"/>
        <w:rPr>
          <w:rFonts w:ascii="Times New Roman" w:hAnsi="Times New Roman" w:cs="Times New Roman"/>
          <w:noProof/>
          <w:color w:val="auto"/>
          <w:lang w:val="el-GR"/>
        </w:rPr>
      </w:pPr>
    </w:p>
    <w:p>
      <w:pPr>
        <w:pStyle w:val="Default"/>
        <w:numPr>
          <w:ilvl w:val="0"/>
          <w:numId w:val="10"/>
        </w:numPr>
        <w:jc w:val="both"/>
        <w:rPr>
          <w:rFonts w:ascii="Times New Roman" w:hAnsi="Times New Roman" w:cs="Times New Roman"/>
          <w:noProof/>
          <w:color w:val="auto"/>
          <w:lang w:val="el-GR"/>
        </w:rPr>
      </w:pPr>
      <w:r>
        <w:rPr>
          <w:rFonts w:ascii="Times New Roman" w:hAnsi="Times New Roman"/>
          <w:noProof/>
          <w:color w:val="auto"/>
          <w:lang w:val="el-GR"/>
        </w:rPr>
        <w:t>Ανάπτυξη μιας πιο στρατηγικής προσέγγισης για το οικολογικό σήμα της ΕΕ, η οποία θα περιλαμβάνει:</w:t>
      </w:r>
    </w:p>
    <w:p>
      <w:pPr>
        <w:pStyle w:val="Default"/>
        <w:ind w:left="784"/>
        <w:jc w:val="both"/>
        <w:rPr>
          <w:rFonts w:ascii="Times New Roman" w:hAnsi="Times New Roman" w:cs="Times New Roman"/>
          <w:noProof/>
          <w:color w:val="auto"/>
          <w:lang w:val="el-GR"/>
        </w:rPr>
      </w:pPr>
    </w:p>
    <w:p>
      <w:pPr>
        <w:pStyle w:val="ListParagraph"/>
        <w:numPr>
          <w:ilvl w:val="1"/>
          <w:numId w:val="10"/>
        </w:numPr>
        <w:jc w:val="both"/>
        <w:rPr>
          <w:rFonts w:ascii="Times New Roman" w:hAnsi="Times New Roman" w:cs="Times New Roman"/>
          <w:noProof/>
          <w:color w:val="auto"/>
          <w:lang w:val="el-GR"/>
        </w:rPr>
      </w:pPr>
      <w:r>
        <w:rPr>
          <w:rFonts w:ascii="Times New Roman" w:hAnsi="Times New Roman"/>
          <w:noProof/>
          <w:color w:val="auto"/>
          <w:sz w:val="24"/>
          <w:lang w:val="el-GR"/>
        </w:rPr>
        <w:t>Τον ορισμό ομάδων προϊόντων, καθώς και απλουστευμένων κριτηρίων για την επιλογή προϊόντων και για τη διακοπή, αναθεώρηση και παράταση των ισχυόντων κριτηρίων για κάθε ομάδα προϊόντων, σε συνάρτηση με το ποσοστό υιοθέτησης για τα υπάρχοντα κριτήρια. Μια πιο στοχευμένη προσέγγιση περιλαμβάνει επίσης την ομαδοποίηση στενά συνδεδεμένων ομάδων προϊόντων, κατά περίπτωση (π.χ. διάφορα σχετικά με το χαρτί προϊόντα με υψηλό δυναμικό, όπως το δημοσιογραφικό χαρτί και το χαρτί υγείας-καθαριότητας).</w:t>
      </w:r>
    </w:p>
    <w:p>
      <w:pPr>
        <w:pStyle w:val="ListParagraph"/>
        <w:numPr>
          <w:ilvl w:val="1"/>
          <w:numId w:val="10"/>
        </w:numPr>
        <w:jc w:val="both"/>
        <w:rPr>
          <w:rFonts w:ascii="Times New Roman" w:hAnsi="Times New Roman" w:cs="Times New Roman"/>
          <w:noProof/>
          <w:color w:val="auto"/>
          <w:sz w:val="24"/>
          <w:szCs w:val="24"/>
          <w:lang w:val="el-GR"/>
        </w:rPr>
      </w:pPr>
      <w:r>
        <w:rPr>
          <w:rFonts w:ascii="Times New Roman" w:hAnsi="Times New Roman"/>
          <w:noProof/>
          <w:color w:val="auto"/>
          <w:sz w:val="24"/>
          <w:lang w:val="el-GR"/>
        </w:rPr>
        <w:t xml:space="preserve">Τη διακοπή των ακόλουθων ομάδων προϊόντων: αποχωρητήρια και ουρητήρια με καταιονισμό νερού, βρύσες κουζίνας και μπάνιου και εξοπλισμός απεικόνισης, καθώς αυτές οι ομάδες προϊόντων έχουν πολύ περιορισμένη υιοθέτηση. </w:t>
      </w:r>
    </w:p>
    <w:p>
      <w:pPr>
        <w:pStyle w:val="ListParagraph"/>
        <w:numPr>
          <w:ilvl w:val="1"/>
          <w:numId w:val="10"/>
        </w:numPr>
        <w:jc w:val="both"/>
        <w:rPr>
          <w:rFonts w:ascii="Times New Roman" w:hAnsi="Times New Roman" w:cs="Times New Roman"/>
          <w:noProof/>
          <w:color w:val="auto"/>
          <w:sz w:val="24"/>
          <w:szCs w:val="24"/>
          <w:lang w:val="el-GR"/>
        </w:rPr>
      </w:pPr>
      <w:r>
        <w:rPr>
          <w:rFonts w:ascii="Times New Roman" w:hAnsi="Times New Roman"/>
          <w:noProof/>
          <w:color w:val="auto"/>
          <w:sz w:val="24"/>
          <w:lang w:val="el-GR"/>
        </w:rPr>
        <w:t xml:space="preserve">Καθορισμό συγκεκριμένων επιχειρησιακών στόχων, σκοπών και επαρκών δραστηριοτήτων παρακολούθησης. </w:t>
      </w:r>
    </w:p>
    <w:p>
      <w:pPr>
        <w:pStyle w:val="Default"/>
        <w:numPr>
          <w:ilvl w:val="1"/>
          <w:numId w:val="10"/>
        </w:numPr>
        <w:jc w:val="both"/>
        <w:rPr>
          <w:rFonts w:ascii="Times New Roman" w:hAnsi="Times New Roman" w:cs="Times New Roman"/>
          <w:noProof/>
          <w:color w:val="auto"/>
          <w:lang w:val="el-GR"/>
        </w:rPr>
      </w:pPr>
      <w:r>
        <w:rPr>
          <w:rFonts w:ascii="Times New Roman" w:hAnsi="Times New Roman"/>
          <w:noProof/>
          <w:color w:val="auto"/>
          <w:lang w:val="el-GR"/>
        </w:rPr>
        <w:t>Μια επικοινωνιακή στρατηγική, με στόχο τόσο τους παραγωγούς όσο και τους καταναλωτές</w:t>
      </w:r>
      <w:r>
        <w:rPr>
          <w:noProof/>
          <w:lang w:val="el-GR"/>
        </w:rPr>
        <w:t>, η οποία θα προσδιορίζει τα κοινά στα οποία απευθύνεται και την κατανομή αρμοδιοτήτων για προωθητικές δραστηριότητες από κοινού με τα κράτη μέλη, τους συμμετέχοντες στον κλάδο και τους σχετικούς πολλαπλασιαστές, σύμφωνα με τις δέκα προτεραιότητες, ιδίως την ατζέντα για την απασχόληση και την ανάπτυξη.</w:t>
      </w:r>
    </w:p>
    <w:p>
      <w:pPr>
        <w:pStyle w:val="Default"/>
        <w:jc w:val="both"/>
        <w:rPr>
          <w:rFonts w:ascii="Times New Roman" w:hAnsi="Times New Roman" w:cs="Times New Roman"/>
          <w:noProof/>
          <w:color w:val="auto"/>
          <w:lang w:val="el-GR"/>
        </w:rPr>
      </w:pPr>
    </w:p>
    <w:p>
      <w:pPr>
        <w:pStyle w:val="Default"/>
        <w:ind w:left="784"/>
        <w:jc w:val="both"/>
        <w:rPr>
          <w:rFonts w:ascii="Times New Roman" w:hAnsi="Times New Roman" w:cs="Times New Roman"/>
          <w:noProof/>
          <w:color w:val="auto"/>
          <w:lang w:val="el-GR"/>
        </w:rPr>
      </w:pPr>
    </w:p>
    <w:p>
      <w:pPr>
        <w:pStyle w:val="Default"/>
        <w:numPr>
          <w:ilvl w:val="0"/>
          <w:numId w:val="10"/>
        </w:numPr>
        <w:jc w:val="both"/>
        <w:rPr>
          <w:rFonts w:ascii="Times New Roman" w:hAnsi="Times New Roman" w:cs="Times New Roman"/>
          <w:noProof/>
          <w:color w:val="auto"/>
          <w:lang w:val="el-GR"/>
        </w:rPr>
      </w:pPr>
      <w:r>
        <w:rPr>
          <w:rFonts w:ascii="Times New Roman" w:hAnsi="Times New Roman"/>
          <w:noProof/>
          <w:color w:val="auto"/>
          <w:lang w:val="el-GR"/>
        </w:rPr>
        <w:t>Εξέταση των επιλογών για τη μείωση του διοικητικού κόστους και του κόστους εξακρίβωσης της συμμόρφωσης, απλούστευση της διαδικασίας διαβούλευσης και ανάπτυξη πρακτικού τρόπου δράσης για την εφαρμογή του άρθρου</w:t>
      </w:r>
      <w:r>
        <w:rPr>
          <w:rFonts w:ascii="Times New Roman" w:hAnsi="Times New Roman"/>
          <w:noProof/>
          <w:color w:val="auto"/>
        </w:rPr>
        <w:t> </w:t>
      </w:r>
      <w:r>
        <w:rPr>
          <w:rFonts w:ascii="Times New Roman" w:hAnsi="Times New Roman"/>
          <w:noProof/>
          <w:color w:val="auto"/>
          <w:lang w:val="el-GR"/>
        </w:rPr>
        <w:t xml:space="preserve">6 παράγραφος 6 και του άρθρου 6 παράγραφος 7. </w:t>
      </w:r>
    </w:p>
    <w:p>
      <w:pPr>
        <w:pStyle w:val="Default"/>
        <w:ind w:left="784"/>
        <w:jc w:val="both"/>
        <w:rPr>
          <w:rFonts w:ascii="Times New Roman" w:hAnsi="Times New Roman" w:cs="Times New Roman"/>
          <w:noProof/>
          <w:color w:val="auto"/>
          <w:lang w:val="el-GR"/>
        </w:rPr>
      </w:pPr>
    </w:p>
    <w:p>
      <w:pPr>
        <w:pStyle w:val="Default"/>
        <w:numPr>
          <w:ilvl w:val="0"/>
          <w:numId w:val="10"/>
        </w:numPr>
        <w:spacing w:after="120"/>
        <w:jc w:val="both"/>
        <w:rPr>
          <w:rFonts w:ascii="Times New Roman" w:hAnsi="Times New Roman" w:cs="Times New Roman"/>
          <w:noProof/>
          <w:color w:val="auto"/>
          <w:lang w:val="el-GR"/>
        </w:rPr>
      </w:pPr>
      <w:r>
        <w:rPr>
          <w:rFonts w:ascii="Times New Roman" w:hAnsi="Times New Roman"/>
          <w:noProof/>
          <w:color w:val="auto"/>
          <w:lang w:val="el-GR"/>
        </w:rPr>
        <w:t>Επιλογές και βέλτιστες πρακτικές για την ενίσχυση του ρόλου του οικολογικού σήματος της ΕΕ στις δημόσιες συμβάσεις, καθώς και ως δείκτη αναφοράς για την περιβαλλοντική αριστεία.</w:t>
      </w:r>
    </w:p>
    <w:p>
      <w:pPr>
        <w:pStyle w:val="Default"/>
        <w:numPr>
          <w:ilvl w:val="0"/>
          <w:numId w:val="10"/>
        </w:numPr>
        <w:spacing w:after="120"/>
        <w:jc w:val="both"/>
        <w:rPr>
          <w:noProof/>
          <w:lang w:val="el-GR"/>
        </w:rPr>
      </w:pPr>
      <w:r>
        <w:rPr>
          <w:noProof/>
          <w:lang w:val="el-GR"/>
        </w:rPr>
        <w:t xml:space="preserve">Διενέργεια ορισμένων προπαρασκευαστικών μελετών σε ομάδες προϊόντων από κοινού για τις πράσινες δημόσιες συμβάσεις, τον οικολογικό σχεδιασμό, την ενεργειακή επισήμανση και τα εργαλεία του οικολογικού σήματος. Αυτό θα επιτρέψει την εξοικονόμηση δαπανών και θα αποτρέψει την ασυνέπεια μεταξύ μελετών που εκπονούνται για λογαριασμό διαφόρων Γενικών Διευθύνσεων για διαφορετικά εργαλεία. </w:t>
      </w:r>
    </w:p>
    <w:p>
      <w:pPr>
        <w:pStyle w:val="Default"/>
        <w:numPr>
          <w:ilvl w:val="0"/>
          <w:numId w:val="10"/>
        </w:numPr>
        <w:jc w:val="both"/>
        <w:rPr>
          <w:rFonts w:ascii="Times New Roman" w:hAnsi="Times New Roman" w:cs="Times New Roman"/>
          <w:noProof/>
          <w:color w:val="auto"/>
          <w:lang w:val="el-GR"/>
        </w:rPr>
      </w:pPr>
      <w:r>
        <w:rPr>
          <w:rFonts w:ascii="Times New Roman" w:hAnsi="Times New Roman"/>
          <w:noProof/>
          <w:color w:val="auto"/>
          <w:lang w:val="el-GR"/>
        </w:rPr>
        <w:t xml:space="preserve">Βελτίωση της συνοχής και ενοποίησης μεταξύ του οικολογικού σήματος της ΕΕ και των υφιστάμενων εθνικών/περιφερειακών σημάτων </w:t>
      </w:r>
    </w:p>
    <w:p>
      <w:pPr>
        <w:pStyle w:val="Default"/>
        <w:jc w:val="both"/>
        <w:rPr>
          <w:rFonts w:ascii="Times New Roman" w:hAnsi="Times New Roman" w:cs="Times New Roman"/>
          <w:noProof/>
          <w:color w:val="auto"/>
          <w:lang w:val="el-GR"/>
        </w:rPr>
      </w:pPr>
    </w:p>
    <w:p>
      <w:pPr>
        <w:pStyle w:val="Default"/>
        <w:jc w:val="both"/>
        <w:rPr>
          <w:rFonts w:ascii="Times New Roman" w:hAnsi="Times New Roman" w:cs="Times New Roman"/>
          <w:noProof/>
          <w:color w:val="auto"/>
          <w:lang w:val="el-GR"/>
        </w:rPr>
      </w:pPr>
    </w:p>
    <w:p>
      <w:pPr>
        <w:pStyle w:val="Default"/>
        <w:jc w:val="both"/>
        <w:rPr>
          <w:rFonts w:ascii="Times New Roman" w:hAnsi="Times New Roman" w:cs="Times New Roman"/>
          <w:noProof/>
          <w:color w:val="auto"/>
          <w:lang w:val="el-GR"/>
        </w:rPr>
      </w:pPr>
      <w:r>
        <w:rPr>
          <w:rFonts w:ascii="Times New Roman" w:hAnsi="Times New Roman"/>
          <w:noProof/>
          <w:color w:val="auto"/>
          <w:lang w:val="el-GR"/>
        </w:rPr>
        <w:t xml:space="preserve">Όσον αφορά τον </w:t>
      </w:r>
      <w:r>
        <w:rPr>
          <w:rFonts w:ascii="Times New Roman" w:hAnsi="Times New Roman"/>
          <w:b/>
          <w:noProof/>
          <w:color w:val="auto"/>
          <w:lang w:val="el-GR"/>
        </w:rPr>
        <w:t xml:space="preserve">κανονισμό </w:t>
      </w:r>
      <w:r>
        <w:rPr>
          <w:rFonts w:ascii="Times New Roman" w:hAnsi="Times New Roman"/>
          <w:b/>
          <w:noProof/>
          <w:color w:val="auto"/>
        </w:rPr>
        <w:t>EMAS</w:t>
      </w:r>
      <w:r>
        <w:rPr>
          <w:rFonts w:ascii="Times New Roman" w:hAnsi="Times New Roman"/>
          <w:noProof/>
          <w:color w:val="auto"/>
          <w:lang w:val="el-GR"/>
        </w:rPr>
        <w:t xml:space="preserve"> και τα μεικτά αποτελέσματα του ελέγχου καταλληλότητας</w:t>
      </w:r>
      <w:r>
        <w:rPr>
          <w:noProof/>
          <w:lang w:val="el-GR"/>
        </w:rPr>
        <w:t xml:space="preserve">, </w:t>
      </w:r>
      <w:r>
        <w:rPr>
          <w:rFonts w:ascii="Times New Roman" w:hAnsi="Times New Roman"/>
          <w:noProof/>
          <w:lang w:val="el-GR"/>
        </w:rPr>
        <w:t xml:space="preserve">η δέσμευση και η υποστήριξη των κρατών μελών για το σύστημα θα αποτελεί καθοριστικό παράγοντα για τη συνέχιση του συστήματος. Ως εκ τούτου, </w:t>
      </w:r>
      <w:r>
        <w:rPr>
          <w:rFonts w:ascii="Times New Roman" w:hAnsi="Times New Roman"/>
          <w:noProof/>
          <w:color w:val="auto"/>
          <w:lang w:val="el-GR"/>
        </w:rPr>
        <w:t xml:space="preserve">το 2017, η Επιτροπή θα επιδιώξει την επιβεβαίωση της δέσμευσης των κρατών μελών ως προς τα εξής: </w:t>
      </w:r>
    </w:p>
    <w:p>
      <w:pPr>
        <w:pStyle w:val="Default"/>
        <w:jc w:val="both"/>
        <w:rPr>
          <w:rFonts w:ascii="Times New Roman" w:hAnsi="Times New Roman" w:cs="Times New Roman"/>
          <w:noProof/>
          <w:color w:val="auto"/>
          <w:lang w:val="el-GR"/>
        </w:rPr>
      </w:pPr>
    </w:p>
    <w:p>
      <w:pPr>
        <w:pStyle w:val="Default"/>
        <w:numPr>
          <w:ilvl w:val="0"/>
          <w:numId w:val="20"/>
        </w:numPr>
        <w:jc w:val="both"/>
        <w:rPr>
          <w:rFonts w:ascii="Times New Roman" w:hAnsi="Times New Roman" w:cs="Times New Roman"/>
          <w:noProof/>
          <w:color w:val="auto"/>
        </w:rPr>
      </w:pPr>
      <w:r>
        <w:rPr>
          <w:rFonts w:ascii="Times New Roman" w:hAnsi="Times New Roman"/>
          <w:noProof/>
          <w:color w:val="auto"/>
        </w:rPr>
        <w:t xml:space="preserve">τη συνέχιση του συστήματος και </w:t>
      </w:r>
    </w:p>
    <w:p>
      <w:pPr>
        <w:pStyle w:val="Default"/>
        <w:numPr>
          <w:ilvl w:val="0"/>
          <w:numId w:val="20"/>
        </w:numPr>
        <w:jc w:val="both"/>
        <w:rPr>
          <w:rFonts w:ascii="Times New Roman" w:hAnsi="Times New Roman" w:cs="Times New Roman"/>
          <w:noProof/>
          <w:color w:val="auto"/>
          <w:lang w:val="el-GR"/>
        </w:rPr>
      </w:pPr>
      <w:r>
        <w:rPr>
          <w:rFonts w:ascii="Times New Roman" w:hAnsi="Times New Roman"/>
          <w:noProof/>
          <w:color w:val="auto"/>
          <w:lang w:val="el-GR"/>
        </w:rPr>
        <w:t>την εφαρμογή των μέτρων</w:t>
      </w:r>
      <w:r>
        <w:rPr>
          <w:noProof/>
          <w:lang w:val="el-GR"/>
        </w:rPr>
        <w:t xml:space="preserve"> </w:t>
      </w:r>
      <w:r>
        <w:rPr>
          <w:rFonts w:ascii="Times New Roman" w:hAnsi="Times New Roman"/>
          <w:noProof/>
          <w:color w:val="auto"/>
          <w:lang w:val="el-GR"/>
        </w:rPr>
        <w:t>που υποστηρίζουν</w:t>
      </w:r>
      <w:r>
        <w:rPr>
          <w:noProof/>
          <w:lang w:val="el-GR"/>
        </w:rPr>
        <w:t xml:space="preserve"> </w:t>
      </w:r>
      <w:r>
        <w:rPr>
          <w:rFonts w:ascii="Times New Roman" w:hAnsi="Times New Roman"/>
          <w:noProof/>
          <w:lang w:val="el-GR"/>
        </w:rPr>
        <w:t>την καλύτερη υιοθέτηση</w:t>
      </w:r>
      <w:r>
        <w:rPr>
          <w:rFonts w:ascii="Times New Roman" w:hAnsi="Times New Roman"/>
          <w:noProof/>
          <w:color w:val="auto"/>
          <w:lang w:val="el-GR"/>
        </w:rPr>
        <w:t>.</w:t>
      </w:r>
    </w:p>
    <w:p>
      <w:pPr>
        <w:pStyle w:val="Default"/>
        <w:jc w:val="both"/>
        <w:rPr>
          <w:rFonts w:ascii="Times New Roman" w:hAnsi="Times New Roman" w:cs="Times New Roman"/>
          <w:noProof/>
          <w:color w:val="auto"/>
          <w:lang w:val="el-GR"/>
        </w:rPr>
      </w:pPr>
    </w:p>
    <w:p>
      <w:pPr>
        <w:pStyle w:val="Default"/>
        <w:jc w:val="both"/>
        <w:rPr>
          <w:rFonts w:ascii="Times New Roman" w:hAnsi="Times New Roman" w:cs="Times New Roman"/>
          <w:noProof/>
          <w:color w:val="auto"/>
          <w:lang w:val="el-GR"/>
        </w:rPr>
      </w:pPr>
      <w:r>
        <w:rPr>
          <w:rFonts w:ascii="Times New Roman" w:hAnsi="Times New Roman"/>
          <w:noProof/>
          <w:color w:val="auto"/>
          <w:lang w:val="el-GR"/>
        </w:rPr>
        <w:t>Ανάλογα με την υποστήριξη των κρατών μελών, η Επιτροπή θα αναπτύξει δράσεις</w:t>
      </w:r>
      <w:r>
        <w:rPr>
          <w:noProof/>
          <w:lang w:val="el-GR"/>
        </w:rPr>
        <w:t xml:space="preserve"> </w:t>
      </w:r>
      <w:r>
        <w:rPr>
          <w:rFonts w:ascii="Times New Roman" w:hAnsi="Times New Roman"/>
          <w:noProof/>
          <w:color w:val="auto"/>
          <w:lang w:val="el-GR"/>
        </w:rPr>
        <w:t>προκειμένου να αυξηθεί περαιτέρω η προστιθέμενη αξία του συστήματος:</w:t>
      </w:r>
    </w:p>
    <w:p>
      <w:pPr>
        <w:pStyle w:val="Default"/>
        <w:ind w:left="720"/>
        <w:jc w:val="both"/>
        <w:rPr>
          <w:rFonts w:ascii="Times New Roman" w:hAnsi="Times New Roman" w:cs="Times New Roman"/>
          <w:noProof/>
          <w:color w:val="auto"/>
          <w:lang w:val="el-GR"/>
        </w:rPr>
      </w:pPr>
    </w:p>
    <w:p>
      <w:pPr>
        <w:pStyle w:val="Default"/>
        <w:numPr>
          <w:ilvl w:val="0"/>
          <w:numId w:val="12"/>
        </w:numPr>
        <w:spacing w:after="120"/>
        <w:jc w:val="both"/>
        <w:rPr>
          <w:rFonts w:ascii="Times New Roman" w:hAnsi="Times New Roman" w:cs="Times New Roman"/>
          <w:noProof/>
          <w:color w:val="auto"/>
          <w:lang w:val="el-GR"/>
        </w:rPr>
      </w:pPr>
      <w:r>
        <w:rPr>
          <w:rFonts w:ascii="Times New Roman" w:hAnsi="Times New Roman"/>
          <w:noProof/>
          <w:color w:val="auto"/>
          <w:lang w:val="el-GR"/>
        </w:rPr>
        <w:t>Ανάπτυξη, σε συνεργασία με τα κράτη μέλη, πρόσθετων ευκαιριών</w:t>
      </w:r>
      <w:r>
        <w:rPr>
          <w:noProof/>
          <w:lang w:val="el-GR"/>
        </w:rPr>
        <w:t xml:space="preserve"> για τη χρήση του </w:t>
      </w:r>
      <w:r>
        <w:rPr>
          <w:noProof/>
        </w:rPr>
        <w:t>EMAS</w:t>
      </w:r>
      <w:r>
        <w:rPr>
          <w:noProof/>
          <w:lang w:val="el-GR"/>
        </w:rPr>
        <w:t xml:space="preserve"> ως εργαλείου για τη μείωση της διοικητικής επιβάρυνσης και για την κανονιστική ελάφρυνση. </w:t>
      </w:r>
      <w:r>
        <w:rPr>
          <w:rFonts w:ascii="Times New Roman" w:hAnsi="Times New Roman"/>
          <w:noProof/>
          <w:lang w:val="el-GR"/>
        </w:rPr>
        <w:t>Το δυναμικό για τη χρησιμοποίηση του εργαλείου για τη μείωση της διοικητικής επιβάρυνσης, με την παροχή μεγαλύτερης κανονιστικής ελάφρυνσης παραμένει μεγάλο και έχει αξιοποιηθεί με άνισο τρόπο στα κράτη μέλη.</w:t>
      </w:r>
    </w:p>
    <w:p>
      <w:pPr>
        <w:pStyle w:val="Default"/>
        <w:numPr>
          <w:ilvl w:val="0"/>
          <w:numId w:val="12"/>
        </w:numPr>
        <w:spacing w:after="120"/>
        <w:jc w:val="both"/>
        <w:rPr>
          <w:rFonts w:ascii="Times New Roman" w:hAnsi="Times New Roman" w:cs="Times New Roman"/>
          <w:noProof/>
          <w:color w:val="auto"/>
          <w:lang w:val="el-GR"/>
        </w:rPr>
      </w:pPr>
      <w:r>
        <w:rPr>
          <w:rFonts w:ascii="Times New Roman" w:hAnsi="Times New Roman"/>
          <w:noProof/>
          <w:color w:val="auto"/>
          <w:lang w:val="el-GR"/>
        </w:rPr>
        <w:t xml:space="preserve">Χρήση της επικύρωσης της συμμόρφωσης και της διαφάνειας για τις περιβαλλοντικές επιδόσεις που απαιτούνται από το </w:t>
      </w:r>
      <w:r>
        <w:rPr>
          <w:rFonts w:ascii="Times New Roman" w:hAnsi="Times New Roman"/>
          <w:noProof/>
          <w:color w:val="auto"/>
        </w:rPr>
        <w:t>EMAS</w:t>
      </w:r>
      <w:r>
        <w:rPr>
          <w:rFonts w:ascii="Times New Roman" w:hAnsi="Times New Roman"/>
          <w:noProof/>
          <w:color w:val="auto"/>
          <w:lang w:val="el-GR"/>
        </w:rPr>
        <w:t>, προκειμένου να διευκολύνεται η εφαρμογή των περιβαλλοντικών πολιτικών στο πεδίο της ενέργειας, των εκπομπών στην ατμόσφαιρα, της βιοποικιλότητας και της διαχείρισης του νερού ή των αποβλήτων.</w:t>
      </w:r>
    </w:p>
    <w:p>
      <w:pPr>
        <w:pStyle w:val="Default"/>
        <w:numPr>
          <w:ilvl w:val="0"/>
          <w:numId w:val="12"/>
        </w:numPr>
        <w:spacing w:after="240"/>
        <w:jc w:val="both"/>
        <w:rPr>
          <w:rFonts w:ascii="Times New Roman" w:hAnsi="Times New Roman" w:cs="Times New Roman"/>
          <w:noProof/>
          <w:color w:val="auto"/>
          <w:lang w:val="el-GR"/>
        </w:rPr>
      </w:pPr>
      <w:r>
        <w:rPr>
          <w:rFonts w:ascii="Times New Roman" w:hAnsi="Times New Roman"/>
          <w:noProof/>
          <w:color w:val="auto"/>
          <w:lang w:val="el-GR"/>
        </w:rPr>
        <w:t xml:space="preserve">Εξέταση του τρόπου με τον οποίο η εφαρμογή του </w:t>
      </w:r>
      <w:r>
        <w:rPr>
          <w:rFonts w:ascii="Times New Roman" w:hAnsi="Times New Roman"/>
          <w:noProof/>
          <w:color w:val="auto"/>
        </w:rPr>
        <w:t>EMAS</w:t>
      </w:r>
      <w:r>
        <w:rPr>
          <w:rFonts w:ascii="Times New Roman" w:hAnsi="Times New Roman"/>
          <w:noProof/>
          <w:color w:val="auto"/>
          <w:lang w:val="el-GR"/>
        </w:rPr>
        <w:t xml:space="preserve"> μπορεί να ενσωματωθεί καλύτερα στην εφαρμογή του πράσινου σχεδίου δράσης για τις ΜΜΕ</w:t>
      </w:r>
      <w:r>
        <w:rPr>
          <w:rStyle w:val="FootnoteReference"/>
          <w:rFonts w:ascii="Times New Roman" w:hAnsi="Times New Roman"/>
          <w:noProof/>
          <w:color w:val="auto"/>
        </w:rPr>
        <w:footnoteReference w:id="16"/>
      </w:r>
      <w:r>
        <w:rPr>
          <w:rFonts w:ascii="Times New Roman" w:hAnsi="Times New Roman"/>
          <w:noProof/>
          <w:color w:val="auto"/>
          <w:lang w:val="el-GR"/>
        </w:rPr>
        <w:t xml:space="preserve">. </w:t>
      </w:r>
    </w:p>
    <w:p>
      <w:pPr>
        <w:pStyle w:val="Default"/>
        <w:numPr>
          <w:ilvl w:val="0"/>
          <w:numId w:val="12"/>
        </w:numPr>
        <w:jc w:val="both"/>
        <w:rPr>
          <w:rFonts w:ascii="Times New Roman" w:hAnsi="Times New Roman" w:cs="Times New Roman"/>
          <w:noProof/>
          <w:color w:val="auto"/>
          <w:lang w:val="el-GR"/>
        </w:rPr>
      </w:pPr>
      <w:r>
        <w:rPr>
          <w:rFonts w:ascii="Times New Roman" w:hAnsi="Times New Roman"/>
          <w:noProof/>
          <w:color w:val="auto"/>
          <w:lang w:val="el-GR"/>
        </w:rPr>
        <w:t>Χάραξη ξεκάθαρης επικοινωνιακής στρατηγικής, περιλαμβανομένου του προσδιορισμού του σχετικού κοινού στο οποίο απευθύνεται και της κατανομής αρμοδιοτήτων για προωθητικές δραστηριότητες από κοινού με τα κράτη μέλη, τους συμμετέχοντες στον κλάδο και τους σχετικούς πολλαπλασιαστές, σύμφωνα με τις δέκα προτεραιότητες, ιδίως την ατζέντα για την απασχόληση και την ανάπτυξη.</w:t>
      </w:r>
    </w:p>
    <w:p>
      <w:pPr>
        <w:pStyle w:val="Default"/>
        <w:ind w:left="720"/>
        <w:jc w:val="both"/>
        <w:rPr>
          <w:rFonts w:ascii="Times New Roman" w:hAnsi="Times New Roman" w:cs="Times New Roman"/>
          <w:noProof/>
          <w:color w:val="auto"/>
          <w:lang w:val="el-GR"/>
        </w:rPr>
      </w:pPr>
    </w:p>
    <w:p>
      <w:pPr>
        <w:pStyle w:val="Default"/>
        <w:numPr>
          <w:ilvl w:val="0"/>
          <w:numId w:val="12"/>
        </w:numPr>
        <w:jc w:val="both"/>
        <w:rPr>
          <w:rFonts w:ascii="Times New Roman" w:hAnsi="Times New Roman" w:cs="Times New Roman"/>
          <w:noProof/>
          <w:color w:val="auto"/>
          <w:lang w:val="el-GR"/>
        </w:rPr>
      </w:pPr>
      <w:r>
        <w:rPr>
          <w:rFonts w:ascii="Times New Roman" w:hAnsi="Times New Roman"/>
          <w:noProof/>
          <w:color w:val="auto"/>
          <w:lang w:val="el-GR"/>
        </w:rPr>
        <w:t xml:space="preserve">Προώθηση των ευρωπαϊκών επιχειρήσεων με έμφαση στους πρωτοπόρους και στα ανταγωνιστικά πλεονεκτήματα σε συνεργασία με τα κράτη μέλη, με το </w:t>
      </w:r>
      <w:r>
        <w:rPr>
          <w:rFonts w:ascii="Times New Roman" w:hAnsi="Times New Roman"/>
          <w:noProof/>
          <w:color w:val="auto"/>
        </w:rPr>
        <w:t>EMAS</w:t>
      </w:r>
      <w:r>
        <w:rPr>
          <w:rFonts w:ascii="Times New Roman" w:hAnsi="Times New Roman"/>
          <w:noProof/>
          <w:color w:val="auto"/>
          <w:lang w:val="el-GR"/>
        </w:rPr>
        <w:t xml:space="preserve"> ως «υψηλής ποιότητας» σύστημα περιβαλλοντικής διαχείρισης.</w:t>
      </w:r>
    </w:p>
    <w:p>
      <w:pPr>
        <w:pStyle w:val="Default"/>
        <w:ind w:left="720"/>
        <w:jc w:val="both"/>
        <w:rPr>
          <w:rFonts w:ascii="Times New Roman" w:hAnsi="Times New Roman" w:cs="Times New Roman"/>
          <w:noProof/>
          <w:color w:val="auto"/>
          <w:lang w:val="el-GR"/>
        </w:rPr>
      </w:pPr>
    </w:p>
    <w:p>
      <w:pPr>
        <w:pStyle w:val="Default"/>
        <w:numPr>
          <w:ilvl w:val="0"/>
          <w:numId w:val="12"/>
        </w:numPr>
        <w:jc w:val="both"/>
        <w:rPr>
          <w:rFonts w:ascii="Times New Roman" w:hAnsi="Times New Roman" w:cs="Times New Roman"/>
          <w:noProof/>
          <w:color w:val="auto"/>
          <w:lang w:val="el-GR"/>
        </w:rPr>
      </w:pPr>
      <w:r>
        <w:rPr>
          <w:rFonts w:ascii="Times New Roman" w:hAnsi="Times New Roman"/>
          <w:noProof/>
          <w:color w:val="auto"/>
          <w:lang w:val="el-GR"/>
        </w:rPr>
        <w:t xml:space="preserve">Λήψη υπόψη της εξέλιξης του προτύπου </w:t>
      </w:r>
      <w:r>
        <w:rPr>
          <w:rFonts w:ascii="Times New Roman" w:hAnsi="Times New Roman"/>
          <w:noProof/>
          <w:color w:val="auto"/>
        </w:rPr>
        <w:t>ISO</w:t>
      </w:r>
      <w:r>
        <w:rPr>
          <w:rFonts w:ascii="Times New Roman" w:hAnsi="Times New Roman"/>
          <w:noProof/>
          <w:color w:val="auto"/>
          <w:lang w:val="el-GR"/>
        </w:rPr>
        <w:t xml:space="preserve"> 14001 το 2015 και της αλληλεπίδρασης μεταξύ του αναθεωρημένου προτύπου και του </w:t>
      </w:r>
      <w:r>
        <w:rPr>
          <w:rFonts w:ascii="Times New Roman" w:hAnsi="Times New Roman"/>
          <w:noProof/>
          <w:color w:val="auto"/>
        </w:rPr>
        <w:t>EMAS</w:t>
      </w:r>
      <w:r>
        <w:rPr>
          <w:rFonts w:ascii="Times New Roman" w:hAnsi="Times New Roman"/>
          <w:noProof/>
          <w:color w:val="auto"/>
          <w:lang w:val="el-GR"/>
        </w:rPr>
        <w:t xml:space="preserve">. </w:t>
      </w:r>
    </w:p>
    <w:p>
      <w:pPr>
        <w:pStyle w:val="Default"/>
        <w:ind w:left="720"/>
        <w:jc w:val="both"/>
        <w:rPr>
          <w:rFonts w:ascii="Times New Roman" w:hAnsi="Times New Roman" w:cs="Times New Roman"/>
          <w:noProof/>
          <w:color w:val="auto"/>
          <w:lang w:val="el-GR"/>
        </w:rPr>
      </w:pPr>
    </w:p>
    <w:p>
      <w:pPr>
        <w:pStyle w:val="Default"/>
        <w:numPr>
          <w:ilvl w:val="0"/>
          <w:numId w:val="12"/>
        </w:numPr>
        <w:jc w:val="both"/>
        <w:rPr>
          <w:rFonts w:ascii="Times New Roman" w:hAnsi="Times New Roman" w:cs="Times New Roman"/>
          <w:noProof/>
          <w:color w:val="auto"/>
          <w:lang w:val="el-GR"/>
        </w:rPr>
      </w:pPr>
      <w:r>
        <w:rPr>
          <w:rFonts w:ascii="Times New Roman" w:hAnsi="Times New Roman"/>
          <w:noProof/>
          <w:color w:val="auto"/>
          <w:lang w:val="el-GR"/>
        </w:rPr>
        <w:t xml:space="preserve">Αναπαραγωγή των μέτρων που εφαρμόζονται από τα κράτη μέλη τα οποία έχουν επιτύχει σημαντικό αριθμό καταχωρίσεων στο </w:t>
      </w:r>
      <w:r>
        <w:rPr>
          <w:rFonts w:ascii="Times New Roman" w:hAnsi="Times New Roman"/>
          <w:noProof/>
          <w:color w:val="auto"/>
        </w:rPr>
        <w:t>EMAS</w:t>
      </w:r>
      <w:r>
        <w:rPr>
          <w:rFonts w:ascii="Times New Roman" w:hAnsi="Times New Roman"/>
          <w:noProof/>
          <w:color w:val="auto"/>
          <w:lang w:val="el-GR"/>
        </w:rPr>
        <w:t xml:space="preserve"> και έχουν αναγνωριστεί ως βέλτιστες πρακτικές.</w:t>
      </w:r>
    </w:p>
    <w:p>
      <w:pPr>
        <w:pStyle w:val="Default"/>
        <w:ind w:left="720"/>
        <w:jc w:val="both"/>
        <w:rPr>
          <w:rFonts w:ascii="Times New Roman" w:hAnsi="Times New Roman" w:cs="Times New Roman"/>
          <w:noProof/>
          <w:color w:val="auto"/>
          <w:lang w:val="el-GR"/>
        </w:rPr>
      </w:pPr>
    </w:p>
    <w:p>
      <w:pPr>
        <w:pStyle w:val="Default"/>
        <w:numPr>
          <w:ilvl w:val="0"/>
          <w:numId w:val="12"/>
        </w:numPr>
        <w:jc w:val="both"/>
        <w:rPr>
          <w:rFonts w:ascii="Times New Roman" w:hAnsi="Times New Roman" w:cs="Times New Roman"/>
          <w:noProof/>
          <w:color w:val="auto"/>
          <w:lang w:val="el-GR"/>
        </w:rPr>
      </w:pPr>
      <w:r>
        <w:rPr>
          <w:rFonts w:ascii="Times New Roman" w:hAnsi="Times New Roman"/>
          <w:noProof/>
          <w:color w:val="auto"/>
          <w:lang w:val="el-GR"/>
        </w:rPr>
        <w:t xml:space="preserve">Εξασφάλιση αποτελεσματικών διαύλων υποβολής εκθέσεων από οργανισμούς στις αρχές, ούτως ώστε οι εξακριβωμένες περιβαλλοντικές επιδόσεις και η νομική συμμόρφωση του </w:t>
      </w:r>
      <w:r>
        <w:rPr>
          <w:rFonts w:ascii="Times New Roman" w:hAnsi="Times New Roman"/>
          <w:noProof/>
          <w:color w:val="auto"/>
        </w:rPr>
        <w:t>EMAS</w:t>
      </w:r>
      <w:r>
        <w:rPr>
          <w:rFonts w:ascii="Times New Roman" w:hAnsi="Times New Roman"/>
          <w:noProof/>
          <w:color w:val="auto"/>
          <w:lang w:val="el-GR"/>
        </w:rPr>
        <w:t xml:space="preserve"> να μπορούν να χρησιμοποιηθούν για τη διευκόλυνση της εφαρμογής άλλων περιβαλλοντικών πολιτικών.</w:t>
      </w:r>
    </w:p>
    <w:p>
      <w:pPr>
        <w:pStyle w:val="Default"/>
        <w:jc w:val="both"/>
        <w:rPr>
          <w:rFonts w:ascii="Times New Roman" w:hAnsi="Times New Roman" w:cs="Times New Roman"/>
          <w:noProof/>
          <w:color w:val="auto"/>
          <w:lang w:val="el-GR"/>
        </w:rPr>
      </w:pPr>
    </w:p>
    <w:p>
      <w:pPr>
        <w:rPr>
          <w:noProof/>
          <w:lang w:val="el-GR"/>
        </w:rPr>
      </w:pPr>
    </w:p>
    <w:sectPr>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708" w:footer="708"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756218"/>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CoverPage"/>
      <w:tabs>
        <w:tab w:val="clear" w:pos="9071"/>
        <w:tab w:val="clear" w:pos="9921"/>
        <w:tab w:val="right" w:pos="9046"/>
        <w:tab w:val="right" w:pos="904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rPr>
          <w:rFonts w:ascii="Times New Roman" w:hAnsi="Times New Roman" w:cs="Times New Roman"/>
          <w:sz w:val="18"/>
          <w:szCs w:val="18"/>
          <w:lang w:val="el-GR"/>
        </w:rPr>
      </w:pPr>
      <w:r>
        <w:rPr>
          <w:rStyle w:val="FootnoteReference"/>
          <w:rFonts w:ascii="Times New Roman" w:hAnsi="Times New Roman"/>
          <w:sz w:val="18"/>
        </w:rPr>
        <w:footnoteRef/>
      </w:r>
      <w:r>
        <w:rPr>
          <w:rFonts w:ascii="Times New Roman" w:hAnsi="Times New Roman"/>
          <w:sz w:val="18"/>
          <w:lang w:val="el-GR"/>
        </w:rPr>
        <w:t xml:space="preserve"> </w:t>
      </w:r>
      <w:hyperlink r:id="rId1">
        <w:r>
          <w:rPr>
            <w:rStyle w:val="Hyperlink"/>
          </w:rPr>
          <w:t>COM</w:t>
        </w:r>
        <w:r>
          <w:rPr>
            <w:rStyle w:val="Hyperlink"/>
            <w:lang w:val="el-GR"/>
          </w:rPr>
          <w:t>(2008) 397</w:t>
        </w:r>
      </w:hyperlink>
    </w:p>
  </w:footnote>
  <w:footnote w:id="3">
    <w:p>
      <w:pPr>
        <w:pStyle w:val="FootnoteText"/>
        <w:rPr>
          <w:lang w:val="el-GR"/>
        </w:rPr>
      </w:pPr>
      <w:r>
        <w:rPr>
          <w:rStyle w:val="FootnoteReference"/>
        </w:rPr>
        <w:footnoteRef/>
      </w:r>
      <w:r>
        <w:rPr>
          <w:lang w:val="el-GR"/>
        </w:rPr>
        <w:t xml:space="preserve"> </w:t>
      </w:r>
      <w:hyperlink r:id="rId2">
        <w:r>
          <w:rPr>
            <w:rStyle w:val="Hyperlink0"/>
            <w:lang w:val="el-GR"/>
          </w:rPr>
          <w:t>Κανονισμός (</w:t>
        </w:r>
        <w:r>
          <w:rPr>
            <w:rStyle w:val="Hyperlink0"/>
          </w:rPr>
          <w:t>E</w:t>
        </w:r>
        <w:r>
          <w:rPr>
            <w:rStyle w:val="Hyperlink0"/>
            <w:lang w:val="el-GR"/>
          </w:rPr>
          <w:t>Κ) 66/2010</w:t>
        </w:r>
      </w:hyperlink>
    </w:p>
  </w:footnote>
  <w:footnote w:id="4">
    <w:p>
      <w:pPr>
        <w:pStyle w:val="FootnoteText"/>
        <w:rPr>
          <w:lang w:val="el-GR"/>
        </w:rPr>
      </w:pPr>
      <w:r>
        <w:rPr>
          <w:rStyle w:val="FootnoteReference"/>
        </w:rPr>
        <w:footnoteRef/>
      </w:r>
      <w:r>
        <w:rPr>
          <w:lang w:val="el-GR"/>
        </w:rPr>
        <w:t xml:space="preserve"> </w:t>
      </w:r>
      <w:hyperlink r:id="rId3">
        <w:r>
          <w:rPr>
            <w:rStyle w:val="Hyperlink0"/>
            <w:lang w:val="el-GR"/>
          </w:rPr>
          <w:t>Κανονισμός (</w:t>
        </w:r>
        <w:r>
          <w:rPr>
            <w:rStyle w:val="Hyperlink0"/>
          </w:rPr>
          <w:t>E</w:t>
        </w:r>
        <w:r>
          <w:rPr>
            <w:rStyle w:val="Hyperlink0"/>
            <w:lang w:val="el-GR"/>
          </w:rPr>
          <w:t>Κ) 1221/2009</w:t>
        </w:r>
      </w:hyperlink>
    </w:p>
  </w:footnote>
  <w:footnote w:id="5">
    <w:p>
      <w:pPr>
        <w:pStyle w:val="FootnoteText"/>
        <w:rPr>
          <w:lang w:val="pt-PT"/>
        </w:rPr>
      </w:pPr>
      <w:r>
        <w:rPr>
          <w:rStyle w:val="FootnoteReference"/>
        </w:rPr>
        <w:footnoteRef/>
      </w:r>
      <w:r>
        <w:rPr>
          <w:lang w:val="pt-PT"/>
        </w:rPr>
        <w:t xml:space="preserve"> </w:t>
      </w:r>
      <w:hyperlink r:id="rId4">
        <w:r>
          <w:rPr>
            <w:rStyle w:val="Hyperlink"/>
            <w:lang w:val="pt-PT"/>
          </w:rPr>
          <w:t>COM(2012) 746 final</w:t>
        </w:r>
      </w:hyperlink>
    </w:p>
  </w:footnote>
  <w:footnote w:id="6">
    <w:p>
      <w:pPr>
        <w:pStyle w:val="FootnoteText"/>
        <w:rPr>
          <w:lang w:val="pt-PT"/>
        </w:rPr>
      </w:pPr>
      <w:r>
        <w:rPr>
          <w:rStyle w:val="FootnoteReference"/>
        </w:rPr>
        <w:footnoteRef/>
      </w:r>
      <w:r>
        <w:rPr>
          <w:lang w:val="pt-PT"/>
        </w:rPr>
        <w:t xml:space="preserve"> </w:t>
      </w:r>
      <w:hyperlink r:id="rId5">
        <w:r>
          <w:rPr>
            <w:rStyle w:val="Hyperlink"/>
            <w:lang w:val="pt-PT"/>
          </w:rPr>
          <w:t>COM(2008) 397</w:t>
        </w:r>
      </w:hyperlink>
    </w:p>
  </w:footnote>
  <w:footnote w:id="7">
    <w:p>
      <w:pPr>
        <w:pStyle w:val="FootnoteText"/>
        <w:rPr>
          <w:lang w:val="pt-PT"/>
        </w:rPr>
      </w:pPr>
      <w:r>
        <w:rPr>
          <w:rStyle w:val="FootnoteReference"/>
        </w:rPr>
        <w:footnoteRef/>
      </w:r>
      <w:r>
        <w:rPr>
          <w:lang w:val="pt-PT"/>
        </w:rPr>
        <w:t xml:space="preserve"> </w:t>
      </w:r>
      <w:hyperlink r:id="rId6">
        <w:r>
          <w:rPr>
            <w:rStyle w:val="Hyperlink"/>
          </w:rPr>
          <w:t>Απόφαση</w:t>
        </w:r>
        <w:r>
          <w:rPr>
            <w:rStyle w:val="Hyperlink"/>
            <w:lang w:val="pt-PT"/>
          </w:rPr>
          <w:t xml:space="preserve"> </w:t>
        </w:r>
        <w:r>
          <w:rPr>
            <w:rStyle w:val="Hyperlink"/>
          </w:rPr>
          <w:t>αριθ</w:t>
        </w:r>
        <w:r>
          <w:rPr>
            <w:rStyle w:val="Hyperlink"/>
            <w:lang w:val="pt-PT"/>
          </w:rPr>
          <w:t>. 1386/2013/</w:t>
        </w:r>
        <w:r>
          <w:rPr>
            <w:rStyle w:val="Hyperlink"/>
          </w:rPr>
          <w:t>ΕΕ</w:t>
        </w:r>
      </w:hyperlink>
    </w:p>
  </w:footnote>
  <w:footnote w:id="8">
    <w:p>
      <w:pPr>
        <w:pStyle w:val="FootnoteText"/>
        <w:rPr>
          <w:lang w:val="en-GB"/>
        </w:rPr>
      </w:pPr>
      <w:r>
        <w:rPr>
          <w:rStyle w:val="FootnoteReference"/>
        </w:rPr>
        <w:footnoteRef/>
      </w:r>
      <w:r>
        <w:rPr>
          <w:lang w:val="en-GB"/>
        </w:rPr>
        <w:t xml:space="preserve"> </w:t>
      </w:r>
      <w:hyperlink r:id="rId7">
        <w:r>
          <w:rPr>
            <w:rStyle w:val="Hyperlink"/>
            <w:lang w:val="en-GB"/>
          </w:rPr>
          <w:t>COM(2015) 614</w:t>
        </w:r>
      </w:hyperlink>
    </w:p>
  </w:footnote>
  <w:footnote w:id="9">
    <w:p>
      <w:pPr>
        <w:pStyle w:val="FootnoteText"/>
        <w:rPr>
          <w:lang w:val="en-GB"/>
        </w:rPr>
      </w:pPr>
      <w:r>
        <w:rPr>
          <w:rStyle w:val="FootnoteReference"/>
        </w:rPr>
        <w:footnoteRef/>
      </w:r>
      <w:r>
        <w:rPr>
          <w:lang w:val="en-GB"/>
        </w:rPr>
        <w:t xml:space="preserve"> Final Report Supporting the Evaluation of the Implementation of EMAS (June 2015), Adelphi and S. Anna School of Advanced Studies</w:t>
      </w:r>
    </w:p>
    <w:p>
      <w:pPr>
        <w:pStyle w:val="FootnoteText"/>
        <w:rPr>
          <w:lang w:val="en-GB"/>
        </w:rPr>
      </w:pPr>
      <w:r>
        <w:rPr>
          <w:lang w:val="en-GB"/>
        </w:rPr>
        <w:t>Project to Support the Evaluation of the Implementation of the EU Ecolabel Regulation (April 2015), Ricardo Energy &amp; Environment</w:t>
      </w:r>
    </w:p>
  </w:footnote>
  <w:footnote w:id="10">
    <w:p>
      <w:pPr>
        <w:pStyle w:val="FootnoteText"/>
        <w:rPr>
          <w:lang w:val="pt-PT"/>
        </w:rPr>
      </w:pPr>
      <w:r>
        <w:rPr>
          <w:rStyle w:val="FootnoteReference"/>
        </w:rPr>
        <w:footnoteRef/>
      </w:r>
      <w:r>
        <w:rPr>
          <w:lang w:val="pt-PT"/>
        </w:rPr>
        <w:t xml:space="preserve"> </w:t>
      </w:r>
      <w:hyperlink r:id="rId8">
        <w:r>
          <w:rPr>
            <w:rStyle w:val="Hyperlink"/>
            <w:lang w:val="pt-PT"/>
          </w:rPr>
          <w:t>COM(2010) 2020 final</w:t>
        </w:r>
      </w:hyperlink>
    </w:p>
  </w:footnote>
  <w:footnote w:id="11">
    <w:p>
      <w:pPr>
        <w:pStyle w:val="FootnoteText"/>
        <w:rPr>
          <w:lang w:val="pt-PT"/>
        </w:rPr>
      </w:pPr>
      <w:r>
        <w:rPr>
          <w:rStyle w:val="FootnoteReference"/>
        </w:rPr>
        <w:footnoteRef/>
      </w:r>
      <w:r>
        <w:rPr>
          <w:lang w:val="pt-PT"/>
        </w:rPr>
        <w:t xml:space="preserve"> </w:t>
      </w:r>
      <w:hyperlink r:id="rId9">
        <w:r>
          <w:rPr>
            <w:rStyle w:val="Hyperlink"/>
            <w:lang w:val="pt-PT"/>
          </w:rPr>
          <w:t>COM(2011) 571 final</w:t>
        </w:r>
      </w:hyperlink>
    </w:p>
  </w:footnote>
  <w:footnote w:id="12">
    <w:p>
      <w:pPr>
        <w:pStyle w:val="FootnoteText"/>
        <w:rPr>
          <w:lang w:val="pt-PT"/>
        </w:rPr>
      </w:pPr>
      <w:r>
        <w:rPr>
          <w:rStyle w:val="FootnoteReference"/>
        </w:rPr>
        <w:footnoteRef/>
      </w:r>
      <w:r>
        <w:rPr>
          <w:lang w:val="pt-PT"/>
        </w:rPr>
        <w:t xml:space="preserve"> </w:t>
      </w:r>
      <w:hyperlink r:id="rId10">
        <w:r>
          <w:rPr>
            <w:rStyle w:val="Hyperlink"/>
          </w:rPr>
          <w:t>Απόφαση</w:t>
        </w:r>
        <w:r>
          <w:rPr>
            <w:rStyle w:val="Hyperlink"/>
            <w:lang w:val="pt-PT"/>
          </w:rPr>
          <w:t xml:space="preserve"> </w:t>
        </w:r>
        <w:r>
          <w:rPr>
            <w:rStyle w:val="Hyperlink"/>
          </w:rPr>
          <w:t>αριθ</w:t>
        </w:r>
        <w:r>
          <w:rPr>
            <w:rStyle w:val="Hyperlink"/>
            <w:lang w:val="pt-PT"/>
          </w:rPr>
          <w:t>. 1386/2013/</w:t>
        </w:r>
        <w:r>
          <w:rPr>
            <w:rStyle w:val="Hyperlink"/>
          </w:rPr>
          <w:t>ΕΕ</w:t>
        </w:r>
      </w:hyperlink>
    </w:p>
  </w:footnote>
  <w:footnote w:id="13">
    <w:p>
      <w:pPr>
        <w:pStyle w:val="FootnoteText"/>
        <w:rPr>
          <w:lang w:val="pt-PT"/>
        </w:rPr>
      </w:pPr>
      <w:r>
        <w:rPr>
          <w:rStyle w:val="FootnoteReference"/>
        </w:rPr>
        <w:footnoteRef/>
      </w:r>
      <w:r>
        <w:rPr>
          <w:lang w:val="pt-PT"/>
        </w:rPr>
        <w:t xml:space="preserve"> </w:t>
      </w:r>
      <w:hyperlink r:id="rId11">
        <w:r>
          <w:rPr>
            <w:rStyle w:val="Hyperlink"/>
            <w:lang w:val="pt-PT"/>
          </w:rPr>
          <w:t>COM(2015) 614 final</w:t>
        </w:r>
      </w:hyperlink>
    </w:p>
  </w:footnote>
  <w:footnote w:id="14">
    <w:p>
      <w:pPr>
        <w:pStyle w:val="FootnoteText"/>
        <w:rPr>
          <w:lang w:val="el-GR"/>
        </w:rPr>
      </w:pPr>
      <w:r>
        <w:rPr>
          <w:rStyle w:val="FootnoteReference"/>
        </w:rPr>
        <w:footnoteRef/>
      </w:r>
      <w:r>
        <w:rPr>
          <w:lang w:val="pt-PT"/>
        </w:rPr>
        <w:t xml:space="preserve"> </w:t>
      </w:r>
      <w:r>
        <w:rPr>
          <w:rFonts w:ascii="Times New Roman" w:hAnsi="Times New Roman"/>
          <w:color w:val="auto"/>
          <w:lang w:val="pt-PT"/>
        </w:rPr>
        <w:t xml:space="preserve">Remas Study (2006), </w:t>
      </w:r>
      <w:r>
        <w:rPr>
          <w:rFonts w:ascii="Times New Roman" w:hAnsi="Times New Roman"/>
          <w:i/>
          <w:color w:val="auto"/>
          <w:lang w:val="pt-PT"/>
        </w:rPr>
        <w:t xml:space="preserve">Linking environmental management and performance </w:t>
      </w:r>
      <w:r>
        <w:rPr>
          <w:rFonts w:ascii="Times New Roman" w:hAnsi="Times New Roman"/>
          <w:color w:val="auto"/>
        </w:rPr>
        <w:t>και</w:t>
      </w:r>
      <w:r>
        <w:rPr>
          <w:rFonts w:ascii="Times New Roman" w:hAnsi="Times New Roman"/>
          <w:color w:val="auto"/>
          <w:lang w:val="pt-PT"/>
        </w:rPr>
        <w:t xml:space="preserve"> Testa et al. </w:t>
      </w:r>
      <w:r>
        <w:rPr>
          <w:rFonts w:ascii="Times New Roman" w:hAnsi="Times New Roman"/>
          <w:color w:val="auto"/>
          <w:lang w:val="en-GB"/>
        </w:rPr>
        <w:t xml:space="preserve">(2014) </w:t>
      </w:r>
      <w:r>
        <w:rPr>
          <w:rFonts w:ascii="Times New Roman" w:hAnsi="Times New Roman"/>
          <w:i/>
          <w:color w:val="auto"/>
          <w:lang w:val="en-GB"/>
        </w:rPr>
        <w:t>EMAS and ISO 14001: the differences in effectively improving environmental performance</w:t>
      </w:r>
      <w:r>
        <w:rPr>
          <w:rFonts w:ascii="Times New Roman" w:hAnsi="Times New Roman"/>
          <w:color w:val="auto"/>
          <w:lang w:val="en-GB"/>
        </w:rPr>
        <w:t xml:space="preserve">. </w:t>
      </w:r>
      <w:r>
        <w:rPr>
          <w:rFonts w:ascii="Times New Roman" w:hAnsi="Times New Roman"/>
          <w:color w:val="auto"/>
          <w:lang w:val="el-GR"/>
        </w:rPr>
        <w:t xml:space="preserve">Στο: </w:t>
      </w:r>
      <w:r>
        <w:rPr>
          <w:rFonts w:ascii="Times New Roman" w:hAnsi="Times New Roman"/>
          <w:color w:val="auto"/>
        </w:rPr>
        <w:t>Journal</w:t>
      </w:r>
      <w:r>
        <w:rPr>
          <w:rFonts w:ascii="Times New Roman" w:hAnsi="Times New Roman"/>
          <w:color w:val="auto"/>
          <w:lang w:val="el-GR"/>
        </w:rPr>
        <w:t xml:space="preserve"> </w:t>
      </w:r>
      <w:r>
        <w:rPr>
          <w:rFonts w:ascii="Times New Roman" w:hAnsi="Times New Roman"/>
          <w:color w:val="auto"/>
        </w:rPr>
        <w:t>of</w:t>
      </w:r>
      <w:r>
        <w:rPr>
          <w:rFonts w:ascii="Times New Roman" w:hAnsi="Times New Roman"/>
          <w:color w:val="auto"/>
          <w:lang w:val="el-GR"/>
        </w:rPr>
        <w:t xml:space="preserve"> </w:t>
      </w:r>
      <w:r>
        <w:rPr>
          <w:rFonts w:ascii="Times New Roman" w:hAnsi="Times New Roman"/>
          <w:color w:val="auto"/>
        </w:rPr>
        <w:t>Cleaner</w:t>
      </w:r>
      <w:r>
        <w:rPr>
          <w:rFonts w:ascii="Times New Roman" w:hAnsi="Times New Roman"/>
          <w:color w:val="auto"/>
          <w:lang w:val="el-GR"/>
        </w:rPr>
        <w:t xml:space="preserve"> </w:t>
      </w:r>
      <w:r>
        <w:rPr>
          <w:rFonts w:ascii="Times New Roman" w:hAnsi="Times New Roman"/>
          <w:color w:val="auto"/>
        </w:rPr>
        <w:t>Production</w:t>
      </w:r>
      <w:r>
        <w:rPr>
          <w:rFonts w:ascii="Times New Roman" w:hAnsi="Times New Roman"/>
          <w:color w:val="auto"/>
          <w:lang w:val="el-GR"/>
        </w:rPr>
        <w:t xml:space="preserve"> 68:1, σ. 165-173.</w:t>
      </w:r>
    </w:p>
  </w:footnote>
  <w:footnote w:id="15">
    <w:p>
      <w:pPr>
        <w:pStyle w:val="FootnoteText"/>
        <w:rPr>
          <w:rFonts w:ascii="Times New Roman" w:hAnsi="Times New Roman" w:cs="Times New Roman"/>
          <w:lang w:val="el-GR"/>
        </w:rPr>
      </w:pPr>
      <w:r>
        <w:rPr>
          <w:rStyle w:val="FootnoteReference"/>
          <w:rFonts w:ascii="Times New Roman" w:hAnsi="Times New Roman"/>
          <w:color w:val="auto"/>
        </w:rPr>
        <w:footnoteRef/>
      </w:r>
      <w:r>
        <w:rPr>
          <w:rFonts w:ascii="Times New Roman" w:hAnsi="Times New Roman"/>
          <w:color w:val="auto"/>
          <w:lang w:val="el-GR"/>
        </w:rPr>
        <w:t xml:space="preserve"> Ως κανονιστική ελάφρυνση νοείται ο μετριασμός της κανονιστικής ή διοικητικής επιβάρυνσης (για παράδειγμα, συχνότητα περιβαλλοντικών επιθεωρήσεων, ταχείες διαδικασίες, μικρότερες επιβαρύνσεις ή χαμηλότερα τέλη κ.λπ.) που προκύπτει από τη συμμόρφωση με το </w:t>
      </w:r>
      <w:r>
        <w:rPr>
          <w:rFonts w:ascii="Times New Roman" w:hAnsi="Times New Roman"/>
          <w:color w:val="auto"/>
        </w:rPr>
        <w:t>EMAS</w:t>
      </w:r>
      <w:r>
        <w:rPr>
          <w:rFonts w:ascii="Times New Roman" w:hAnsi="Times New Roman"/>
          <w:color w:val="FFFF00"/>
          <w:lang w:val="el-GR"/>
        </w:rPr>
        <w:t>.</w:t>
      </w:r>
    </w:p>
  </w:footnote>
  <w:footnote w:id="16">
    <w:p>
      <w:pPr>
        <w:pStyle w:val="FootnoteText"/>
        <w:rPr>
          <w:lang w:val="pt-PT"/>
        </w:rPr>
      </w:pPr>
      <w:r>
        <w:rPr>
          <w:rStyle w:val="FootnoteReference"/>
        </w:rPr>
        <w:footnoteRef/>
      </w:r>
      <w:r>
        <w:t xml:space="preserve"> </w:t>
      </w:r>
      <w:hyperlink r:id="rId12">
        <w:r>
          <w:rPr>
            <w:rStyle w:val="Hyperlink"/>
          </w:rPr>
          <w:t>COM(2014) 440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1E6F"/>
    <w:multiLevelType w:val="hybridMultilevel"/>
    <w:tmpl w:val="2056F63C"/>
    <w:numStyleLink w:val="ImportierterStil6"/>
  </w:abstractNum>
  <w:abstractNum w:abstractNumId="1">
    <w:nsid w:val="1FAA773B"/>
    <w:multiLevelType w:val="hybridMultilevel"/>
    <w:tmpl w:val="FAF669FC"/>
    <w:lvl w:ilvl="0" w:tplc="08090001">
      <w:start w:val="1"/>
      <w:numFmt w:val="bullet"/>
      <w:lvlText w:val=""/>
      <w:lvlJc w:val="left"/>
      <w:pPr>
        <w:ind w:left="720" w:hanging="360"/>
      </w:pPr>
      <w:rPr>
        <w:rFonts w:ascii="Symbol" w:hAnsi="Symbol" w:hint="default"/>
      </w:rPr>
    </w:lvl>
    <w:lvl w:ilvl="1" w:tplc="8258C954">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F81560"/>
    <w:multiLevelType w:val="hybridMultilevel"/>
    <w:tmpl w:val="60786DCE"/>
    <w:numStyleLink w:val="ImportierterStil4"/>
  </w:abstractNum>
  <w:abstractNum w:abstractNumId="3">
    <w:nsid w:val="21881AFC"/>
    <w:multiLevelType w:val="hybridMultilevel"/>
    <w:tmpl w:val="5422FDC0"/>
    <w:numStyleLink w:val="ImportierterStil2"/>
  </w:abstractNum>
  <w:abstractNum w:abstractNumId="4">
    <w:nsid w:val="23F52BBB"/>
    <w:multiLevelType w:val="hybridMultilevel"/>
    <w:tmpl w:val="B1102062"/>
    <w:styleLink w:val="ImportierterStil1"/>
    <w:lvl w:ilvl="0" w:tplc="95D819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645B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2E80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A66BB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861B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2CE0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3E02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60C3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C71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72624B6"/>
    <w:multiLevelType w:val="hybridMultilevel"/>
    <w:tmpl w:val="2056F63C"/>
    <w:styleLink w:val="ImportierterStil6"/>
    <w:lvl w:ilvl="0" w:tplc="1B18E0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AECD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A2B6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E905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AE36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0890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F462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A62A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5667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73B29CA"/>
    <w:multiLevelType w:val="hybridMultilevel"/>
    <w:tmpl w:val="DF26643C"/>
    <w:styleLink w:val="ImportierterStil3"/>
    <w:lvl w:ilvl="0" w:tplc="E5905F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8E1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A23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523B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E0CF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DCD5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9473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46AE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22BD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7EE2094"/>
    <w:multiLevelType w:val="hybridMultilevel"/>
    <w:tmpl w:val="30046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C212330"/>
    <w:multiLevelType w:val="hybridMultilevel"/>
    <w:tmpl w:val="5422FDC0"/>
    <w:styleLink w:val="ImportierterStil2"/>
    <w:lvl w:ilvl="0" w:tplc="718C9C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3EF8E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28945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E2131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DC571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E862B0">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5ED3B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3481A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40E180">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3D52BA5"/>
    <w:multiLevelType w:val="hybridMultilevel"/>
    <w:tmpl w:val="FD2642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5F1122"/>
    <w:multiLevelType w:val="hybridMultilevel"/>
    <w:tmpl w:val="DF26643C"/>
    <w:numStyleLink w:val="ImportierterStil3"/>
  </w:abstractNum>
  <w:abstractNum w:abstractNumId="11">
    <w:nsid w:val="43252341"/>
    <w:multiLevelType w:val="hybridMultilevel"/>
    <w:tmpl w:val="60786DCE"/>
    <w:styleLink w:val="ImportierterStil4"/>
    <w:lvl w:ilvl="0" w:tplc="FFC6E7C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92B7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DED3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4C00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A4B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9E9F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0C10D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F60D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804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6032225"/>
    <w:multiLevelType w:val="hybridMultilevel"/>
    <w:tmpl w:val="B1102062"/>
    <w:numStyleLink w:val="ImportierterStil1"/>
  </w:abstractNum>
  <w:abstractNum w:abstractNumId="13">
    <w:nsid w:val="4AE91906"/>
    <w:multiLevelType w:val="hybridMultilevel"/>
    <w:tmpl w:val="7C9C1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1A458A2"/>
    <w:multiLevelType w:val="hybridMultilevel"/>
    <w:tmpl w:val="FECC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170082"/>
    <w:multiLevelType w:val="hybridMultilevel"/>
    <w:tmpl w:val="6A247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67719D"/>
    <w:multiLevelType w:val="hybridMultilevel"/>
    <w:tmpl w:val="E1B6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3333B2"/>
    <w:multiLevelType w:val="hybridMultilevel"/>
    <w:tmpl w:val="FC16926C"/>
    <w:styleLink w:val="ImportierterStil5"/>
    <w:lvl w:ilvl="0" w:tplc="BA445088">
      <w:start w:val="1"/>
      <w:numFmt w:val="bullet"/>
      <w:lvlText w:val="•"/>
      <w:lvlJc w:val="left"/>
      <w:pPr>
        <w:ind w:left="78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1CF372">
      <w:start w:val="1"/>
      <w:numFmt w:val="bullet"/>
      <w:lvlText w:val="o"/>
      <w:lvlJc w:val="left"/>
      <w:pPr>
        <w:ind w:left="150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367844">
      <w:start w:val="1"/>
      <w:numFmt w:val="bullet"/>
      <w:lvlText w:val="▪"/>
      <w:lvlJc w:val="left"/>
      <w:pPr>
        <w:ind w:left="222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500106">
      <w:start w:val="1"/>
      <w:numFmt w:val="bullet"/>
      <w:lvlText w:val="•"/>
      <w:lvlJc w:val="left"/>
      <w:pPr>
        <w:ind w:left="294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A2C566">
      <w:start w:val="1"/>
      <w:numFmt w:val="bullet"/>
      <w:lvlText w:val="o"/>
      <w:lvlJc w:val="left"/>
      <w:pPr>
        <w:ind w:left="366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4ADD02">
      <w:start w:val="1"/>
      <w:numFmt w:val="bullet"/>
      <w:lvlText w:val="▪"/>
      <w:lvlJc w:val="left"/>
      <w:pPr>
        <w:ind w:left="438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9AF69A">
      <w:start w:val="1"/>
      <w:numFmt w:val="bullet"/>
      <w:lvlText w:val="•"/>
      <w:lvlJc w:val="left"/>
      <w:pPr>
        <w:ind w:left="510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966BE0">
      <w:start w:val="1"/>
      <w:numFmt w:val="bullet"/>
      <w:lvlText w:val="o"/>
      <w:lvlJc w:val="left"/>
      <w:pPr>
        <w:ind w:left="582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ED864">
      <w:start w:val="1"/>
      <w:numFmt w:val="bullet"/>
      <w:lvlText w:val="▪"/>
      <w:lvlJc w:val="left"/>
      <w:pPr>
        <w:ind w:left="654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FBD5BF1"/>
    <w:multiLevelType w:val="hybridMultilevel"/>
    <w:tmpl w:val="FC16926C"/>
    <w:numStyleLink w:val="ImportierterStil5"/>
  </w:abstractNum>
  <w:num w:numId="1">
    <w:abstractNumId w:val="4"/>
  </w:num>
  <w:num w:numId="2">
    <w:abstractNumId w:val="12"/>
    <w:lvlOverride w:ilvl="0">
      <w:lvl w:ilvl="0" w:tplc="4A0658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8"/>
  </w:num>
  <w:num w:numId="4">
    <w:abstractNumId w:val="3"/>
  </w:num>
  <w:num w:numId="5">
    <w:abstractNumId w:val="6"/>
  </w:num>
  <w:num w:numId="6">
    <w:abstractNumId w:val="10"/>
  </w:num>
  <w:num w:numId="7">
    <w:abstractNumId w:val="11"/>
  </w:num>
  <w:num w:numId="8">
    <w:abstractNumId w:val="2"/>
  </w:num>
  <w:num w:numId="9">
    <w:abstractNumId w:val="17"/>
  </w:num>
  <w:num w:numId="10">
    <w:abstractNumId w:val="18"/>
    <w:lvlOverride w:ilvl="0">
      <w:lvl w:ilvl="0" w:tplc="FE9424A2">
        <w:start w:val="1"/>
        <w:numFmt w:val="bullet"/>
        <w:lvlText w:val="•"/>
        <w:lvlJc w:val="left"/>
        <w:pPr>
          <w:ind w:left="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5"/>
  </w:num>
  <w:num w:numId="12">
    <w:abstractNumId w:val="0"/>
    <w:lvlOverride w:ilvl="0">
      <w:lvl w:ilvl="0" w:tplc="962CC4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4"/>
  </w:num>
  <w:num w:numId="14">
    <w:abstractNumId w:val="13"/>
  </w:num>
  <w:num w:numId="15">
    <w:abstractNumId w:val="7"/>
  </w:num>
  <w:num w:numId="16">
    <w:abstractNumId w:val="1"/>
  </w:num>
  <w:num w:numId="17">
    <w:abstractNumId w:val="0"/>
    <w:lvlOverride w:ilvl="0">
      <w:lvl w:ilvl="0" w:tplc="962CC4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4D8ED5C8">
        <w:numFmt w:val="decimal"/>
        <w:lvlText w:val=""/>
        <w:lvlJc w:val="left"/>
      </w:lvl>
    </w:lvlOverride>
    <w:lvlOverride w:ilvl="2">
      <w:lvl w:ilvl="2" w:tplc="E550D718">
        <w:numFmt w:val="decimal"/>
        <w:lvlText w:val=""/>
        <w:lvlJc w:val="left"/>
      </w:lvl>
    </w:lvlOverride>
    <w:lvlOverride w:ilvl="3">
      <w:lvl w:ilvl="3" w:tplc="55729228">
        <w:numFmt w:val="decimal"/>
        <w:lvlText w:val=""/>
        <w:lvlJc w:val="left"/>
      </w:lvl>
    </w:lvlOverride>
    <w:lvlOverride w:ilvl="4">
      <w:lvl w:ilvl="4" w:tplc="795428AC">
        <w:numFmt w:val="decimal"/>
        <w:lvlText w:val=""/>
        <w:lvlJc w:val="left"/>
      </w:lvl>
    </w:lvlOverride>
    <w:lvlOverride w:ilvl="5">
      <w:lvl w:ilvl="5" w:tplc="BF666376">
        <w:numFmt w:val="decimal"/>
        <w:lvlText w:val=""/>
        <w:lvlJc w:val="left"/>
      </w:lvl>
    </w:lvlOverride>
    <w:lvlOverride w:ilvl="6">
      <w:lvl w:ilvl="6" w:tplc="2B7800B8">
        <w:numFmt w:val="decimal"/>
        <w:lvlText w:val=""/>
        <w:lvlJc w:val="left"/>
      </w:lvl>
    </w:lvlOverride>
    <w:lvlOverride w:ilvl="7">
      <w:lvl w:ilvl="7" w:tplc="D6B0A93A">
        <w:numFmt w:val="decimal"/>
        <w:lvlText w:val=""/>
        <w:lvlJc w:val="left"/>
      </w:lvl>
    </w:lvlOverride>
    <w:lvlOverride w:ilvl="8">
      <w:lvl w:ilvl="8" w:tplc="893675EE">
        <w:numFmt w:val="decimal"/>
        <w:lvlText w:val=""/>
        <w:lvlJc w:val="left"/>
      </w:lvl>
    </w:lvlOverride>
  </w:num>
  <w:num w:numId="18">
    <w:abstractNumId w:val="16"/>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revisionView w:markup="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Red"/>
    <w:docVar w:name="LW_CONFIDENCE" w:val=" "/>
    <w:docVar w:name="LW_CONST_RESTREINT_UE" w:val="RESTREINT UE"/>
    <w:docVar w:name="LW_CORRIGENDUM" w:val="&lt;UNUSED&gt;"/>
    <w:docVar w:name="LW_COVERPAGE_GUID" w:val="04E78DEED75E41108C471A6D39B9E65D"/>
    <w:docVar w:name="LW_CROSSREFERENCE" w:val="{SWD(2017) 252 final}_x000b_{SWD(2017) 253 final}"/>
    <w:docVar w:name="LW_DocType" w:val="NORMAL"/>
    <w:docVar w:name="LW_EMISSION" w:val="30.6.2017"/>
    <w:docVar w:name="LW_EMISSION_ISODATE" w:val="2017-06-30"/>
    <w:docVar w:name="LW_EMISSION_LOCATION" w:val="BRX"/>
    <w:docVar w:name="LW_EMISSION_PREFIX" w:val="Brussels, "/>
    <w:docVar w:name="LW_EMISSION_SUFFIX" w:val=" "/>
    <w:docVar w:name="LW_ID_DOCTYPE_NONLW" w:val="CP-006"/>
    <w:docVar w:name="LW_LANGUE" w:val="EN"/>
    <w:docVar w:name="LW_MARKING" w:val="&lt;UNUSED&g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7) 355"/>
    <w:docVar w:name="LW_REF.INTERNE" w:val="&lt;UNUSED&gt;"/>
    <w:docVar w:name="LW_SOUS.TITRE.OBJ.CP" w:val="&lt;UNUSED&gt;"/>
    <w:docVar w:name="LW_SUPERTITRE" w:val="&lt;UNUSED&gt;"/>
    <w:docVar w:name="LW_TITRE.OBJ.CP" w:val="on the review of implementation of Regulation (EC)No 122/2009 of the European Parliament and of the Council on 25 November 2009 on the voluntary participation by organisations in a Community eco-management and audit scheme (EMAS) and the Regulation (EC) No 66/2010 of the parliament and of the Council of 25 November 2009 on the EU Ecolabel "/>
    <w:docVar w:name="LW_TYPE.DOC.CP" w:val="REPORT FROM THE COMMISSION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rPr>
      <w:rFonts w:cs="Arial Unicode MS"/>
      <w:color w:val="365F91"/>
      <w:u w:color="365F91"/>
    </w:rPr>
  </w:style>
  <w:style w:type="paragraph" w:customStyle="1" w:styleId="Pagedecouverture">
    <w:name w:val="Page de couverture"/>
    <w:next w:val="Text"/>
    <w:pPr>
      <w:jc w:val="both"/>
    </w:pPr>
    <w:rPr>
      <w:rFonts w:eastAsia="Times New Roman"/>
      <w:color w:val="000000"/>
      <w:sz w:val="24"/>
      <w:szCs w:val="24"/>
      <w:u w:color="000000"/>
      <w:lang w:val="en-US"/>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paragraph" w:customStyle="1" w:styleId="berschrift">
    <w:name w:val="Überschrift"/>
    <w:next w:val="Text"/>
    <w:pPr>
      <w:keepNext/>
      <w:keepLines/>
      <w:spacing w:before="480" w:line="276" w:lineRule="auto"/>
      <w:outlineLvl w:val="0"/>
    </w:pPr>
    <w:rPr>
      <w:rFonts w:ascii="Cambria" w:eastAsia="Cambria" w:hAnsi="Cambria" w:cs="Cambria"/>
      <w:b/>
      <w:bCs/>
      <w:color w:val="365F91"/>
      <w:sz w:val="28"/>
      <w:szCs w:val="28"/>
      <w:u w:color="365F91"/>
    </w:rPr>
  </w:style>
  <w:style w:type="paragraph" w:customStyle="1" w:styleId="Default">
    <w:name w:val="Default"/>
    <w:rPr>
      <w:rFonts w:ascii="EUAlbertina" w:eastAsia="EUAlbertina" w:hAnsi="EUAlbertina" w:cs="EUAlbertina"/>
      <w:color w:val="000000"/>
      <w:sz w:val="24"/>
      <w:szCs w:val="24"/>
      <w:u w:color="000000"/>
      <w:lang w:val="en-US"/>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uiPriority w:val="99"/>
    <w:qFormat/>
    <w:rPr>
      <w:vertAlign w:val="superscript"/>
    </w:rPr>
  </w:style>
  <w:style w:type="paragraph" w:styleId="FootnoteText">
    <w:name w:val="footnote text"/>
    <w:aliases w:val="Footnote,Char Char Char,Reference,Fußnote,Footnote Text Char Char,Footnote Text Char Char Char Char,Footnote Text1,Footnote Text Char Char Char,Fu§notentext Char,Fu§notentext Char1 Char1,-E Fußnotentext,Fußnotentext Ursprung,Fußn,f,ft,o,fn"/>
    <w:uiPriority w:val="99"/>
    <w:qFormat/>
    <w:rPr>
      <w:rFonts w:ascii="Calibri" w:eastAsia="Calibri" w:hAnsi="Calibri" w:cs="Calibri"/>
      <w:color w:val="000000"/>
      <w:u w:color="000000"/>
      <w:lang w:val="en-US"/>
    </w:rPr>
  </w:style>
  <w:style w:type="character" w:customStyle="1" w:styleId="Hyperlink0">
    <w:name w:val="Hyperlink.0"/>
    <w:basedOn w:val="Hyperlink"/>
    <w:rPr>
      <w:color w:val="0000FF"/>
      <w:u w:val="single" w:color="0000FF"/>
    </w:rPr>
  </w:style>
  <w:style w:type="paragraph" w:customStyle="1" w:styleId="Standard">
    <w:name w:val="Standard"/>
    <w:rPr>
      <w:rFonts w:ascii="Helvetica" w:eastAsia="Helvetica" w:hAnsi="Helvetica" w:cs="Helvetica"/>
      <w:color w:val="000000"/>
      <w:sz w:val="22"/>
      <w:szCs w:val="22"/>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ImportierterStil3">
    <w:name w:val="Importierter Stil: 3"/>
    <w:pPr>
      <w:numPr>
        <w:numId w:val="5"/>
      </w:numPr>
    </w:pPr>
  </w:style>
  <w:style w:type="numbering" w:customStyle="1" w:styleId="ImportierterStil4">
    <w:name w:val="Importierter Stil: 4"/>
    <w:pPr>
      <w:numPr>
        <w:numId w:val="7"/>
      </w:numPr>
    </w:pPr>
  </w:style>
  <w:style w:type="numbering" w:customStyle="1" w:styleId="ImportierterStil5">
    <w:name w:val="Importierter Stil: 5"/>
    <w:pPr>
      <w:numPr>
        <w:numId w:val="9"/>
      </w:numPr>
    </w:pPr>
  </w:style>
  <w:style w:type="numbering" w:customStyle="1" w:styleId="ImportierterStil6">
    <w:name w:val="Importierter Stil: 6"/>
    <w:pPr>
      <w:numPr>
        <w:numId w:val="11"/>
      </w:numPr>
    </w:pPr>
  </w:style>
  <w:style w:type="paragraph" w:styleId="NoSpacing">
    <w:name w:val="No Spacing"/>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FollowedHyperlink">
    <w:name w:val="FollowedHyperlink"/>
    <w:basedOn w:val="DefaultParagraphFont"/>
    <w:uiPriority w:val="99"/>
    <w:semiHidden/>
    <w:unhideWhenUsed/>
    <w:rPr>
      <w:color w:val="FF00FF" w:themeColor="followed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en-US" w:eastAsia="en-US"/>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jc w:val="both"/>
    </w:pPr>
    <w:rPr>
      <w:rFonts w:eastAsiaTheme="majorEastAsia"/>
      <w:color w:val="365F91" w:themeColor="accent1" w:themeShade="BF"/>
    </w:rPr>
  </w:style>
  <w:style w:type="character" w:customStyle="1" w:styleId="HeaderCoverPageChar">
    <w:name w:val="Header Cover Page Char"/>
    <w:basedOn w:val="Heading1Char"/>
    <w:link w:val="HeaderCoverPage"/>
    <w:rPr>
      <w:rFonts w:asciiTheme="majorHAnsi" w:eastAsiaTheme="majorEastAsia" w:hAnsiTheme="majorHAnsi" w:cstheme="majorBidi"/>
      <w:b w:val="0"/>
      <w:bCs w:val="0"/>
      <w:color w:val="365F91" w:themeColor="accent1" w:themeShade="BF"/>
      <w:sz w:val="24"/>
      <w:szCs w:val="24"/>
      <w:lang w:val="en-US" w:eastAsia="en-US"/>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rPr>
      <w:rFonts w:cs="Arial Unicode MS"/>
      <w:color w:val="365F91"/>
      <w:u w:color="365F91"/>
    </w:rPr>
  </w:style>
  <w:style w:type="paragraph" w:customStyle="1" w:styleId="Pagedecouverture">
    <w:name w:val="Page de couverture"/>
    <w:next w:val="Text"/>
    <w:pPr>
      <w:jc w:val="both"/>
    </w:pPr>
    <w:rPr>
      <w:rFonts w:eastAsia="Times New Roman"/>
      <w:color w:val="000000"/>
      <w:sz w:val="24"/>
      <w:szCs w:val="24"/>
      <w:u w:color="000000"/>
      <w:lang w:val="en-US"/>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paragraph" w:customStyle="1" w:styleId="berschrift">
    <w:name w:val="Überschrift"/>
    <w:next w:val="Text"/>
    <w:pPr>
      <w:keepNext/>
      <w:keepLines/>
      <w:spacing w:before="480" w:line="276" w:lineRule="auto"/>
      <w:outlineLvl w:val="0"/>
    </w:pPr>
    <w:rPr>
      <w:rFonts w:ascii="Cambria" w:eastAsia="Cambria" w:hAnsi="Cambria" w:cs="Cambria"/>
      <w:b/>
      <w:bCs/>
      <w:color w:val="365F91"/>
      <w:sz w:val="28"/>
      <w:szCs w:val="28"/>
      <w:u w:color="365F91"/>
    </w:rPr>
  </w:style>
  <w:style w:type="paragraph" w:customStyle="1" w:styleId="Default">
    <w:name w:val="Default"/>
    <w:rPr>
      <w:rFonts w:ascii="EUAlbertina" w:eastAsia="EUAlbertina" w:hAnsi="EUAlbertina" w:cs="EUAlbertina"/>
      <w:color w:val="000000"/>
      <w:sz w:val="24"/>
      <w:szCs w:val="24"/>
      <w:u w:color="000000"/>
      <w:lang w:val="en-US"/>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uiPriority w:val="99"/>
    <w:qFormat/>
    <w:rPr>
      <w:vertAlign w:val="superscript"/>
    </w:rPr>
  </w:style>
  <w:style w:type="paragraph" w:styleId="FootnoteText">
    <w:name w:val="footnote text"/>
    <w:aliases w:val="Footnote,Char Char Char,Reference,Fußnote,Footnote Text Char Char,Footnote Text Char Char Char Char,Footnote Text1,Footnote Text Char Char Char,Fu§notentext Char,Fu§notentext Char1 Char1,-E Fußnotentext,Fußnotentext Ursprung,Fußn,f,ft,o,fn"/>
    <w:uiPriority w:val="99"/>
    <w:qFormat/>
    <w:rPr>
      <w:rFonts w:ascii="Calibri" w:eastAsia="Calibri" w:hAnsi="Calibri" w:cs="Calibri"/>
      <w:color w:val="000000"/>
      <w:u w:color="000000"/>
      <w:lang w:val="en-US"/>
    </w:rPr>
  </w:style>
  <w:style w:type="character" w:customStyle="1" w:styleId="Hyperlink0">
    <w:name w:val="Hyperlink.0"/>
    <w:basedOn w:val="Hyperlink"/>
    <w:rPr>
      <w:color w:val="0000FF"/>
      <w:u w:val="single" w:color="0000FF"/>
    </w:rPr>
  </w:style>
  <w:style w:type="paragraph" w:customStyle="1" w:styleId="Standard">
    <w:name w:val="Standard"/>
    <w:rPr>
      <w:rFonts w:ascii="Helvetica" w:eastAsia="Helvetica" w:hAnsi="Helvetica" w:cs="Helvetica"/>
      <w:color w:val="000000"/>
      <w:sz w:val="22"/>
      <w:szCs w:val="22"/>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ImportierterStil3">
    <w:name w:val="Importierter Stil: 3"/>
    <w:pPr>
      <w:numPr>
        <w:numId w:val="5"/>
      </w:numPr>
    </w:pPr>
  </w:style>
  <w:style w:type="numbering" w:customStyle="1" w:styleId="ImportierterStil4">
    <w:name w:val="Importierter Stil: 4"/>
    <w:pPr>
      <w:numPr>
        <w:numId w:val="7"/>
      </w:numPr>
    </w:pPr>
  </w:style>
  <w:style w:type="numbering" w:customStyle="1" w:styleId="ImportierterStil5">
    <w:name w:val="Importierter Stil: 5"/>
    <w:pPr>
      <w:numPr>
        <w:numId w:val="9"/>
      </w:numPr>
    </w:pPr>
  </w:style>
  <w:style w:type="numbering" w:customStyle="1" w:styleId="ImportierterStil6">
    <w:name w:val="Importierter Stil: 6"/>
    <w:pPr>
      <w:numPr>
        <w:numId w:val="11"/>
      </w:numPr>
    </w:pPr>
  </w:style>
  <w:style w:type="paragraph" w:styleId="NoSpacing">
    <w:name w:val="No Spacing"/>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FollowedHyperlink">
    <w:name w:val="FollowedHyperlink"/>
    <w:basedOn w:val="DefaultParagraphFont"/>
    <w:uiPriority w:val="99"/>
    <w:semiHidden/>
    <w:unhideWhenUsed/>
    <w:rPr>
      <w:color w:val="FF00FF" w:themeColor="followed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en-US" w:eastAsia="en-US"/>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jc w:val="both"/>
    </w:pPr>
    <w:rPr>
      <w:rFonts w:eastAsiaTheme="majorEastAsia"/>
      <w:color w:val="365F91" w:themeColor="accent1" w:themeShade="BF"/>
    </w:rPr>
  </w:style>
  <w:style w:type="character" w:customStyle="1" w:styleId="HeaderCoverPageChar">
    <w:name w:val="Header Cover Page Char"/>
    <w:basedOn w:val="Heading1Char"/>
    <w:link w:val="HeaderCoverPage"/>
    <w:rPr>
      <w:rFonts w:asciiTheme="majorHAnsi" w:eastAsiaTheme="majorEastAsia" w:hAnsiTheme="majorHAnsi" w:cstheme="majorBidi"/>
      <w:b w:val="0"/>
      <w:bCs w:val="0"/>
      <w:color w:val="365F91" w:themeColor="accent1" w:themeShade="BF"/>
      <w:sz w:val="24"/>
      <w:szCs w:val="24"/>
      <w:lang w:val="en-US" w:eastAsia="en-US"/>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35352">
      <w:bodyDiv w:val="1"/>
      <w:marLeft w:val="0"/>
      <w:marRight w:val="0"/>
      <w:marTop w:val="0"/>
      <w:marBottom w:val="0"/>
      <w:divBdr>
        <w:top w:val="none" w:sz="0" w:space="0" w:color="auto"/>
        <w:left w:val="none" w:sz="0" w:space="0" w:color="auto"/>
        <w:bottom w:val="none" w:sz="0" w:space="0" w:color="auto"/>
        <w:right w:val="none" w:sz="0" w:space="0" w:color="auto"/>
      </w:divBdr>
    </w:div>
    <w:div w:id="888491506">
      <w:bodyDiv w:val="1"/>
      <w:marLeft w:val="0"/>
      <w:marRight w:val="0"/>
      <w:marTop w:val="0"/>
      <w:marBottom w:val="0"/>
      <w:divBdr>
        <w:top w:val="none" w:sz="0" w:space="0" w:color="auto"/>
        <w:left w:val="none" w:sz="0" w:space="0" w:color="auto"/>
        <w:bottom w:val="none" w:sz="0" w:space="0" w:color="auto"/>
        <w:right w:val="none" w:sz="0" w:space="0" w:color="auto"/>
      </w:divBdr>
    </w:div>
    <w:div w:id="1152720802">
      <w:bodyDiv w:val="1"/>
      <w:marLeft w:val="0"/>
      <w:marRight w:val="0"/>
      <w:marTop w:val="0"/>
      <w:marBottom w:val="0"/>
      <w:divBdr>
        <w:top w:val="none" w:sz="0" w:space="0" w:color="auto"/>
        <w:left w:val="none" w:sz="0" w:space="0" w:color="auto"/>
        <w:bottom w:val="none" w:sz="0" w:space="0" w:color="auto"/>
        <w:right w:val="none" w:sz="0" w:space="0" w:color="auto"/>
      </w:divBdr>
    </w:div>
    <w:div w:id="1521773638">
      <w:bodyDiv w:val="1"/>
      <w:marLeft w:val="0"/>
      <w:marRight w:val="0"/>
      <w:marTop w:val="0"/>
      <w:marBottom w:val="0"/>
      <w:divBdr>
        <w:top w:val="none" w:sz="0" w:space="0" w:color="auto"/>
        <w:left w:val="none" w:sz="0" w:space="0" w:color="auto"/>
        <w:bottom w:val="none" w:sz="0" w:space="0" w:color="auto"/>
        <w:right w:val="none" w:sz="0" w:space="0" w:color="auto"/>
      </w:divBdr>
    </w:div>
    <w:div w:id="179170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L/TXT/HTML/?uri=LEGISSUM:em0028&amp;from=FR" TargetMode="External"/><Relationship Id="rId3" Type="http://schemas.openxmlformats.org/officeDocument/2006/relationships/hyperlink" Target="http://eur-lex.europa.eu/legal-content/EL/TXT/PDF/?uri=CELEX:32009R1221&amp;from=EL" TargetMode="External"/><Relationship Id="rId7" Type="http://schemas.openxmlformats.org/officeDocument/2006/relationships/hyperlink" Target="http://eur-lex.europa.eu/resource.html?uri=cellar:8a8ef5e8-99a0-11e5-b3b7-01aa75ed71a1.0002.02/DOC_1&amp;format=PDF" TargetMode="External"/><Relationship Id="rId12" Type="http://schemas.openxmlformats.org/officeDocument/2006/relationships/hyperlink" Target="http://ec.europa.eu/transparency/regdoc/rep/1/2014/EL/1-2014-440-EL-F1-1.Pdf" TargetMode="External"/><Relationship Id="rId2" Type="http://schemas.openxmlformats.org/officeDocument/2006/relationships/hyperlink" Target="http://eur-lex.europa.eu/legal-content/EL/TXT/PDF/?uri=CELEX:32010R0066&amp;from=EL" TargetMode="External"/><Relationship Id="rId1" Type="http://schemas.openxmlformats.org/officeDocument/2006/relationships/hyperlink" Target="http://eur-lex.europa.eu/legal-content/EL/TXT/PDF/?uri=CELEX:52008DC0397&amp;from=EL" TargetMode="External"/><Relationship Id="rId6" Type="http://schemas.openxmlformats.org/officeDocument/2006/relationships/hyperlink" Target="http://eur-lex.europa.eu/legal-content/EL/TXT/PDF/?uri=CELEX:32013D1386&amp;from=EL" TargetMode="External"/><Relationship Id="rId11" Type="http://schemas.openxmlformats.org/officeDocument/2006/relationships/hyperlink" Target="http://eur-lex.europa.eu/resource.html?uri=cellar:8a8ef5e8-99a0-11e5-b3b7-01aa75ed71a1.0002.02/DOC_1&amp;format=PDF" TargetMode="External"/><Relationship Id="rId5" Type="http://schemas.openxmlformats.org/officeDocument/2006/relationships/hyperlink" Target="http://eur-lex.europa.eu/legal-content/EL/TXT/PDF/?uri=CELEX:52008DC0397&amp;from=EL" TargetMode="External"/><Relationship Id="rId10" Type="http://schemas.openxmlformats.org/officeDocument/2006/relationships/hyperlink" Target="http://eur-lex.europa.eu/legal-content/EL/TXT/PDF/?uri=CELEX:32013D1386&amp;from=EL" TargetMode="External"/><Relationship Id="rId4" Type="http://schemas.openxmlformats.org/officeDocument/2006/relationships/hyperlink" Target="http://eur-lex.europa.eu/procedure/EL/202245" TargetMode="External"/><Relationship Id="rId9" Type="http://schemas.openxmlformats.org/officeDocument/2006/relationships/hyperlink" Target="http://eur-lex.europa.eu/legal-content/EL/TXT/PDF/?uri=CELEX:52011DC0571&amp;from=E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FFF3-D951-4704-B5A4-07BAF355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3922</Words>
  <Characters>23382</Characters>
  <Application>Microsoft Office Word</Application>
  <DocSecurity>0</DocSecurity>
  <Lines>403</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2017-06-20T15:59:00Z</dcterms:created>
  <dcterms:modified xsi:type="dcterms:W3CDTF">2017-06-23T14:51:00Z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ocStatus">
    <vt:lpwstr>Green</vt:lpwstr>
  </property>
</Properties>
</file>