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B7FC5BA2B6A94D45B41CC1DE58F72D38" style="width:450.8pt;height:451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Проект на</w:t>
      </w:r>
      <w:r>
        <w:rPr>
          <w:b/>
          <w:noProof/>
        </w:rPr>
        <w:br/>
        <w:t>РЕШЕНИЕ № ... НА СЪВЕТА ЗА АСОЦИИРАНЕ ЕС — ТУРЦИЯ</w:t>
      </w:r>
      <w:r>
        <w:rPr>
          <w:b/>
          <w:noProof/>
        </w:rPr>
        <w:br/>
      </w:r>
      <w:r>
        <w:rPr>
          <w:b/>
          <w:noProof/>
        </w:rPr>
        <w:br/>
        <w:t>от ... г.</w:t>
      </w:r>
      <w:r>
        <w:rPr>
          <w:b/>
          <w:noProof/>
        </w:rPr>
        <w:br/>
      </w:r>
      <w:r>
        <w:rPr>
          <w:b/>
          <w:noProof/>
        </w:rPr>
        <w:br/>
        <w:t>за изменение на протокол № 2 към Решение № 1/98 относно търговския режим за селскостопански продукти</w:t>
      </w:r>
    </w:p>
    <w:p>
      <w:pPr>
        <w:pStyle w:val="Institutionquiagit"/>
        <w:rPr>
          <w:noProof/>
        </w:rPr>
      </w:pPr>
      <w:r>
        <w:rPr>
          <w:noProof/>
        </w:rPr>
        <w:t>СЪВЕТЪТ ЗА АСОЦИИРАНЕ ЕС — ТУРЦИЯ,</w:t>
      </w:r>
    </w:p>
    <w:p>
      <w:pPr>
        <w:rPr>
          <w:noProof/>
        </w:rPr>
      </w:pPr>
      <w:r>
        <w:rPr>
          <w:noProof/>
        </w:rPr>
        <w:t>като взе предвид Споразумението за асоцииране между Европейската икономическа общност и Турция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като взе предвид Допълнителния протокол и Финансовия протокол, подписани на 23 ноември 1970 г. и приложени към Споразумението за асоцииране между Европейската икономическа общност и Турция, и относно мерките, които трябва да се вземат за тяхното влизане в сила</w:t>
      </w:r>
      <w:r>
        <w:rPr>
          <w:rStyle w:val="FootnoteReference"/>
          <w:noProof/>
        </w:rPr>
        <w:footnoteReference w:id="2"/>
      </w:r>
      <w:r>
        <w:rPr>
          <w:noProof/>
        </w:rPr>
        <w:t>, и по-специално член 35 от него,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Решение № 1/98 на Съвета за асоцииране ЕО — Турция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установява преференциален режим, приложим за търговията със селскостопански продукти между Съюза и Турция. Протокол № 2 към посоченото решение съдържа подробности относно преференциалния режим, приложим за вноса в Турция на селскостопански продукти с произход от Съюза, включително преференциален режим за внос на замразено говеждо месо.</w:t>
      </w:r>
    </w:p>
    <w:p>
      <w:pPr>
        <w:pStyle w:val="Considrant"/>
        <w:rPr>
          <w:noProof/>
        </w:rPr>
      </w:pPr>
      <w:r>
        <w:rPr>
          <w:noProof/>
        </w:rPr>
        <w:t>Съюзът и Турция проведоха консултации и се съгласиха да изменят преференциалния режим, приложим за вноса в Турция на говеждо месо с произход от Съюза, да разширят обхвата на съществуващата тарифна квота, установена в приложението към протокол № 2 към Решение № 1/98, за да се обхване и прясно и охладено говеждо месо.</w:t>
      </w:r>
    </w:p>
    <w:p>
      <w:pPr>
        <w:pStyle w:val="Considrant"/>
        <w:rPr>
          <w:noProof/>
        </w:rPr>
      </w:pPr>
      <w:r>
        <w:rPr>
          <w:noProof/>
        </w:rPr>
        <w:t>Протокол № 2 към Решение № 1/98 на Съвета за асоцииране ЕО — Турция следва да бъде съответно изменен,</w:t>
      </w:r>
    </w:p>
    <w:p>
      <w:pPr>
        <w:pStyle w:val="Formuledadoption"/>
        <w:rPr>
          <w:noProof/>
        </w:rPr>
      </w:pPr>
      <w:r>
        <w:rPr>
          <w:noProof/>
        </w:rPr>
        <w:t>ПРИЕ НАСТОЯЩОТО РЕШЕНИЕ:</w:t>
      </w:r>
    </w:p>
    <w:p>
      <w:pPr>
        <w:pStyle w:val="Titrearticle"/>
        <w:rPr>
          <w:noProof/>
        </w:rPr>
      </w:pPr>
      <w:r>
        <w:rPr>
          <w:noProof/>
        </w:rPr>
        <w:t>Член 1</w:t>
      </w:r>
    </w:p>
    <w:p>
      <w:pPr>
        <w:rPr>
          <w:noProof/>
        </w:rPr>
      </w:pPr>
      <w:r>
        <w:rPr>
          <w:noProof/>
        </w:rPr>
        <w:t>Приложението към протокол № 2 към Решение № 1/98 се изменя в съответствие с приложението към настоящото решение.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Член 2</w:t>
      </w:r>
    </w:p>
    <w:p>
      <w:pPr>
        <w:rPr>
          <w:noProof/>
        </w:rPr>
      </w:pPr>
      <w:r>
        <w:rPr>
          <w:noProof/>
        </w:rPr>
        <w:t xml:space="preserve">Настоящото решение влиза в сила на датата на приемането му. То се публикува в </w:t>
      </w:r>
      <w:r>
        <w:rPr>
          <w:i/>
          <w:noProof/>
        </w:rPr>
        <w:t>Официален вестник на Европейския съюз</w:t>
      </w:r>
      <w:r>
        <w:rPr>
          <w:noProof/>
        </w:rPr>
        <w:t xml:space="preserve">. 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Съставено в [...] на [...] г.</w:t>
      </w:r>
    </w:p>
    <w:p>
      <w:pPr>
        <w:pStyle w:val="Institutionquisigne"/>
        <w:jc w:val="right"/>
        <w:rPr>
          <w:noProof/>
        </w:rPr>
      </w:pPr>
    </w:p>
    <w:p>
      <w:pPr>
        <w:pStyle w:val="Institutionquisigne"/>
        <w:jc w:val="right"/>
        <w:rPr>
          <w:noProof/>
        </w:rPr>
      </w:pPr>
      <w:r>
        <w:rPr>
          <w:noProof/>
        </w:rPr>
        <w:t xml:space="preserve">За Съвета за асоцииране ЕС — Турция </w:t>
      </w:r>
    </w:p>
    <w:p>
      <w:pPr>
        <w:pStyle w:val="Personnequisigne"/>
        <w:jc w:val="right"/>
        <w:rPr>
          <w:noProof/>
        </w:rPr>
      </w:pPr>
      <w:r>
        <w:rPr>
          <w:noProof/>
        </w:rPr>
        <w:t>Председател</w:t>
      </w:r>
    </w:p>
    <w:p>
      <w:pPr>
        <w:keepNext/>
        <w:tabs>
          <w:tab w:val="left" w:pos="4252"/>
        </w:tabs>
        <w:spacing w:before="720" w:after="0"/>
        <w:rPr>
          <w:rFonts w:eastAsia="Calibri"/>
          <w:noProof/>
        </w:rPr>
        <w:sectPr>
          <w:footerReference w:type="default" r:id="rId16"/>
          <w:footerReference w:type="first" r:id="rId17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spacing w:before="0" w:after="240"/>
        <w:jc w:val="center"/>
        <w:rPr>
          <w:rFonts w:eastAsia="Calibri"/>
          <w:smallCaps/>
          <w:noProof/>
          <w:szCs w:val="20"/>
        </w:rPr>
      </w:pPr>
      <w:r>
        <w:rPr>
          <w:noProof/>
        </w:rPr>
        <w:lastRenderedPageBreak/>
        <w:t>Приложение</w:t>
      </w:r>
    </w:p>
    <w:p>
      <w:pPr>
        <w:rPr>
          <w:noProof/>
        </w:rPr>
      </w:pPr>
      <w:r>
        <w:rPr>
          <w:noProof/>
        </w:rPr>
        <w:t>Вписванията за код по КН 0202 20 в приложението към протокол № 2 към Решение № 1/98 се заменят със следния текст:</w:t>
      </w:r>
    </w:p>
    <w:p>
      <w:pPr>
        <w:spacing w:before="0"/>
        <w:rPr>
          <w:rFonts w:eastAsia="Calibri"/>
          <w:noProof/>
          <w:sz w:val="2"/>
          <w:szCs w:val="2"/>
        </w:rPr>
      </w:pPr>
    </w:p>
    <w:p>
      <w:pPr>
        <w:numPr>
          <w:ilvl w:val="2"/>
          <w:numId w:val="0"/>
        </w:numPr>
        <w:ind w:left="426" w:hanging="426"/>
        <w:rPr>
          <w:rFonts w:eastAsia="Calibri"/>
          <w:noProof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2835"/>
        <w:gridCol w:w="1560"/>
      </w:tblGrid>
      <w:tr>
        <w:tc>
          <w:tcPr>
            <w:tcW w:w="1418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„Код по КН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Описание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Намаление на митото за НОН (%)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Тарифна квота (тонове нетно тегло)</w:t>
            </w:r>
          </w:p>
        </w:tc>
      </w:tr>
      <w:tr>
        <w:tc>
          <w:tcPr>
            <w:tcW w:w="1418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0201 20,</w:t>
            </w:r>
          </w:p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0202 20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Други разфасовки от меса от животни от рода на едрия рогат добитък, необезкостени, пресни или охладени, или замразени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50 % намаление с максимално мито от 30 %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5 000</w:t>
            </w:r>
          </w:p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c>
          <w:tcPr>
            <w:tcW w:w="1418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0201 20,</w:t>
            </w:r>
          </w:p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0202 20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Други разфасовки от меса от животни от рода на едрия рогат добитък, необезкостени, пресни или охладени, или замразени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30 % намаление с максимално мито от 43 %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14 100“</w:t>
            </w:r>
          </w:p>
        </w:tc>
      </w:tr>
    </w:tbl>
    <w:p>
      <w:pPr>
        <w:spacing w:before="0" w:after="240"/>
        <w:rPr>
          <w:rFonts w:eastAsia="Calibri"/>
          <w:b/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ОВ 217, 29.12.1964 г., стр. 3687.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ОВ L 293, 29.12.1972 г., стр. 3.</w:t>
      </w:r>
    </w:p>
  </w:footnote>
  <w:footnote w:id="3">
    <w:p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ab/>
        <w:t>Решение № 1/98 на Съвета за асоцииране ЕО — Турция от 25 февруари 1998 г. относно търговския режим за селскостопански продукти (98/223/ЕО) (ОВ L 86, 20.3.1998 г., стр.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043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CFC8E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7039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C6A4C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AE7B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4BAE0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EFC9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0E24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7-04 17:32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B7FC5BA2B6A94D45B41CC1DE58F72D38"/>
    <w:docVar w:name="LW_CROSSREFERENCE" w:val="&lt;UNUSED&gt;"/>
    <w:docVar w:name="LW_DocType" w:val="ANNEX"/>
    <w:docVar w:name="LW_EMISSION" w:val="11.7.2017"/>
    <w:docVar w:name="LW_EMISSION_ISODATE" w:val="2017-07-11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1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91?\u1089?\u1090?\u1072?\u1085?\u1086?\u1074?\u1103?\u1074?\u1072?\u1085?\u1077? \u1085?\u1072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7?\u1098?\u1074?\u1077?\u1090?\u1072? \u1079?\u1072? \u1072?\u1089?\u1086?\u1094?\u1080?\u1080?\u1088?\u1072?\u1085?\u1077? \u1045?\u1057? \u8212? \u1058?\u1091?\u1088?\u1094?\u1080?\u1103? \u1087?\u1086? \u1086?\u1090?\u1085?\u1086?\u1096?\u1077?\u1085?\u1080?\u1077? \u1085?\u1072? \u1080?\u1079?\u1084?\u1077?\u1085?\u1077?\u1085?\u1080?\u1077?\u1090?\u1086? \u1085?\u1072? \u1087?\u1088?\u1086?\u1090?\u1086?\u1082?\u1086?\u1083? \u8470?&lt;LWCR:NBS&gt;2 \u1082?\u1098?\u1084? \u1056?\u1077?\u1096?\u1077?\u1085?\u1080?\u1077? \u8470?&lt;LWCR:NBS&gt;1/98 \u1085?\u1072? \u1057?\u1098?\u1074?\u1077?\u1090?\u1072? \u1079?\u1072? \u1072?\u1089?\u1086?\u1094?\u1080?\u1080?\u1088?\u1072?\u1085?\u1077? \u1045?\u1054? \u8212? \u1058?\u1091?\u1088?\u1094?\u1080?\u1103? \u1086?\u1090?\u1085?\u1086?\u1089?\u1085?\u1086? \u1090?\u1098?\u1088?\u1075?\u1086?\u1074?\u1089?\u1082?\u1080?\u1103? \u1088?\u1077?\u1078?\u1080?\u1084? \u1079?\u1072? \u1089?\u1077?\u1083?\u1089?\u1082?\u1086?\u1089?\u1090?\u1086?\u1087?\u1072?\u1085?\u1089?\u1082?\u1080? \u1087?\u1088?\u1086?\u1076?\u1091?\u1082?\u1090?\u1080?_x000b_"/>
    <w:docVar w:name="LW_OBJETACTEPRINCIPAL.CP" w:val="\u1079?\u1072? \u1091?\u1089?\u1090?\u1072?\u1085?\u1086?\u1074?\u1103?\u1074?\u1072?\u1085?\u1077? \u1085?\u1072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7?\u1098?\u1074?\u1077?\u1090?\u1072? \u1079?\u1072? \u1072?\u1089?\u1086?\u1094?\u1080?\u1080?\u1088?\u1072?\u1085?\u1077? \u1045?\u1057? \u8212? \u1058?\u1091?\u1088?\u1094?\u1080?\u1103? \u1087?\u1086? \u1086?\u1090?\u1085?\u1086?\u1096?\u1077?\u1085?\u1080?\u1077? \u1085?\u1072? \u1080?\u1079?\u1084?\u1077?\u1085?\u1077?\u1085?\u1080?\u1077?\u1090?\u1086? \u1085?\u1072? \u1087?\u1088?\u1086?\u1090?\u1086?\u1082?\u1086?\u1083? \u8470? 2 \u1082?\u1098?\u1084? \u1056?\u1077?\u1096?\u1077?\u1085?\u1080?\u1077? \u8470? 1/98 \u1085?\u1072? \u1057?\u1098?\u1074?\u1077?\u1090?\u1072? \u1079?\u1072? \u1072?\u1089?\u1086?\u1094?\u1080?\u1080?\u1088?\u1072?\u1085?\u1077? \u1045?\u1054? \u8212? \u1058?\u1091?\u1088?\u1094?\u1080?\u1103? \u1086?\u1090?\u1085?\u1086?\u1089?\u1085?\u1086? \u1090?\u1098?\u1088?\u1075?\u1086?\u1074?\u1089?\u1082?\u1080?\u1103? \u1088?\u1077?\u1078?\u1080?\u1084? \u1079?\u1072? \u1089?\u1077?\u1083?\u1089?\u1082?\u1086?\u1089?\u1090?\u1086?\u1087?\u1072?\u1085?\u1089?\u1082?\u1080? \u1087?\u1088?\u1086?\u1076?\u1091?\u1082?\u1090?\u1080?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374"/>
    <w:docVar w:name="LW_REF.INTERNE" w:val="&lt;UNUSED&gt;"/>
    <w:docVar w:name="LW_SUPERTITRE" w:val="&lt;UNUSED&gt;"/>
    <w:docVar w:name="LW_TITRE.OBJ.CP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_x000b_\u1056?\u1045?\u1064?\u1045?\u1053?\u1048?\u1045? \u1053?\u1040? \u1057?\u1066?\u1042?\u1045?\u1058?\u1040?_x000b_"/>
    <w:docVar w:name="LW_TYPEACTEPRINCIPAL.CP" w:val="\u1055?\u1088?\u1077?\u1076?\u1083?\u1086?\u1078?\u1077?\u1085?\u1080?\u1077? \u1079?\u1072?_x000b_\u1056?\u1045?\u1064?\u1045?\u1053?\u1048?\u1045? \u1053?\u1040? \u1057?\u1066?\u1042?\u1045?\u1058?\u1040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198F-8810-4DD8-AE66-4F93943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389</Words>
  <Characters>1996</Characters>
  <Application>Microsoft Office Word</Application>
  <DocSecurity>0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DULIEU Kathia (AGRI)</dc:creator>
  <cp:lastModifiedBy>DIGIT/A3</cp:lastModifiedBy>
  <cp:revision>7</cp:revision>
  <dcterms:created xsi:type="dcterms:W3CDTF">2017-07-04T14:06:00Z</dcterms:created>
  <dcterms:modified xsi:type="dcterms:W3CDTF">2017-07-04T15:32:00Z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