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5AA37C354B7D4929B2F5AD32D0C718F4" style="width:451.25pt;height:451.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BIJLAGE</w:t>
      </w:r>
    </w:p>
    <w:p>
      <w:pPr>
        <w:pStyle w:val="NormalCentered"/>
        <w:rPr>
          <w:b/>
          <w:noProof/>
        </w:rPr>
      </w:pPr>
      <w:r>
        <w:rPr>
          <w:b/>
          <w:noProof/>
        </w:rPr>
        <w:t>Ontwerp van</w:t>
      </w:r>
      <w:r>
        <w:rPr>
          <w:b/>
          <w:noProof/>
        </w:rPr>
        <w:br/>
        <w:t>BESLUIT nr. .... VAN DE ASSOCIATIERAAD EU-TURKIJE</w:t>
      </w:r>
      <w:r>
        <w:rPr>
          <w:b/>
          <w:noProof/>
        </w:rPr>
        <w:br/>
      </w:r>
      <w:r>
        <w:rPr>
          <w:b/>
          <w:noProof/>
        </w:rPr>
        <w:br/>
        <w:t>van ....</w:t>
      </w:r>
      <w:r>
        <w:rPr>
          <w:b/>
          <w:noProof/>
        </w:rPr>
        <w:br/>
      </w:r>
      <w:r>
        <w:rPr>
          <w:b/>
          <w:noProof/>
        </w:rPr>
        <w:br/>
        <w:t>tot wijziging van het aan Besluit nr. 1/98 betreffende de handelsregeling voor landbouwproducten gehechte protocol nr. 2</w:t>
      </w:r>
    </w:p>
    <w:p>
      <w:pPr>
        <w:pStyle w:val="Institutionquiagit"/>
        <w:rPr>
          <w:noProof/>
        </w:rPr>
      </w:pPr>
      <w:r>
        <w:rPr>
          <w:noProof/>
        </w:rPr>
        <w:t>DE ASSOCIATIERAAD EU-TURKIJE,</w:t>
      </w:r>
    </w:p>
    <w:p>
      <w:pPr>
        <w:rPr>
          <w:noProof/>
        </w:rPr>
      </w:pPr>
      <w:r>
        <w:rPr>
          <w:noProof/>
        </w:rPr>
        <w:t>Gezien de Overeenkomst waarbij een associatie tot stand wordt gebracht tussen de Europese Economische Gemeenschap en Turkije</w:t>
      </w:r>
      <w:r>
        <w:rPr>
          <w:rStyle w:val="FootnoteReference"/>
          <w:noProof/>
        </w:rPr>
        <w:footnoteReference w:id="1"/>
      </w:r>
      <w:r>
        <w:rPr>
          <w:noProof/>
        </w:rPr>
        <w:t>,</w:t>
      </w:r>
    </w:p>
    <w:p>
      <w:pPr>
        <w:rPr>
          <w:noProof/>
        </w:rPr>
      </w:pPr>
      <w:r>
        <w:rPr>
          <w:noProof/>
        </w:rPr>
        <w:t>Gezien het Aanvullend Protocol en Financieel Protocol, ondertekend op 23 november 1970, gehecht aan de Overeenkomst waarbij een associatie tot stand wordt gebracht tussen de Europese Economische Gemeenschap en Turkije, en betrekking hebbend op de voor de inwerkingtreding ervan te treffen maatregelen</w:t>
      </w:r>
      <w:r>
        <w:rPr>
          <w:rStyle w:val="FootnoteReference"/>
          <w:noProof/>
        </w:rPr>
        <w:footnoteReference w:id="2"/>
      </w:r>
      <w:r>
        <w:rPr>
          <w:noProof/>
        </w:rPr>
        <w:t>, en met name artikel 35,</w:t>
      </w:r>
    </w:p>
    <w:p>
      <w:pPr>
        <w:rPr>
          <w:noProof/>
        </w:rPr>
      </w:pPr>
      <w:r>
        <w:rPr>
          <w:noProof/>
        </w:rPr>
        <w:t>Overwegende hetgeen volgt:</w:t>
      </w:r>
    </w:p>
    <w:p>
      <w:pPr>
        <w:pStyle w:val="Considrant"/>
        <w:numPr>
          <w:ilvl w:val="0"/>
          <w:numId w:val="1"/>
        </w:numPr>
        <w:rPr>
          <w:noProof/>
        </w:rPr>
      </w:pPr>
      <w:r>
        <w:rPr>
          <w:noProof/>
        </w:rPr>
        <w:t>Bij Besluit nr. 1/98 van de Associatieraad EG-Turkije</w:t>
      </w:r>
      <w:r>
        <w:rPr>
          <w:rStyle w:val="FootnoteReference"/>
          <w:noProof/>
        </w:rPr>
        <w:footnoteReference w:id="3"/>
      </w:r>
      <w:r>
        <w:rPr>
          <w:noProof/>
        </w:rPr>
        <w:t xml:space="preserve"> is de regeling voor de preferentiële handel in landbouwproducten tussen de Unie en Turkije vastgesteld. Protocol nr. 2 bij dat Besluit bevat bijzonderheden over de preferentiële regeling voor de invoer in Turkije van landbouwproducten van oorsprong uit de Unie, met inbegrip van een preferentiële regeling voor de invoer van bevroren rundvlees.</w:t>
      </w:r>
    </w:p>
    <w:p>
      <w:pPr>
        <w:pStyle w:val="Considrant"/>
        <w:rPr>
          <w:noProof/>
        </w:rPr>
      </w:pPr>
      <w:r>
        <w:rPr>
          <w:noProof/>
        </w:rPr>
        <w:t>De Unie en Turkije hebben overleg gepleegd en zijn overeengekomen de preferentiële regeling voor de invoer in Turkije van rundvlees van oorsprong uit de Unie te wijzigen, om het bestaande, in de bijlage bij protocol nr. 2 bij Besluit nr. 1/98 vastgestelde tariefcontingent met vers en gekoeld rundvlees uit te breiden.</w:t>
      </w:r>
    </w:p>
    <w:p>
      <w:pPr>
        <w:pStyle w:val="Considrant"/>
        <w:rPr>
          <w:noProof/>
        </w:rPr>
      </w:pPr>
      <w:r>
        <w:rPr>
          <w:noProof/>
        </w:rPr>
        <w:t>Protocol nr. 2 bij Besluit nr. 1/98 van de Associatieraad EG-Turkije moet derhalve dienovereenkomstig worden gewijzigd,</w:t>
      </w:r>
    </w:p>
    <w:p>
      <w:pPr>
        <w:pStyle w:val="Formuledadoption"/>
        <w:rPr>
          <w:noProof/>
        </w:rPr>
      </w:pPr>
      <w:r>
        <w:rPr>
          <w:noProof/>
        </w:rPr>
        <w:t>BESLUIT:</w:t>
      </w:r>
    </w:p>
    <w:p>
      <w:pPr>
        <w:pStyle w:val="Titrearticle"/>
        <w:rPr>
          <w:noProof/>
        </w:rPr>
      </w:pPr>
      <w:r>
        <w:rPr>
          <w:noProof/>
        </w:rPr>
        <w:t>Artikel 1</w:t>
      </w:r>
    </w:p>
    <w:p>
      <w:pPr>
        <w:rPr>
          <w:noProof/>
        </w:rPr>
      </w:pPr>
      <w:r>
        <w:rPr>
          <w:noProof/>
        </w:rPr>
        <w:t>De bijlage bij protocol nr. 2 bij Besluit nr. 1/98 wordt gewijzigd overeenkomstig de bijlage bij het onderhavige besluit.</w:t>
      </w:r>
    </w:p>
    <w:p>
      <w:pPr>
        <w:pStyle w:val="Titrearticle"/>
        <w:rPr>
          <w:noProof/>
        </w:rPr>
      </w:pPr>
      <w:r>
        <w:rPr>
          <w:noProof/>
        </w:rPr>
        <w:t>Artikel 2</w:t>
      </w:r>
    </w:p>
    <w:p>
      <w:pPr>
        <w:rPr>
          <w:noProof/>
        </w:rPr>
      </w:pPr>
      <w:r>
        <w:rPr>
          <w:noProof/>
        </w:rPr>
        <w:t xml:space="preserve">Dit besluit treedt in werking op de datum waarop het wordt vastgesteld. Het wordt bekendgemaakt in het </w:t>
      </w:r>
      <w:r>
        <w:rPr>
          <w:i/>
          <w:noProof/>
        </w:rPr>
        <w:t>Publicatieblad van de Europese Unie</w:t>
      </w:r>
      <w:r>
        <w:rPr>
          <w:noProof/>
        </w:rPr>
        <w:t xml:space="preserve">.  </w:t>
      </w:r>
    </w:p>
    <w:p>
      <w:pPr>
        <w:rPr>
          <w:noProof/>
        </w:rPr>
      </w:pPr>
    </w:p>
    <w:p>
      <w:pPr>
        <w:rPr>
          <w:noProof/>
        </w:rPr>
      </w:pPr>
      <w:r>
        <w:rPr>
          <w:noProof/>
        </w:rPr>
        <w:lastRenderedPageBreak/>
        <w:t>Gedaan te ………….,</w:t>
      </w:r>
    </w:p>
    <w:p>
      <w:pPr>
        <w:pStyle w:val="Institutionquisigne"/>
        <w:jc w:val="right"/>
        <w:rPr>
          <w:noProof/>
        </w:rPr>
      </w:pPr>
    </w:p>
    <w:p>
      <w:pPr>
        <w:pStyle w:val="Institutionquisigne"/>
        <w:jc w:val="right"/>
        <w:rPr>
          <w:noProof/>
        </w:rPr>
      </w:pPr>
      <w:r>
        <w:rPr>
          <w:noProof/>
        </w:rPr>
        <w:t xml:space="preserve">Voor de Associatieraad EU-Turkije </w:t>
      </w:r>
    </w:p>
    <w:p>
      <w:pPr>
        <w:pStyle w:val="Personnequisigne"/>
        <w:jc w:val="right"/>
        <w:rPr>
          <w:noProof/>
        </w:rPr>
      </w:pPr>
      <w:r>
        <w:rPr>
          <w:noProof/>
        </w:rPr>
        <w:t>De voorzitter</w:t>
      </w:r>
    </w:p>
    <w:p>
      <w:pPr>
        <w:keepNext/>
        <w:tabs>
          <w:tab w:val="left" w:pos="4252"/>
        </w:tabs>
        <w:spacing w:before="720" w:after="0"/>
        <w:rPr>
          <w:rFonts w:eastAsia="Calibri"/>
          <w:noProof/>
        </w:rPr>
        <w:sectPr>
          <w:footerReference w:type="default" r:id="rId16"/>
          <w:footerReference w:type="first" r:id="rId17"/>
          <w:footnotePr>
            <w:numRestart w:val="eachSect"/>
          </w:footnotePr>
          <w:pgSz w:w="11907" w:h="16839"/>
          <w:pgMar w:top="1134" w:right="1417" w:bottom="1134" w:left="1417" w:header="709" w:footer="709" w:gutter="0"/>
          <w:cols w:space="720"/>
          <w:docGrid w:linePitch="360"/>
        </w:sectPr>
      </w:pPr>
    </w:p>
    <w:p>
      <w:pPr>
        <w:spacing w:before="0" w:after="240"/>
        <w:jc w:val="center"/>
        <w:rPr>
          <w:rFonts w:eastAsia="Calibri"/>
          <w:smallCaps/>
          <w:noProof/>
          <w:szCs w:val="20"/>
        </w:rPr>
      </w:pPr>
      <w:r>
        <w:rPr>
          <w:noProof/>
        </w:rPr>
        <w:lastRenderedPageBreak/>
        <w:t>Bijlage</w:t>
      </w:r>
    </w:p>
    <w:p>
      <w:pPr>
        <w:rPr>
          <w:noProof/>
        </w:rPr>
      </w:pPr>
      <w:r>
        <w:rPr>
          <w:noProof/>
        </w:rPr>
        <w:t>De vermeldingen voor GN-code 0202 20 in de bijlage bij protocol nr. 2 bij Besluit nr. 1/98 worden vervangen door:</w:t>
      </w:r>
    </w:p>
    <w:p>
      <w:pPr>
        <w:spacing w:before="0"/>
        <w:rPr>
          <w:rFonts w:eastAsia="Calibri"/>
          <w:noProof/>
          <w:sz w:val="2"/>
          <w:szCs w:val="2"/>
        </w:rPr>
      </w:pPr>
    </w:p>
    <w:p>
      <w:pPr>
        <w:numPr>
          <w:ilvl w:val="2"/>
          <w:numId w:val="0"/>
        </w:numPr>
        <w:ind w:left="426" w:hanging="426"/>
        <w:rPr>
          <w:rFonts w:eastAsia="Calibri"/>
          <w:noProof/>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536"/>
        <w:gridCol w:w="2835"/>
        <w:gridCol w:w="1560"/>
      </w:tblGrid>
      <w:tr>
        <w:tc>
          <w:tcPr>
            <w:tcW w:w="1418" w:type="dxa"/>
            <w:shd w:val="clear" w:color="auto" w:fill="auto"/>
          </w:tcPr>
          <w:p>
            <w:pPr>
              <w:spacing w:before="0" w:after="0"/>
              <w:rPr>
                <w:rFonts w:eastAsia="Times New Roman"/>
                <w:b/>
                <w:noProof/>
                <w:szCs w:val="24"/>
              </w:rPr>
            </w:pPr>
            <w:r>
              <w:rPr>
                <w:b/>
                <w:noProof/>
              </w:rPr>
              <w:t>"GN-code</w:t>
            </w:r>
          </w:p>
        </w:tc>
        <w:tc>
          <w:tcPr>
            <w:tcW w:w="4536" w:type="dxa"/>
            <w:shd w:val="clear" w:color="auto" w:fill="auto"/>
          </w:tcPr>
          <w:p>
            <w:pPr>
              <w:spacing w:before="0" w:after="0"/>
              <w:rPr>
                <w:rFonts w:eastAsia="Times New Roman"/>
                <w:b/>
                <w:noProof/>
                <w:szCs w:val="24"/>
              </w:rPr>
            </w:pPr>
            <w:r>
              <w:rPr>
                <w:b/>
                <w:noProof/>
              </w:rPr>
              <w:t>Omschrijving</w:t>
            </w:r>
          </w:p>
        </w:tc>
        <w:tc>
          <w:tcPr>
            <w:tcW w:w="2835" w:type="dxa"/>
            <w:shd w:val="clear" w:color="auto" w:fill="auto"/>
          </w:tcPr>
          <w:p>
            <w:pPr>
              <w:spacing w:before="0" w:after="0"/>
              <w:jc w:val="center"/>
              <w:rPr>
                <w:rFonts w:eastAsia="Times New Roman"/>
                <w:b/>
                <w:noProof/>
                <w:szCs w:val="24"/>
              </w:rPr>
            </w:pPr>
            <w:r>
              <w:rPr>
                <w:b/>
                <w:noProof/>
              </w:rPr>
              <w:t>Verlaging t.o.v. het voor de meest begunstigde naties geldende recht (%)</w:t>
            </w:r>
          </w:p>
        </w:tc>
        <w:tc>
          <w:tcPr>
            <w:tcW w:w="1560" w:type="dxa"/>
            <w:shd w:val="clear" w:color="auto" w:fill="auto"/>
          </w:tcPr>
          <w:p>
            <w:pPr>
              <w:spacing w:before="0" w:after="0"/>
              <w:jc w:val="center"/>
              <w:rPr>
                <w:rFonts w:eastAsia="Times New Roman"/>
                <w:b/>
                <w:noProof/>
                <w:szCs w:val="24"/>
              </w:rPr>
            </w:pPr>
            <w:r>
              <w:rPr>
                <w:b/>
                <w:noProof/>
              </w:rPr>
              <w:t>Tariefcontingent (ton nettogewicht)</w:t>
            </w:r>
          </w:p>
        </w:tc>
      </w:tr>
      <w:tr>
        <w:tc>
          <w:tcPr>
            <w:tcW w:w="1418" w:type="dxa"/>
            <w:shd w:val="clear" w:color="auto" w:fill="auto"/>
          </w:tcPr>
          <w:p>
            <w:pPr>
              <w:spacing w:before="0" w:after="0"/>
              <w:rPr>
                <w:rFonts w:eastAsia="Times New Roman"/>
                <w:noProof/>
                <w:szCs w:val="24"/>
              </w:rPr>
            </w:pPr>
            <w:r>
              <w:rPr>
                <w:noProof/>
              </w:rPr>
              <w:t>0201 20,</w:t>
            </w:r>
          </w:p>
          <w:p>
            <w:pPr>
              <w:spacing w:before="0" w:after="0"/>
              <w:rPr>
                <w:rFonts w:eastAsia="Times New Roman"/>
                <w:noProof/>
                <w:szCs w:val="24"/>
              </w:rPr>
            </w:pPr>
            <w:r>
              <w:rPr>
                <w:noProof/>
              </w:rPr>
              <w:t>0202 20</w:t>
            </w:r>
          </w:p>
        </w:tc>
        <w:tc>
          <w:tcPr>
            <w:tcW w:w="4536" w:type="dxa"/>
            <w:shd w:val="clear" w:color="auto" w:fill="auto"/>
          </w:tcPr>
          <w:p>
            <w:pPr>
              <w:spacing w:before="0" w:after="0"/>
              <w:rPr>
                <w:rFonts w:eastAsia="Times New Roman"/>
                <w:noProof/>
                <w:szCs w:val="24"/>
              </w:rPr>
            </w:pPr>
            <w:r>
              <w:rPr>
                <w:noProof/>
              </w:rPr>
              <w:t>Andere delen van vlees van runderen, met been, vers of gekoeld, of bevroren</w:t>
            </w:r>
          </w:p>
        </w:tc>
        <w:tc>
          <w:tcPr>
            <w:tcW w:w="2835" w:type="dxa"/>
            <w:shd w:val="clear" w:color="auto" w:fill="auto"/>
          </w:tcPr>
          <w:p>
            <w:pPr>
              <w:spacing w:before="0" w:after="0"/>
              <w:jc w:val="center"/>
              <w:rPr>
                <w:rFonts w:eastAsia="Times New Roman"/>
                <w:noProof/>
                <w:szCs w:val="24"/>
              </w:rPr>
            </w:pPr>
            <w:r>
              <w:rPr>
                <w:noProof/>
              </w:rPr>
              <w:t>Verlaging met 50 % en maximumrecht van 30 %</w:t>
            </w:r>
          </w:p>
        </w:tc>
        <w:tc>
          <w:tcPr>
            <w:tcW w:w="1560" w:type="dxa"/>
            <w:shd w:val="clear" w:color="auto" w:fill="auto"/>
          </w:tcPr>
          <w:p>
            <w:pPr>
              <w:spacing w:before="0" w:after="0"/>
              <w:jc w:val="center"/>
              <w:rPr>
                <w:rFonts w:eastAsia="Times New Roman"/>
                <w:noProof/>
                <w:szCs w:val="24"/>
              </w:rPr>
            </w:pPr>
            <w:r>
              <w:rPr>
                <w:noProof/>
              </w:rPr>
              <w:t>5 000</w:t>
            </w:r>
          </w:p>
          <w:p>
            <w:pPr>
              <w:spacing w:before="0" w:after="0"/>
              <w:jc w:val="center"/>
              <w:rPr>
                <w:rFonts w:eastAsia="Times New Roman"/>
                <w:noProof/>
                <w:szCs w:val="24"/>
              </w:rPr>
            </w:pPr>
          </w:p>
        </w:tc>
      </w:tr>
      <w:tr>
        <w:tc>
          <w:tcPr>
            <w:tcW w:w="1418" w:type="dxa"/>
            <w:shd w:val="clear" w:color="auto" w:fill="auto"/>
          </w:tcPr>
          <w:p>
            <w:pPr>
              <w:spacing w:before="0" w:after="0"/>
              <w:rPr>
                <w:rFonts w:eastAsia="Times New Roman"/>
                <w:noProof/>
                <w:szCs w:val="24"/>
              </w:rPr>
            </w:pPr>
            <w:r>
              <w:rPr>
                <w:noProof/>
              </w:rPr>
              <w:t>0201 20,</w:t>
            </w:r>
          </w:p>
          <w:p>
            <w:pPr>
              <w:spacing w:before="0" w:after="0"/>
              <w:rPr>
                <w:rFonts w:eastAsia="Times New Roman"/>
                <w:noProof/>
                <w:szCs w:val="24"/>
              </w:rPr>
            </w:pPr>
            <w:r>
              <w:rPr>
                <w:noProof/>
              </w:rPr>
              <w:t>0202 20</w:t>
            </w:r>
          </w:p>
        </w:tc>
        <w:tc>
          <w:tcPr>
            <w:tcW w:w="4536" w:type="dxa"/>
            <w:shd w:val="clear" w:color="auto" w:fill="auto"/>
          </w:tcPr>
          <w:p>
            <w:pPr>
              <w:spacing w:before="0" w:after="0"/>
              <w:rPr>
                <w:rFonts w:eastAsia="Times New Roman"/>
                <w:noProof/>
                <w:szCs w:val="24"/>
              </w:rPr>
            </w:pPr>
            <w:r>
              <w:rPr>
                <w:noProof/>
              </w:rPr>
              <w:t>Andere delen van vlees van runderen, met been, vers of gekoeld, of bevroren</w:t>
            </w:r>
          </w:p>
        </w:tc>
        <w:tc>
          <w:tcPr>
            <w:tcW w:w="2835" w:type="dxa"/>
            <w:shd w:val="clear" w:color="auto" w:fill="auto"/>
          </w:tcPr>
          <w:p>
            <w:pPr>
              <w:spacing w:before="0" w:after="0"/>
              <w:jc w:val="center"/>
              <w:rPr>
                <w:rFonts w:eastAsia="Times New Roman"/>
                <w:noProof/>
                <w:szCs w:val="24"/>
              </w:rPr>
            </w:pPr>
            <w:r>
              <w:rPr>
                <w:noProof/>
              </w:rPr>
              <w:t>Verlaging met 30 % en maximumrecht van 43 %</w:t>
            </w:r>
          </w:p>
        </w:tc>
        <w:tc>
          <w:tcPr>
            <w:tcW w:w="1560" w:type="dxa"/>
            <w:shd w:val="clear" w:color="auto" w:fill="auto"/>
          </w:tcPr>
          <w:p>
            <w:pPr>
              <w:spacing w:before="0" w:after="0"/>
              <w:jc w:val="center"/>
              <w:rPr>
                <w:rFonts w:eastAsia="Times New Roman"/>
                <w:noProof/>
                <w:szCs w:val="24"/>
              </w:rPr>
            </w:pPr>
            <w:r>
              <w:rPr>
                <w:noProof/>
              </w:rPr>
              <w:t>14 100".</w:t>
            </w:r>
          </w:p>
        </w:tc>
      </w:tr>
    </w:tbl>
    <w:p>
      <w:pPr>
        <w:spacing w:before="0" w:after="240"/>
        <w:rPr>
          <w:rFonts w:eastAsia="Calibri"/>
          <w:b/>
          <w:noProof/>
        </w:rPr>
      </w:pPr>
    </w:p>
    <w:p>
      <w:pPr>
        <w:rPr>
          <w:noProof/>
        </w:r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217 van 29.12.1964, blz. 3687.</w:t>
      </w:r>
    </w:p>
  </w:footnote>
  <w:footnote w:id="2">
    <w:p>
      <w:pPr>
        <w:pStyle w:val="FootnoteText"/>
      </w:pPr>
      <w:r>
        <w:rPr>
          <w:rStyle w:val="FootnoteReference"/>
        </w:rPr>
        <w:footnoteRef/>
      </w:r>
      <w:r>
        <w:tab/>
        <w:t>PB L 293 van 29.12.1972, blz. 3.</w:t>
      </w:r>
    </w:p>
  </w:footnote>
  <w:footnote w:id="3">
    <w:p>
      <w:pPr>
        <w:pStyle w:val="FootnoteText"/>
        <w:rPr>
          <w:lang w:val="cs-CZ"/>
        </w:rPr>
      </w:pPr>
      <w:r>
        <w:rPr>
          <w:rStyle w:val="FootnoteReference"/>
        </w:rPr>
        <w:footnoteRef/>
      </w:r>
      <w:r>
        <w:tab/>
        <w:t>Besluit nr. 1/98 van de Associatieraad EG-Turkije van 25 februari 1998 betreffende de handelsregeling voor landbouwproducten (98/223/EG) (PB L 86 van 20.3.1998,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043E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CFC8E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7039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C6A4C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DAE7B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4BAE0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EFC952E"/>
    <w:lvl w:ilvl="0">
      <w:start w:val="1"/>
      <w:numFmt w:val="decimal"/>
      <w:pStyle w:val="ListNumber"/>
      <w:lvlText w:val="%1."/>
      <w:lvlJc w:val="left"/>
      <w:pPr>
        <w:tabs>
          <w:tab w:val="num" w:pos="360"/>
        </w:tabs>
        <w:ind w:left="360" w:hanging="360"/>
      </w:pPr>
    </w:lvl>
  </w:abstractNum>
  <w:abstractNum w:abstractNumId="7">
    <w:nsid w:val="FFFFFF89"/>
    <w:multiLevelType w:val="singleLevel"/>
    <w:tmpl w:val="B0E246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04 17:32: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CONFIDENCE" w:val=" "/>
    <w:docVar w:name="LW_CONST_RESTREINT_UE" w:val="RESTREINT UE"/>
    <w:docVar w:name="LW_CORRIGENDUM" w:val="&lt;UNUSED&gt;"/>
    <w:docVar w:name="LW_COVERPAGE_GUID" w:val="5AA37C354B7D4929B2F5AD32D0C718F4"/>
    <w:docVar w:name="LW_CROSSREFERENCE" w:val="&lt;UNUSED&gt;"/>
    <w:docVar w:name="LW_DocType" w:val="ANNEX"/>
    <w:docVar w:name="LW_EMISSION" w:val="11.7.2017"/>
    <w:docVar w:name="LW_EMISSION_ISODATE" w:val="2017-07-11"/>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 w:val="betreffende het standpunt dat namens de Europese Unie moet worden ingenomen in de Associatieraad EU-Turkije wat betreft de wijziging van protocol nr. 2 bij Besluit nr. 1/98 van de Associatieraad EG-Turkije betreffende de handelsregeling voor landbouwproducten_x000b_"/>
    <w:docVar w:name="LW_OBJETACTEPRINCIPAL.CP" w:val="betreffende het standpunt dat namens de Europese Unie moet worden ingenomen in de Associatieraad EU-Turkije wat betreft de wijziging van protocol nr. 2 bij Besluit nr. 1/98 van de Associatieraad EG-Turkije betreffende de handelsregeling voor landbouwproducten_x000b_"/>
    <w:docVar w:name="LW_PART_NBR" w:val="1"/>
    <w:docVar w:name="LW_PART_NBR_TOTAL" w:val="1"/>
    <w:docVar w:name="LW_REF.INST.NEW" w:val="COM"/>
    <w:docVar w:name="LW_REF.INST.NEW_ADOPTED" w:val="final"/>
    <w:docVar w:name="LW_REF.INST.NEW_TEXT" w:val="(2017) 374"/>
    <w:docVar w:name="LW_REF.INTERNE" w:val="&lt;UNUSED&gt;"/>
    <w:docVar w:name="LW_SUPERTITRE" w:val="&lt;UNUSED&gt;"/>
    <w:docVar w:name="LW_TITRE.OBJ.CP" w:val="&lt;UNUSED&gt;"/>
    <w:docVar w:name="LW_TYPE.DOC" w:val="BIJLAGE"/>
    <w:docVar w:name="LW_TYPE.DOC.CP" w:val="BIJLAGE"/>
    <w:docVar w:name="LW_TYPEACTEPRINCIPAL" w:val="Voorstel voor een_x000b__x000b_BESLUIT VAN DE RAAD"/>
    <w:docVar w:name="LW_TYPEACTEPRINCIPAL.CP" w:val="Voorstel voor een_x000b__x000b_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0D8D2-3283-4972-A6A4-5F589F7D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Pages>
  <Words>379</Words>
  <Characters>2089</Characters>
  <Application>Microsoft Office Word</Application>
  <DocSecurity>0</DocSecurity>
  <Lines>74</Lines>
  <Paragraphs>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DULIEU Kathia (AGRI)</dc:creator>
  <cp:lastModifiedBy>DIGIT/A3</cp:lastModifiedBy>
  <cp:revision>7</cp:revision>
  <dcterms:created xsi:type="dcterms:W3CDTF">2017-06-29T09:03:00Z</dcterms:created>
  <dcterms:modified xsi:type="dcterms:W3CDTF">2017-07-04T15:32:00Z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