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478E1712110D4009B6A7B27BC1A3679C" style="width:450.8pt;height:438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ALLEGATO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Progetto di</w:t>
      </w:r>
      <w:r>
        <w:rPr>
          <w:b/>
          <w:noProof/>
        </w:rPr>
        <w:br/>
        <w:t>DECISIONE N. .... DEL CONSIGLIO DI ASSOCIAZIONE UE-TURCHIA</w:t>
      </w:r>
      <w:r>
        <w:rPr>
          <w:b/>
          <w:noProof/>
        </w:rPr>
        <w:br/>
      </w:r>
      <w:r>
        <w:rPr>
          <w:b/>
          <w:noProof/>
        </w:rPr>
        <w:br/>
        <w:t>del ....</w:t>
      </w:r>
      <w:r>
        <w:rPr>
          <w:b/>
          <w:noProof/>
        </w:rPr>
        <w:br/>
      </w:r>
      <w:r>
        <w:rPr>
          <w:b/>
          <w:noProof/>
        </w:rPr>
        <w:br/>
        <w:t>che modifica il protocollo 2 della decisione n. 1/98 relativa al regime applicabile agli scambi di prodotti agricoli</w:t>
      </w:r>
    </w:p>
    <w:p>
      <w:pPr>
        <w:pStyle w:val="Institutionquiagit"/>
        <w:rPr>
          <w:noProof/>
        </w:rPr>
      </w:pPr>
      <w:r>
        <w:rPr>
          <w:noProof/>
        </w:rPr>
        <w:t>IL CONSIGLIO DI ASSOCIAZIONE UE-TURCHIA,</w:t>
      </w:r>
    </w:p>
    <w:p>
      <w:pPr>
        <w:rPr>
          <w:noProof/>
        </w:rPr>
      </w:pPr>
      <w:r>
        <w:rPr>
          <w:noProof/>
        </w:rPr>
        <w:t>visto l'accordo che crea un'associazione tra la Comunità economica europea e la Turchia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visti il protocollo addizionale e il protocollo finanziario, firmati il 23 novembre 1970, allegati all'Accordo che crea un'Associazione tra la Comunità economica europea e la Turchia, e relativo ai provvedimenti da prendere per la loro entrata in vigore</w:t>
      </w:r>
      <w:r>
        <w:rPr>
          <w:rStyle w:val="FootnoteReference"/>
          <w:noProof/>
        </w:rPr>
        <w:footnoteReference w:id="2"/>
      </w:r>
      <w:r>
        <w:rPr>
          <w:noProof/>
        </w:rPr>
        <w:t>, in particolare l'articolo 35,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La decisione n. 1/98 del Consiglio d'associazione CE-Turchia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stabilisce il regime preferenziale applicabile agli scambi di prodotti agricoli tra l'Unione e la Turchia. Il protocollo 2 di tale decisione contiene disposizioni dettagliate relative al regime preferenziale applicabile all'importazione in Turchia di prodotti agricoli originari dell'Unione, compreso un regime preferenziale per l'importazione di carni bovine congelate.</w:t>
      </w:r>
    </w:p>
    <w:p>
      <w:pPr>
        <w:pStyle w:val="Considrant"/>
        <w:rPr>
          <w:noProof/>
        </w:rPr>
      </w:pPr>
      <w:r>
        <w:rPr>
          <w:noProof/>
        </w:rPr>
        <w:t>L'Unione e la Turchia si sono consultate e hanno convenuto di modificare il regime preferenziale applicabile all'importazione in Turchia di carni bovine originarie dell'Unione per estendere il campo di applicazione dell'attuale contingente tariffario, stabilito nell'allegato del protocollo 2 della decisione n. 1/98, alle carni bovine fresche e refrigerate.</w:t>
      </w:r>
    </w:p>
    <w:p>
      <w:pPr>
        <w:pStyle w:val="Considrant"/>
        <w:rPr>
          <w:noProof/>
        </w:rPr>
      </w:pPr>
      <w:r>
        <w:rPr>
          <w:noProof/>
        </w:rPr>
        <w:t>Il protocollo 2 della decisione n. 1/98 del Consiglio di associazione CE-Turchia dovrebbe pertanto essere modificato di conseguenza,</w:t>
      </w:r>
    </w:p>
    <w:p>
      <w:pPr>
        <w:pStyle w:val="Formuledadoption"/>
        <w:rPr>
          <w:noProof/>
        </w:rPr>
      </w:pPr>
      <w:r>
        <w:rPr>
          <w:noProof/>
        </w:rPr>
        <w:t>DECIDE:</w:t>
      </w:r>
    </w:p>
    <w:p>
      <w:pPr>
        <w:pStyle w:val="Titrearticle"/>
        <w:rPr>
          <w:noProof/>
        </w:rPr>
      </w:pPr>
      <w:r>
        <w:rPr>
          <w:noProof/>
        </w:rPr>
        <w:t>Articolo 1</w:t>
      </w:r>
    </w:p>
    <w:p>
      <w:pPr>
        <w:rPr>
          <w:noProof/>
        </w:rPr>
      </w:pPr>
      <w:r>
        <w:rPr>
          <w:noProof/>
        </w:rPr>
        <w:t>L'allegato del protocollo 2 della decisione n. 1/98 è modificato conformemente all'allegato della presente decisione.</w:t>
      </w:r>
    </w:p>
    <w:p>
      <w:pPr>
        <w:pStyle w:val="Titrearticle"/>
        <w:rPr>
          <w:noProof/>
        </w:rPr>
      </w:pPr>
      <w:r>
        <w:rPr>
          <w:noProof/>
        </w:rPr>
        <w:t>Articolo 2</w:t>
      </w:r>
    </w:p>
    <w:p>
      <w:pPr>
        <w:rPr>
          <w:noProof/>
        </w:rPr>
      </w:pPr>
      <w:r>
        <w:rPr>
          <w:noProof/>
        </w:rPr>
        <w:t xml:space="preserve">La presente decisione entra in vigore il giorno dell'adozione. Essa è pubblicata nella </w:t>
      </w:r>
      <w:r>
        <w:rPr>
          <w:i/>
          <w:noProof/>
        </w:rPr>
        <w:t>Gazzetta ufficiale dell'Unione europea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lastRenderedPageBreak/>
        <w:t>Fatto a...,</w:t>
      </w:r>
    </w:p>
    <w:p>
      <w:pPr>
        <w:pStyle w:val="Institutionquisigne"/>
        <w:jc w:val="right"/>
        <w:rPr>
          <w:noProof/>
        </w:rPr>
      </w:pPr>
    </w:p>
    <w:p>
      <w:pPr>
        <w:pStyle w:val="Institutionquisigne"/>
        <w:jc w:val="right"/>
        <w:rPr>
          <w:noProof/>
        </w:rPr>
      </w:pPr>
      <w:r>
        <w:rPr>
          <w:noProof/>
        </w:rPr>
        <w:t xml:space="preserve">Per il Consiglio di associazione UE-Turchia </w:t>
      </w:r>
    </w:p>
    <w:p>
      <w:pPr>
        <w:pStyle w:val="Personnequisigne"/>
        <w:jc w:val="right"/>
        <w:rPr>
          <w:noProof/>
        </w:rPr>
      </w:pPr>
      <w:r>
        <w:rPr>
          <w:noProof/>
        </w:rPr>
        <w:t>Il presidente</w:t>
      </w:r>
    </w:p>
    <w:p>
      <w:pPr>
        <w:keepNext/>
        <w:tabs>
          <w:tab w:val="left" w:pos="4252"/>
        </w:tabs>
        <w:spacing w:before="720" w:after="0"/>
        <w:rPr>
          <w:rFonts w:eastAsia="Calibri"/>
          <w:noProof/>
        </w:rPr>
        <w:sectPr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spacing w:before="0" w:after="240"/>
        <w:jc w:val="center"/>
        <w:rPr>
          <w:rFonts w:eastAsia="Calibri"/>
          <w:smallCaps/>
          <w:noProof/>
          <w:szCs w:val="20"/>
        </w:rPr>
      </w:pPr>
      <w:r>
        <w:rPr>
          <w:smallCaps/>
          <w:noProof/>
        </w:rPr>
        <w:lastRenderedPageBreak/>
        <w:t>Allegato</w:t>
      </w:r>
    </w:p>
    <w:p>
      <w:pPr>
        <w:rPr>
          <w:noProof/>
        </w:rPr>
      </w:pPr>
      <w:r>
        <w:rPr>
          <w:noProof/>
        </w:rPr>
        <w:t>Le voci di cui al codice NC 0202 20 dell'allegato al protocollo 2 della decisione n. 1/98 sono sostituite dalle seguenti:</w:t>
      </w:r>
    </w:p>
    <w:p>
      <w:pPr>
        <w:spacing w:before="0"/>
        <w:rPr>
          <w:rFonts w:eastAsia="Calibri"/>
          <w:noProof/>
          <w:sz w:val="2"/>
          <w:szCs w:val="2"/>
        </w:rPr>
      </w:pPr>
    </w:p>
    <w:p>
      <w:pPr>
        <w:numPr>
          <w:ilvl w:val="2"/>
          <w:numId w:val="0"/>
        </w:numPr>
        <w:ind w:left="426" w:hanging="426"/>
        <w:rPr>
          <w:rFonts w:eastAsia="Calibri"/>
          <w:noProof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2835"/>
        <w:gridCol w:w="1560"/>
      </w:tblGrid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ind w:hanging="62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"Codice NC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Descrizione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Riduzione del dazio NPF (%)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Contingente tariffario (peso netto in tonnellate)</w:t>
            </w:r>
          </w:p>
        </w:tc>
      </w:tr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0201 20,</w:t>
            </w:r>
          </w:p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0202 20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Altri pezzi di carni bovine, non disossati, freschi o refrigerati, o congelati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riduzione del 50% con un dazio massimo del 30%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5 000</w:t>
            </w:r>
          </w:p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0201 20,</w:t>
            </w:r>
          </w:p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0202 20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Altri pezzi di carni bovine, non disossati, freschi o refrigerati, o congelati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riduzione del 30% con un dazio massimo del 43%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14 100"</w:t>
            </w:r>
          </w:p>
        </w:tc>
      </w:tr>
    </w:tbl>
    <w:p>
      <w:pPr>
        <w:spacing w:before="0" w:after="240"/>
        <w:rPr>
          <w:rFonts w:eastAsia="Calibri"/>
          <w:b/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GU 217 del 29.12.1964, pag. 3687.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GU L 293 del 29.12.1972, pag. 3.</w:t>
      </w:r>
    </w:p>
  </w:footnote>
  <w:footnote w:id="3">
    <w:p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  <w:t>Decisione n. 1/98 del Consiglio d'associazione CE-Turchia, del 25 febbraio 1998, relativa al regime applicabile agli scambi di prodotti agricoli (98/223/CE) (GU L 86 del 20.3.1998, pag.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043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CFC8E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7039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C6A4C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AE7B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4BAE0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EFC9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0E24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7-04 17:32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478E1712110D4009B6A7B27BC1A3679C"/>
    <w:docVar w:name="LW_CROSSREFERENCE" w:val="&lt;UNUSED&gt;"/>
    <w:docVar w:name="LW_DocType" w:val="ANNEX"/>
    <w:docVar w:name="LW_EMISSION" w:val="11.7.2017"/>
    <w:docVar w:name="LW_EMISSION_ISODATE" w:val="2017-07-11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" w:val="relativa alla posizione da adottare, a nome dell'Unione europea, nell'ambito del Consiglio di associazione UE-Turchia con riguardo alla modifica del protocollo 2 della decisione n. 1/98 del Consiglio di associazione CE-Turchia relativa al regime applicabile agli scambi di prodotti agricoli"/>
    <w:docVar w:name="LW_OBJETACTEPRINCIPAL.CP" w:val="relativa alla posizione da adottare, a nome dell'Unione europea, nell'ambito del Consiglio di associazione UE-Turchia con riguardo alla modifica del protocollo 2 della decisione n. 1/98 del Consiglio di associazione CE-Turchia relativa al regime applicabile agli scambi di prodotti agricoli"/>
    <w:docVar w:name="LW_PART_NBR" w:val="1"/>
    <w:docVar w:name="LW_PART_NBR_TOTAL" w:val="1"/>
    <w:docVar w:name="LW_REF.INST.NEW" w:val="COM"/>
    <w:docVar w:name="LW_REF.INST.NEW_ADOPTED" w:val="final"/>
    <w:docVar w:name="LW_REF.INST.NEW_TEXT" w:val="(2017) 374"/>
    <w:docVar w:name="LW_REF.INTERNE" w:val="&lt;UNUSED&gt;"/>
    <w:docVar w:name="LW_SUPERTITRE" w:val="&lt;UNUSED&gt;"/>
    <w:docVar w:name="LW_TITRE.OBJ" w:val="proposta di_x000b_DECISIONE DEL CONSIGLIO_x000b_relativa alla posizione da adottare, a nome dell'Unione europea, nell'ambito del Consiglio di associazione UE-Turchia con riguardo alla modifica del protocollo 2 della decisione n. 1/98 del Consiglio di associazione CE-Turchia relativa al regime applicabile agli scambi di prodotti agricoli"/>
    <w:docVar w:name="LW_TITRE.OBJ.CP" w:val="&lt;UNUSED&gt;"/>
    <w:docVar w:name="LW_TYPE.DOC" w:val="ALLEGATO"/>
    <w:docVar w:name="LW_TYPE.DOC.CP" w:val="ALLEGATO"/>
    <w:docVar w:name="LW_TYPEACTEPRINCIPAL" w:val="proposta di_x000b__x000b_DECISIONE DEL CONSIGLIO"/>
    <w:docVar w:name="LW_TYPEACTEPRINCIPAL.CP" w:val="proposta di_x000b__x000b_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3C1B-EA5F-4214-AE40-49BDA987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357</Words>
  <Characters>2113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DULIEU Kathia (AGRI)</dc:creator>
  <cp:lastModifiedBy>DIGIT/A3</cp:lastModifiedBy>
  <cp:revision>7</cp:revision>
  <dcterms:created xsi:type="dcterms:W3CDTF">2017-07-04T09:31:00Z</dcterms:created>
  <dcterms:modified xsi:type="dcterms:W3CDTF">2017-07-04T15:32:00Z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