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BB" w:rsidRDefault="009636A2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43C3D0F9DE74295B945080A6F5A0B98" style="width:450.75pt;height:396.75pt">
            <v:imagedata r:id="rId8" o:title=""/>
          </v:shape>
        </w:pict>
      </w:r>
    </w:p>
    <w:p w:rsidR="00234BBB" w:rsidRDefault="00234BBB">
      <w:pPr>
        <w:rPr>
          <w:noProof/>
        </w:rPr>
        <w:sectPr w:rsidR="00234BBB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34BBB" w:rsidRDefault="009636A2">
      <w:pPr>
        <w:pStyle w:val="Typedudocument"/>
        <w:rPr>
          <w:noProof/>
        </w:rPr>
      </w:pPr>
      <w:r>
        <w:rPr>
          <w:noProof/>
        </w:rPr>
        <w:lastRenderedPageBreak/>
        <w:t>ANEXĂ</w:t>
      </w:r>
    </w:p>
    <w:p w:rsidR="00234BBB" w:rsidRDefault="00234BBB">
      <w:pPr>
        <w:spacing w:before="0" w:after="200" w:line="276" w:lineRule="auto"/>
        <w:jc w:val="left"/>
        <w:rPr>
          <w:b/>
          <w:noProof/>
          <w:szCs w:val="24"/>
        </w:rPr>
      </w:pPr>
      <w:bookmarkStart w:id="0" w:name="_GoBack"/>
      <w:bookmarkEnd w:id="0"/>
    </w:p>
    <w:p w:rsidR="00234BBB" w:rsidRDefault="009636A2">
      <w:pPr>
        <w:jc w:val="center"/>
        <w:rPr>
          <w:b/>
          <w:noProof/>
          <w:szCs w:val="24"/>
        </w:rPr>
      </w:pPr>
      <w:r>
        <w:rPr>
          <w:b/>
          <w:noProof/>
        </w:rPr>
        <w:lastRenderedPageBreak/>
        <w:t>ACORD</w:t>
      </w:r>
    </w:p>
    <w:p w:rsidR="00234BBB" w:rsidRDefault="009636A2">
      <w:pPr>
        <w:jc w:val="center"/>
        <w:rPr>
          <w:b/>
          <w:noProof/>
          <w:szCs w:val="24"/>
        </w:rPr>
      </w:pPr>
      <w:r>
        <w:rPr>
          <w:b/>
          <w:noProof/>
        </w:rPr>
        <w:t xml:space="preserve">între Uniunea Europeană și </w:t>
      </w:r>
      <w:r>
        <w:rPr>
          <w:rStyle w:val="Strong"/>
          <w:noProof/>
        </w:rPr>
        <w:t xml:space="preserve">Antigua și Barbuda </w:t>
      </w:r>
      <w:r>
        <w:rPr>
          <w:b/>
          <w:noProof/>
        </w:rPr>
        <w:t>de modificare a Acordului dintre Comu</w:t>
      </w:r>
      <w:r>
        <w:rPr>
          <w:b/>
          <w:noProof/>
        </w:rPr>
        <w:t xml:space="preserve">nitatea Europeană și </w:t>
      </w:r>
      <w:r>
        <w:rPr>
          <w:rStyle w:val="Strong"/>
          <w:noProof/>
        </w:rPr>
        <w:t xml:space="preserve">Antigua și Barbuda </w:t>
      </w:r>
      <w:r>
        <w:rPr>
          <w:b/>
          <w:noProof/>
        </w:rPr>
        <w:t>privind exonerarea de obligația de a deține viză de scurtă ședere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UNIUNEA EUROPEANĂ,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 xml:space="preserve">pe de o parte, și 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ANTIGUA ȘI BARBUDA,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 xml:space="preserve">pe de altă parte, 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denumite în continuare împreună „părțile contractante”,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 xml:space="preserve">AVÂND ÎN VEDERE Acordul dintre Comunitatea Europeană și </w:t>
      </w:r>
      <w:r>
        <w:rPr>
          <w:rStyle w:val="Strong"/>
          <w:b w:val="0"/>
          <w:noProof/>
        </w:rPr>
        <w:t>Antigua și Barbuda</w:t>
      </w:r>
      <w:r>
        <w:rPr>
          <w:noProof/>
        </w:rPr>
        <w:t xml:space="preserve"> privind exonerarea de obligația de a deține viză de scurtă ședere (denumit în continuare „acordul”), care a intrat în vigoare la 1 mai 2010,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REAFIRMÂND importanța facilitării contac</w:t>
      </w:r>
      <w:r>
        <w:rPr>
          <w:noProof/>
        </w:rPr>
        <w:t xml:space="preserve">telor interpersonale, 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LUÂND ACT de faptul că acordul acționează în beneficiul cetățenilor părților contractante,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LUÂND ÎN CONSIDERARE faptul că definiția conceptului de scurtă ședere prevăzută de acord (trei luni în cadrul unei perioade de șase luni, calc</w:t>
      </w:r>
      <w:r>
        <w:rPr>
          <w:noProof/>
        </w:rPr>
        <w:t xml:space="preserve">ulată de la data primei intrări) nu este suficient de precisă și, mai exact, că noțiunea „datei primei intrări” poate genera incertitudini și întrebări, 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Ț</w:t>
      </w:r>
      <w:r>
        <w:rPr>
          <w:noProof/>
        </w:rPr>
        <w:t>INÂND SEAMA de faptul că Regulamentul (UE) nr. 610/2013 din 26 iunie 2013 a adus unele modificări ori</w:t>
      </w:r>
      <w:r>
        <w:rPr>
          <w:noProof/>
        </w:rPr>
        <w:t xml:space="preserve">zontale la acquis-ul „intern” al Uniunii în materie de vize și frontiere și a definit conceptul de scurtă ședere ca fiind o perioadă de „90 de zile în cursul oricărei perioade de 180 de zile”, 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LUÂND ÎN CONSIDERARE faptul că sistemul de intrare/ieșire care</w:t>
      </w:r>
      <w:r>
        <w:rPr>
          <w:noProof/>
        </w:rPr>
        <w:t xml:space="preserve"> urmează să fie instituit de Uniunea Europeană impune utilizarea unei definiții clare și uniforme a conceptului de scurtă ședere, care să se aplice tuturor resortisanților țărilor terțe,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DORIND să asigure buna circulație a călătorilor la punctele de trecer</w:t>
      </w:r>
      <w:r>
        <w:rPr>
          <w:noProof/>
        </w:rPr>
        <w:t>e a frontierelor părților contractante,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REAFIRMÂND că acordul se aplică cetățenilor tuturor statelor membre ale Uniunii Europene, cu excepția Regatului Unit și a Irlandei,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LUÂND ÎN CONSIDERARE Protocolul privind poziția Regatului Unit și a Irlandei cu priv</w:t>
      </w:r>
      <w:r>
        <w:rPr>
          <w:noProof/>
        </w:rPr>
        <w:t>ire la spațiul de libertate, securitate și justiție și Protocolul privind integrarea acquis-ului Schengen în cadrul Uniunii Europene, anexate la Tratatul privind Uniunea Europeană și la Tratatul privind funcționarea Uniunii Europene, și confirmând că preve</w:t>
      </w:r>
      <w:r>
        <w:rPr>
          <w:noProof/>
        </w:rPr>
        <w:t xml:space="preserve">derile prezentului acord nu se aplică Regatului Unit și Irlandei, 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CONVIN DUPĂ CUM URMEAZĂ:</w:t>
      </w:r>
    </w:p>
    <w:p w:rsidR="00234BBB" w:rsidRDefault="009636A2">
      <w:pPr>
        <w:pStyle w:val="Titrearticle"/>
        <w:rPr>
          <w:noProof/>
        </w:rPr>
      </w:pPr>
      <w:r>
        <w:rPr>
          <w:noProof/>
        </w:rPr>
        <w:t>Articolul 1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Acordul se modifică în conformitate cu dispozițiile prezentului articol:</w:t>
      </w:r>
    </w:p>
    <w:p w:rsidR="00234BBB" w:rsidRDefault="009636A2">
      <w:pPr>
        <w:pStyle w:val="Point0number"/>
        <w:numPr>
          <w:ilvl w:val="0"/>
          <w:numId w:val="8"/>
        </w:numPr>
        <w:spacing w:after="240"/>
        <w:ind w:left="851" w:hanging="851"/>
        <w:rPr>
          <w:noProof/>
        </w:rPr>
      </w:pPr>
      <w:r>
        <w:rPr>
          <w:noProof/>
        </w:rPr>
        <w:t xml:space="preserve">În titlu și la articolul 3 alineatul (5), la articolul 6 alineatul (1) și la </w:t>
      </w:r>
      <w:r>
        <w:rPr>
          <w:noProof/>
        </w:rPr>
        <w:t>articolul 8 alineatul (7), cuvântul „Comunitate” se înlocuiește cu cuvântul „Uniune”.</w:t>
      </w:r>
    </w:p>
    <w:p w:rsidR="00234BBB" w:rsidRDefault="009636A2">
      <w:pPr>
        <w:pStyle w:val="Point0number"/>
        <w:numPr>
          <w:ilvl w:val="0"/>
          <w:numId w:val="7"/>
        </w:numPr>
        <w:spacing w:after="240"/>
        <w:ind w:left="851" w:hanging="851"/>
        <w:rPr>
          <w:noProof/>
        </w:rPr>
      </w:pPr>
      <w:r>
        <w:rPr>
          <w:noProof/>
        </w:rPr>
        <w:t>La articolul 1, cuvintele „trei luni, în cadrul unei perioade de șase luni” se înlocuiesc cu cuvintele „90 de zile în cursul oricărei perioade de 180 de zile”.</w:t>
      </w:r>
    </w:p>
    <w:p w:rsidR="00234BBB" w:rsidRDefault="009636A2">
      <w:pPr>
        <w:pStyle w:val="Point0number"/>
        <w:numPr>
          <w:ilvl w:val="0"/>
          <w:numId w:val="7"/>
        </w:numPr>
        <w:rPr>
          <w:noProof/>
        </w:rPr>
      </w:pPr>
      <w:r>
        <w:rPr>
          <w:noProof/>
        </w:rPr>
        <w:t>La articol</w:t>
      </w:r>
      <w:r>
        <w:rPr>
          <w:noProof/>
        </w:rPr>
        <w:t>ul 4, alineatul (1) se înlocuiește cu următorul text:</w:t>
      </w:r>
    </w:p>
    <w:p w:rsidR="00234BBB" w:rsidRDefault="009636A2">
      <w:pPr>
        <w:ind w:left="850"/>
        <w:rPr>
          <w:noProof/>
          <w:szCs w:val="24"/>
        </w:rPr>
      </w:pPr>
      <w:r>
        <w:rPr>
          <w:noProof/>
        </w:rPr>
        <w:t>„Cetățenii Uniunii Europene pot rămâne pe teritoriul Antigua și Barbuda pentru o perioadă maximă de 90 de zile în cursul oricărei perioade de 180 de zile.”</w:t>
      </w:r>
    </w:p>
    <w:p w:rsidR="00234BBB" w:rsidRDefault="009636A2">
      <w:pPr>
        <w:pStyle w:val="Point0number"/>
        <w:rPr>
          <w:noProof/>
        </w:rPr>
      </w:pPr>
      <w:r>
        <w:rPr>
          <w:noProof/>
        </w:rPr>
        <w:t>La articolul 4, alineatul (2) se înlocuiește c</w:t>
      </w:r>
      <w:r>
        <w:rPr>
          <w:noProof/>
        </w:rPr>
        <w:t>u următorul text:</w:t>
      </w:r>
    </w:p>
    <w:p w:rsidR="00234BBB" w:rsidRDefault="009636A2">
      <w:pPr>
        <w:pStyle w:val="CM4"/>
        <w:spacing w:before="60" w:after="60"/>
        <w:ind w:left="850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„Cetățenii Antigua și Barbuda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000000"/>
        </w:rPr>
        <w:t xml:space="preserve">pot rămâne pe teritoriul statelor membre care aplică integral acquis-ul Schengen pentru o perioadă maximă de </w:t>
      </w:r>
      <w:r>
        <w:rPr>
          <w:rFonts w:ascii="Times New Roman" w:hAnsi="Times New Roman"/>
          <w:noProof/>
        </w:rPr>
        <w:t>90 de zile în cursul oricărei perioade de 180 de zile</w:t>
      </w:r>
      <w:r>
        <w:rPr>
          <w:rFonts w:ascii="Times New Roman" w:hAnsi="Times New Roman"/>
          <w:noProof/>
          <w:color w:val="000000"/>
        </w:rPr>
        <w:t>. Perioada respectivă se calculează independen</w:t>
      </w:r>
      <w:r>
        <w:rPr>
          <w:rFonts w:ascii="Times New Roman" w:hAnsi="Times New Roman"/>
          <w:noProof/>
          <w:color w:val="000000"/>
        </w:rPr>
        <w:t xml:space="preserve">t de orice ședere într-un stat membru care nu aplică încă integral acquis-ul Schengen. </w:t>
      </w:r>
    </w:p>
    <w:p w:rsidR="00234BBB" w:rsidRDefault="009636A2">
      <w:pPr>
        <w:ind w:left="850"/>
        <w:rPr>
          <w:noProof/>
          <w:szCs w:val="24"/>
        </w:rPr>
      </w:pPr>
      <w:r>
        <w:rPr>
          <w:noProof/>
        </w:rPr>
        <w:t>Cetățenii Antigua și Barbuda pot rămâne pentru o perioadă maximă de 90 de zile în cursul oricărei perioade de 180 de zile pe teritoriul fiecărui stat membru care nu apl</w:t>
      </w:r>
      <w:r>
        <w:rPr>
          <w:noProof/>
        </w:rPr>
        <w:t>ică încă integral acquis-ul Schengen, independent de perioada de ședere calculată pentru teritoriul statelor membre care aplică integral acquis-ul Schengen.”</w:t>
      </w:r>
    </w:p>
    <w:p w:rsidR="00234BBB" w:rsidRDefault="009636A2">
      <w:pPr>
        <w:pStyle w:val="Point0number"/>
        <w:rPr>
          <w:noProof/>
        </w:rPr>
      </w:pPr>
      <w:r>
        <w:rPr>
          <w:noProof/>
        </w:rPr>
        <w:t xml:space="preserve">La articolul 4 alineatul (3), cuvintele „trei luni” se înlocuiesc cu cuvintele „90 de zile”, iar </w:t>
      </w:r>
      <w:r>
        <w:rPr>
          <w:noProof/>
        </w:rPr>
        <w:t>cuvântul „comunitară” se înlocuiește cu sintagma „cu cea a Uniunii”.</w:t>
      </w:r>
    </w:p>
    <w:p w:rsidR="00234BBB" w:rsidRDefault="009636A2">
      <w:pPr>
        <w:pStyle w:val="Point0number"/>
        <w:rPr>
          <w:noProof/>
        </w:rPr>
      </w:pPr>
      <w:r>
        <w:rPr>
          <w:noProof/>
        </w:rPr>
        <w:t>La articolul 8 alineatul (4), ultima teză se înlocuiește cu următorul text:</w:t>
      </w:r>
    </w:p>
    <w:p w:rsidR="00234BBB" w:rsidRDefault="009636A2">
      <w:pPr>
        <w:pStyle w:val="CM4"/>
        <w:spacing w:before="60" w:after="60"/>
        <w:ind w:left="850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„Partea contractantă care a suspendat aplicarea prezentului acord informează de îndată cealaltă parte contracta</w:t>
      </w:r>
      <w:r>
        <w:rPr>
          <w:rFonts w:ascii="Times New Roman" w:hAnsi="Times New Roman"/>
          <w:noProof/>
          <w:color w:val="000000"/>
        </w:rPr>
        <w:t>ntă, în momentul în care motivele suspendării nu mai există, și revocă suspendarea.”</w:t>
      </w:r>
    </w:p>
    <w:p w:rsidR="00234BBB" w:rsidRDefault="009636A2">
      <w:pPr>
        <w:pStyle w:val="Titrearticle"/>
        <w:rPr>
          <w:noProof/>
        </w:rPr>
      </w:pPr>
      <w:r>
        <w:rPr>
          <w:noProof/>
        </w:rPr>
        <w:t>Articolul 2</w:t>
      </w:r>
    </w:p>
    <w:p w:rsidR="00234BBB" w:rsidRDefault="009636A2">
      <w:pPr>
        <w:rPr>
          <w:noProof/>
          <w:szCs w:val="24"/>
        </w:rPr>
      </w:pPr>
      <w:r>
        <w:rPr>
          <w:noProof/>
        </w:rPr>
        <w:t>Prezentul acord se ratifică sau se aprobă de către părțile contractante în conformitate cu procedurile corespunzătoare ale acestora și intră în vigoare în prim</w:t>
      </w:r>
      <w:r>
        <w:rPr>
          <w:noProof/>
        </w:rPr>
        <w:t>a zi a celei de a șasea luni care urmează datei la care ultima parte notifică celeilalte părți încheierea procedurilor menționate anterior.</w:t>
      </w:r>
    </w:p>
    <w:p w:rsidR="00234BBB" w:rsidRDefault="00234BBB">
      <w:pPr>
        <w:rPr>
          <w:noProof/>
          <w:szCs w:val="24"/>
        </w:rPr>
      </w:pPr>
    </w:p>
    <w:p w:rsidR="00234BBB" w:rsidRDefault="009636A2">
      <w:pPr>
        <w:rPr>
          <w:noProof/>
          <w:szCs w:val="24"/>
        </w:rPr>
      </w:pPr>
      <w:r>
        <w:rPr>
          <w:noProof/>
        </w:rPr>
        <w:t>Încheiat la [</w:t>
      </w:r>
      <w:r>
        <w:rPr>
          <w:noProof/>
          <w:highlight w:val="yellow"/>
        </w:rPr>
        <w:t>…</w:t>
      </w:r>
      <w:r>
        <w:rPr>
          <w:noProof/>
        </w:rPr>
        <w:t>], în a [</w:t>
      </w:r>
      <w:r>
        <w:rPr>
          <w:noProof/>
          <w:highlight w:val="yellow"/>
        </w:rPr>
        <w:t>…</w:t>
      </w:r>
      <w:r>
        <w:rPr>
          <w:noProof/>
        </w:rPr>
        <w:t>] zi a lunii [</w:t>
      </w:r>
      <w:r>
        <w:rPr>
          <w:noProof/>
          <w:highlight w:val="yellow"/>
        </w:rPr>
        <w:t>…</w:t>
      </w:r>
      <w:r>
        <w:rPr>
          <w:noProof/>
        </w:rPr>
        <w:t>], în anul două mii șaptesprezece, în dublu exemplar în limbile bulgară, ceh</w:t>
      </w:r>
      <w:r>
        <w:rPr>
          <w:noProof/>
        </w:rPr>
        <w:t>ă, croată, daneză, engleză, estonă, finlandeză, franceză, germană, greacă, italiană, letonă, lituaniană, maghiară, malteză, neerlandeză, polonă, portugheză, română, slovacă, slovenă, spaniolă și suedeză, fiecare dintre aceste texte fiind în egală măsură au</w:t>
      </w:r>
      <w:r>
        <w:rPr>
          <w:noProof/>
        </w:rPr>
        <w:t>tentic.</w:t>
      </w:r>
    </w:p>
    <w:p w:rsidR="00234BBB" w:rsidRDefault="00234BBB">
      <w:pPr>
        <w:rPr>
          <w:noProof/>
          <w:szCs w:val="24"/>
        </w:rPr>
      </w:pPr>
    </w:p>
    <w:p w:rsidR="00234BBB" w:rsidRDefault="009636A2">
      <w:pPr>
        <w:rPr>
          <w:noProof/>
          <w:szCs w:val="24"/>
        </w:rPr>
      </w:pPr>
      <w:r>
        <w:rPr>
          <w:noProof/>
        </w:rPr>
        <w:t>Pentru Uniunea Europeană</w:t>
      </w:r>
    </w:p>
    <w:p w:rsidR="00234BBB" w:rsidRDefault="00234BBB">
      <w:pPr>
        <w:rPr>
          <w:noProof/>
          <w:szCs w:val="24"/>
        </w:rPr>
      </w:pPr>
    </w:p>
    <w:p w:rsidR="00234BBB" w:rsidRDefault="009636A2">
      <w:pPr>
        <w:rPr>
          <w:noProof/>
        </w:rPr>
      </w:pPr>
      <w:r>
        <w:rPr>
          <w:noProof/>
        </w:rPr>
        <w:t>Pentru Antigua și Barbuda</w:t>
      </w:r>
      <w:r>
        <w:rPr>
          <w:noProof/>
        </w:rPr>
        <w:br w:type="page"/>
      </w:r>
    </w:p>
    <w:p w:rsidR="00234BBB" w:rsidRDefault="009636A2">
      <w:pPr>
        <w:rPr>
          <w:b/>
          <w:noProof/>
          <w:szCs w:val="24"/>
        </w:rPr>
      </w:pPr>
      <w:r>
        <w:rPr>
          <w:b/>
          <w:noProof/>
        </w:rPr>
        <w:t>DECLARAȚIE COMUNĂ PRIVIND ISLANDA, NORVEGIA, ELVEȚIA ȘI LIECHTENSTEIN</w:t>
      </w:r>
    </w:p>
    <w:p w:rsidR="00234BBB" w:rsidRDefault="009636A2">
      <w:pPr>
        <w:rPr>
          <w:noProof/>
          <w:color w:val="000000"/>
          <w:szCs w:val="24"/>
        </w:rPr>
      </w:pPr>
      <w:r>
        <w:rPr>
          <w:noProof/>
          <w:color w:val="000000"/>
        </w:rPr>
        <w:t>Este de dorit ca autoritățile din Norvegia, Islanda, Elveția și Liechtenstein, pe de o parte, și cele din Antigua și Barbuda</w:t>
      </w:r>
      <w:r>
        <w:rPr>
          <w:noProof/>
          <w:color w:val="000000"/>
        </w:rPr>
        <w:t>, pe de altă parte, să modifice fără întârziere acordurile bilaterale în vigoare privind exonerarea de obligația de a deține viză de scurtă ședere, în conformitate cu dispozițiile prezentul acord.</w:t>
      </w:r>
    </w:p>
    <w:p w:rsidR="00234BBB" w:rsidRDefault="009636A2">
      <w:pPr>
        <w:rPr>
          <w:b/>
          <w:caps/>
          <w:noProof/>
          <w:szCs w:val="24"/>
        </w:rPr>
      </w:pPr>
      <w:r>
        <w:rPr>
          <w:b/>
          <w:caps/>
          <w:noProof/>
        </w:rPr>
        <w:t>Declarație comună cu privire la interpretarea conceptului d</w:t>
      </w:r>
      <w:r>
        <w:rPr>
          <w:b/>
          <w:caps/>
          <w:noProof/>
        </w:rPr>
        <w:t>e 90 de zile în cursul oricărei perioade de 180 de zile</w:t>
      </w:r>
    </w:p>
    <w:p w:rsidR="00234BBB" w:rsidRDefault="009636A2">
      <w:pPr>
        <w:rPr>
          <w:noProof/>
        </w:rPr>
      </w:pPr>
      <w:r>
        <w:rPr>
          <w:noProof/>
        </w:rPr>
        <w:t>Părțile contractante înțeleg că perioada maximă de 90 de zile în cursul oricărei perioade de 180 de zile, astfel cum este prevăzută la articolul 4 din acord, înseamnă fie o vizită continuă a cărei dur</w:t>
      </w:r>
      <w:r>
        <w:rPr>
          <w:noProof/>
        </w:rPr>
        <w:t>ată nu depășește 90 de zile în total în decursul oricărei perioade de 180 de zile, fie mai multe vizite consecutive a căror durată nu depășește 90 de zile în total în decursul oricărei perioade de 180 de zile.</w:t>
      </w:r>
    </w:p>
    <w:p w:rsidR="00234BBB" w:rsidRDefault="009636A2">
      <w:pPr>
        <w:pStyle w:val="Default"/>
        <w:jc w:val="both"/>
        <w:rPr>
          <w:noProof/>
        </w:rPr>
      </w:pPr>
      <w:r>
        <w:rPr>
          <w:noProof/>
        </w:rPr>
        <w:t xml:space="preserve">Termenul „oricare” presupune aplicarea unei </w:t>
      </w:r>
      <w:r>
        <w:rPr>
          <w:noProof/>
        </w:rPr>
        <w:t xml:space="preserve">perioade de referință mobile de 180 de zile, examinând, pentru fiecare zi a șederii, perioada de 180 de zile anterioară acestei zile, pentru a verifica dacă cerința privind durata de ședere de 90 de zile în cursul oricărei perioade de 180 de zile continuă </w:t>
      </w:r>
      <w:r>
        <w:rPr>
          <w:noProof/>
        </w:rPr>
        <w:t>să fie îndeplinită. Printre altele, aceasta înseamnă că o absență neîntreruptă de 90 zile permite o nouă ședere de până la 90 de zile.</w:t>
      </w:r>
    </w:p>
    <w:p w:rsidR="00234BBB" w:rsidRDefault="009636A2">
      <w:pPr>
        <w:jc w:val="center"/>
        <w:rPr>
          <w:b/>
          <w:noProof/>
          <w:szCs w:val="24"/>
        </w:rPr>
      </w:pPr>
      <w:r>
        <w:rPr>
          <w:b/>
          <w:noProof/>
        </w:rPr>
        <w:t>________</w:t>
      </w:r>
    </w:p>
    <w:p w:rsidR="00234BBB" w:rsidRDefault="00234BBB">
      <w:pPr>
        <w:spacing w:after="100" w:afterAutospacing="1"/>
        <w:ind w:left="-284"/>
        <w:rPr>
          <w:noProof/>
        </w:rPr>
      </w:pPr>
    </w:p>
    <w:p w:rsidR="00234BBB" w:rsidRDefault="00234BBB">
      <w:pPr>
        <w:rPr>
          <w:noProof/>
        </w:rPr>
      </w:pPr>
    </w:p>
    <w:sectPr w:rsidR="00234BBB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BB" w:rsidRDefault="009636A2">
      <w:pPr>
        <w:spacing w:before="0" w:after="0"/>
      </w:pPr>
      <w:r>
        <w:separator/>
      </w:r>
    </w:p>
  </w:endnote>
  <w:endnote w:type="continuationSeparator" w:id="0">
    <w:p w:rsidR="00234BBB" w:rsidRDefault="009636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BB" w:rsidRDefault="009636A2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BB" w:rsidRDefault="009636A2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BB" w:rsidRDefault="00234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BB" w:rsidRDefault="009636A2">
      <w:pPr>
        <w:spacing w:before="0" w:after="0"/>
      </w:pPr>
      <w:r>
        <w:separator/>
      </w:r>
    </w:p>
  </w:footnote>
  <w:footnote w:type="continuationSeparator" w:id="0">
    <w:p w:rsidR="00234BBB" w:rsidRDefault="009636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288E1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C36823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534CE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EB1AC4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AAC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04AD8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F316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  <w:num w:numId="12">
    <w:abstractNumId w:val="19"/>
  </w:num>
  <w:num w:numId="13">
    <w:abstractNumId w:val="11"/>
  </w:num>
  <w:num w:numId="14">
    <w:abstractNumId w:val="21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18"/>
  </w:num>
  <w:num w:numId="23">
    <w:abstractNumId w:val="9"/>
  </w:num>
  <w:num w:numId="24">
    <w:abstractNumId w:val="16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7-19 13:21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3"/>
    <w:docVar w:name="DQCStatus" w:val="Yellow"/>
    <w:docVar w:name="DQCVersion" w:val="3"/>
    <w:docVar w:name="DQCWithWarnings" w:val="0"/>
    <w:docVar w:name="LW_ACCOMPAGNANT.CP" w:val="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43C3D0F9DE74295B945080A6F5A0B98"/>
    <w:docVar w:name="LW_CROSSREFERENCE" w:val="&lt;UNUSED&gt;"/>
    <w:docVar w:name="LW_DocType" w:val="ANNEX"/>
    <w:docVar w:name="LW_EMISSION" w:val="27.7.2017"/>
    <w:docVar w:name="LW_EMISSION_ISODATE" w:val="2017-07-27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.CP" w:val="privind încheierea Acordului dintre Uniunea European\u259? \u537?i Antigua \u537?i Barbuda de modificare a Acordului dintre Comunitatea European\u259? \u537?i Antigua \u537?i Barbuda privind exonerarea de obliga\u539?ia de a de\u539?ine viz\u259? de scurt\u259? \u537?edere"/>
    <w:docVar w:name="LW_PART_NBR" w:val="1"/>
    <w:docVar w:name="LW_PART_NBR_TOTAL" w:val="1"/>
    <w:docVar w:name="LW_REF.INST.NEW" w:val="COM"/>
    <w:docVar w:name="LW_REF.INST.NEW_ADOPTED" w:val="final"/>
    <w:docVar w:name="LW_REF.INST.NEW_TEXT" w:val="(2017) 392"/>
    <w:docVar w:name="LW_REF.INTERNE" w:val="&lt;UNUSED&gt;"/>
    <w:docVar w:name="LW_SUPERTITRE" w:val="&lt;UNUSED&gt;"/>
    <w:docVar w:name="LW_TITRE.OBJ.CP" w:val="&lt;UNUSED&gt;"/>
    <w:docVar w:name="LW_TYPE.DOC.CP" w:val="ANEX\u258?"/>
    <w:docVar w:name="LW_TYPEACTEPRINCIPAL.CP" w:val="propunerea de decizie a Consiliului"/>
  </w:docVars>
  <w:rsids>
    <w:rsidRoot w:val="00234BBB"/>
    <w:rsid w:val="00234BBB"/>
    <w:rsid w:val="009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Text4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pPr>
      <w:numPr>
        <w:ilvl w:val="1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pPr>
      <w:numPr>
        <w:ilvl w:val="3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Text4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pPr>
      <w:numPr>
        <w:ilvl w:val="1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pPr>
      <w:numPr>
        <w:ilvl w:val="3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938</Words>
  <Characters>5173</Characters>
  <Application>Microsoft Office Word</Application>
  <DocSecurity>0</DocSecurity>
  <Lines>86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BRUINSMA Floor (HOME)</dc:creator>
  <cp:lastModifiedBy>JANSEN Colette (SG)</cp:lastModifiedBy>
  <cp:revision>9</cp:revision>
  <dcterms:created xsi:type="dcterms:W3CDTF">2017-07-10T08:21:00Z</dcterms:created>
  <dcterms:modified xsi:type="dcterms:W3CDTF">2017-07-26T13:03:00Z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