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D1" w:rsidRDefault="004F255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6E679C2176F40B6B523622A516FEBB0" style="width:450.75pt;height:396.75pt">
            <v:imagedata r:id="rId8" o:title=""/>
          </v:shape>
        </w:pict>
      </w:r>
    </w:p>
    <w:p w:rsidR="007514D1" w:rsidRDefault="007514D1">
      <w:pPr>
        <w:rPr>
          <w:noProof/>
        </w:rPr>
        <w:sectPr w:rsidR="007514D1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7514D1" w:rsidRDefault="004F2559">
      <w:pPr>
        <w:pStyle w:val="Typedudocument"/>
        <w:rPr>
          <w:noProof/>
        </w:rPr>
      </w:pPr>
      <w:r>
        <w:rPr>
          <w:noProof/>
        </w:rPr>
        <w:lastRenderedPageBreak/>
        <w:t>PŘÍLOHA</w:t>
      </w:r>
    </w:p>
    <w:p w:rsidR="007514D1" w:rsidRDefault="004F2559">
      <w:pPr>
        <w:pStyle w:val="Accompagnant"/>
        <w:rPr>
          <w:noProof/>
        </w:rPr>
      </w:pPr>
      <w:r>
        <w:rPr>
          <w:noProof/>
        </w:rPr>
        <w:t xml:space="preserve"> </w:t>
      </w:r>
    </w:p>
    <w:p w:rsidR="007514D1" w:rsidRDefault="004F2559">
      <w:pPr>
        <w:jc w:val="center"/>
        <w:rPr>
          <w:b/>
          <w:noProof/>
          <w:szCs w:val="24"/>
        </w:rPr>
      </w:pPr>
      <w:bookmarkStart w:id="0" w:name="_GoBack"/>
      <w:bookmarkEnd w:id="0"/>
      <w:r>
        <w:rPr>
          <w:b/>
          <w:noProof/>
        </w:rPr>
        <w:t>DOHODA</w:t>
      </w:r>
    </w:p>
    <w:p w:rsidR="007514D1" w:rsidRDefault="004F2559">
      <w:pPr>
        <w:jc w:val="center"/>
        <w:rPr>
          <w:b/>
          <w:noProof/>
          <w:szCs w:val="24"/>
        </w:rPr>
      </w:pPr>
      <w:r>
        <w:rPr>
          <w:b/>
          <w:noProof/>
        </w:rPr>
        <w:t>mezi Evropskou unií a</w:t>
      </w:r>
      <w:r>
        <w:rPr>
          <w:noProof/>
        </w:rPr>
        <w:t xml:space="preserve"> </w:t>
      </w:r>
      <w:r>
        <w:rPr>
          <w:rStyle w:val="Strong"/>
          <w:noProof/>
        </w:rPr>
        <w:t>Antiguou a Barbudou</w:t>
      </w:r>
      <w:r>
        <w:rPr>
          <w:b/>
          <w:noProof/>
        </w:rPr>
        <w:t>, kterou se mění Dohoda mezi Evropským společenstvím a</w:t>
      </w:r>
      <w:r>
        <w:rPr>
          <w:noProof/>
        </w:rPr>
        <w:t xml:space="preserve"> </w:t>
      </w:r>
      <w:r>
        <w:rPr>
          <w:rStyle w:val="Strong"/>
          <w:noProof/>
        </w:rPr>
        <w:t>Antiguou a Barbudou</w:t>
      </w:r>
      <w:r>
        <w:rPr>
          <w:noProof/>
        </w:rPr>
        <w:t xml:space="preserve"> </w:t>
      </w:r>
      <w:r>
        <w:rPr>
          <w:b/>
          <w:noProof/>
        </w:rPr>
        <w:t>o zrušen</w:t>
      </w:r>
      <w:r>
        <w:rPr>
          <w:b/>
          <w:noProof/>
        </w:rPr>
        <w:t>í vízové povinnosti pro krátkodobé pobyty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EVROPSKÁ UNIE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 xml:space="preserve">na jedné straně a 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ANTIGUA A BARBUDA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 xml:space="preserve">na straně druhé, 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společně dále jen „smluvní strany“,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S OHLEDEM na Dohodu mezi Evropským společenstvím a </w:t>
      </w:r>
      <w:r>
        <w:rPr>
          <w:rStyle w:val="Strong"/>
          <w:b w:val="0"/>
          <w:noProof/>
        </w:rPr>
        <w:t>Antiguou a Barbudou</w:t>
      </w:r>
      <w:r>
        <w:rPr>
          <w:noProof/>
        </w:rPr>
        <w:t xml:space="preserve"> o zrušení vízové povinnosti pro krátkodobé pobyty (dále jen „dohoda“), která vstoupila v platnost dne 1. května 2010,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 xml:space="preserve">ZNOVU POTVRZUJÍCE význam usnadnění mezilidských kontaktů, 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BEROUCE NA VĚDOMÍ, že dohoda přispívá ke spokojenosti občanů smluvních stran,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 xml:space="preserve">BEROUCE V ÚVAHU, že definice krátkodobých pobytů podle dohody (tři měsíce během šestiměsíčního období následujícího po datu prvního vstupu) není dostatečně přesná, a zejména pojem „den prvního vstupu“ může vést k nejasnostem a otázkám, 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MAJÍCE NA PAMĚTI, ž</w:t>
      </w:r>
      <w:r>
        <w:rPr>
          <w:noProof/>
        </w:rPr>
        <w:t xml:space="preserve">e nařízení (EU) č. 610/2013 ze dne 26. června 2013 zavedlo horizontální změny ve „vnitřním“ </w:t>
      </w:r>
      <w:r>
        <w:rPr>
          <w:i/>
          <w:noProof/>
        </w:rPr>
        <w:t xml:space="preserve">acquis </w:t>
      </w:r>
      <w:r>
        <w:rPr>
          <w:noProof/>
        </w:rPr>
        <w:t xml:space="preserve">EU v oblasti víz a hranic a vymezilo krátkodobý pobyt jako „90 dnů během jakéhokoliv období 180 dnů“, 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BEROUCE V ÚVAHU, že systém vstupu/výstupu, který má Ev</w:t>
      </w:r>
      <w:r>
        <w:rPr>
          <w:noProof/>
        </w:rPr>
        <w:t>ropská unie v úmyslu zavést, vyžaduje využití jednotné a jednoznačné definice pro krátkodobý pobyt, která je použitelná pro všechny státní příslušníky třetích zemí,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PŘEJÍCE SI zajistit plynulý tok cestujících na hraničních přechodech smluvních stran,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ZNOVU</w:t>
      </w:r>
      <w:r>
        <w:rPr>
          <w:noProof/>
        </w:rPr>
        <w:t xml:space="preserve"> POTVRZUJÍCE, že dohoda platí pro občany všech členských států Evropské unie s výjimkou Spojeného království a Irska,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BEROUCE V ÚVAHU Protokol o postavení Spojeného království a Irska s ohledem na prostor svobody, bezpečnosti a práva a Protokol o schengens</w:t>
      </w:r>
      <w:r>
        <w:rPr>
          <w:noProof/>
        </w:rPr>
        <w:t xml:space="preserve">kém </w:t>
      </w:r>
      <w:r>
        <w:rPr>
          <w:i/>
          <w:noProof/>
        </w:rPr>
        <w:t xml:space="preserve">acquis </w:t>
      </w:r>
      <w:r>
        <w:rPr>
          <w:noProof/>
        </w:rPr>
        <w:t xml:space="preserve">začleněném do rámce Evropské unie, připojené ke Smlouvě o Evropské unii a ke Smlouvě o fungování Evropské unie, a potvrzujíce, že ustanovení této dohody se nevztahují na Spojené království a Irsko, 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SE DOHODLY TAKTO:</w:t>
      </w:r>
    </w:p>
    <w:p w:rsidR="007514D1" w:rsidRDefault="004F2559">
      <w:pPr>
        <w:pStyle w:val="Titrearticle"/>
        <w:rPr>
          <w:noProof/>
        </w:rPr>
      </w:pPr>
      <w:r>
        <w:rPr>
          <w:noProof/>
        </w:rPr>
        <w:t>Článek 1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Dohoda se mění v so</w:t>
      </w:r>
      <w:r>
        <w:rPr>
          <w:noProof/>
        </w:rPr>
        <w:t>uladu s ustanoveními tohoto článku:</w:t>
      </w:r>
    </w:p>
    <w:p w:rsidR="007514D1" w:rsidRDefault="004F2559">
      <w:pPr>
        <w:pStyle w:val="Point0number"/>
        <w:numPr>
          <w:ilvl w:val="0"/>
          <w:numId w:val="8"/>
        </w:numPr>
        <w:spacing w:after="240"/>
        <w:ind w:left="851" w:hanging="851"/>
        <w:rPr>
          <w:noProof/>
        </w:rPr>
      </w:pPr>
      <w:r>
        <w:rPr>
          <w:noProof/>
        </w:rPr>
        <w:t>V názvu a v čl. 3 odst. 5, čl. 6 odst. 1 a čl. 8 odst. 7 se slovo „Společenství“ nahrazuje slovem „Unie“.</w:t>
      </w:r>
    </w:p>
    <w:p w:rsidR="007514D1" w:rsidRDefault="004F2559">
      <w:pPr>
        <w:pStyle w:val="Point0number"/>
        <w:numPr>
          <w:ilvl w:val="0"/>
          <w:numId w:val="7"/>
        </w:numPr>
        <w:spacing w:after="240"/>
        <w:ind w:left="851" w:hanging="851"/>
        <w:rPr>
          <w:noProof/>
        </w:rPr>
      </w:pPr>
      <w:r>
        <w:rPr>
          <w:noProof/>
        </w:rPr>
        <w:t xml:space="preserve">V článku 1 se slova „tří měsíců během šestiměsíčního období“ nahrazují slovy „90 dnů během jakéhokoliv období 180 </w:t>
      </w:r>
      <w:r>
        <w:rPr>
          <w:noProof/>
        </w:rPr>
        <w:t>dnů“.</w:t>
      </w:r>
    </w:p>
    <w:p w:rsidR="007514D1" w:rsidRDefault="004F2559">
      <w:pPr>
        <w:pStyle w:val="Point0number"/>
        <w:numPr>
          <w:ilvl w:val="0"/>
          <w:numId w:val="7"/>
        </w:numPr>
        <w:rPr>
          <w:noProof/>
        </w:rPr>
      </w:pPr>
      <w:r>
        <w:rPr>
          <w:noProof/>
        </w:rPr>
        <w:t>Ustanovení čl. 4 odst. 1 se nahrazuje tímto:</w:t>
      </w:r>
    </w:p>
    <w:p w:rsidR="007514D1" w:rsidRDefault="004F2559">
      <w:pPr>
        <w:ind w:left="850"/>
        <w:rPr>
          <w:noProof/>
          <w:szCs w:val="24"/>
        </w:rPr>
      </w:pPr>
      <w:r>
        <w:rPr>
          <w:noProof/>
        </w:rPr>
        <w:lastRenderedPageBreak/>
        <w:t>„Občané Evropské unie smějí pobývat na území Antiguy a Barbudy po dobu nejvýše 90 dnů během jakéhokoliv období 180 dnů.“</w:t>
      </w:r>
    </w:p>
    <w:p w:rsidR="007514D1" w:rsidRDefault="004F2559">
      <w:pPr>
        <w:pStyle w:val="Point0number"/>
        <w:rPr>
          <w:noProof/>
        </w:rPr>
      </w:pPr>
      <w:r>
        <w:rPr>
          <w:noProof/>
        </w:rPr>
        <w:t>Ustanovení čl. 4 odst. 2 se nahrazuje tímto:</w:t>
      </w:r>
    </w:p>
    <w:p w:rsidR="007514D1" w:rsidRDefault="004F2559">
      <w:pPr>
        <w:pStyle w:val="CM4"/>
        <w:spacing w:before="60" w:after="60"/>
        <w:ind w:left="85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„Občané Antiguy a Barbudy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/>
        </w:rPr>
        <w:t>smějí pobývat</w:t>
      </w:r>
      <w:r>
        <w:rPr>
          <w:rFonts w:ascii="Times New Roman" w:hAnsi="Times New Roman"/>
          <w:noProof/>
          <w:color w:val="000000"/>
        </w:rPr>
        <w:t xml:space="preserve"> na území členských států, které v plném rozsahu uplatňují schengenské </w:t>
      </w:r>
      <w:r>
        <w:rPr>
          <w:rFonts w:ascii="Times New Roman" w:hAnsi="Times New Roman"/>
          <w:i/>
          <w:noProof/>
          <w:color w:val="000000"/>
        </w:rPr>
        <w:t>acquis</w:t>
      </w:r>
      <w:r>
        <w:rPr>
          <w:rFonts w:ascii="Times New Roman" w:hAnsi="Times New Roman"/>
          <w:noProof/>
          <w:color w:val="000000"/>
        </w:rPr>
        <w:t>, po dobu nejvýše</w:t>
      </w:r>
      <w:r>
        <w:rPr>
          <w:rFonts w:ascii="Times New Roman" w:hAnsi="Times New Roman"/>
          <w:noProof/>
        </w:rPr>
        <w:t xml:space="preserve"> 90 dnů během jakéhokoliv období 180 dnů</w:t>
      </w:r>
      <w:r>
        <w:rPr>
          <w:rFonts w:ascii="Times New Roman" w:hAnsi="Times New Roman"/>
          <w:noProof/>
          <w:color w:val="000000"/>
        </w:rPr>
        <w:t xml:space="preserve">. Tato doba se počítá bez ohledu na délku pobytu v těch členských státech, které dosud schengenské </w:t>
      </w:r>
      <w:r>
        <w:rPr>
          <w:rFonts w:ascii="Times New Roman" w:hAnsi="Times New Roman"/>
          <w:i/>
          <w:noProof/>
          <w:color w:val="000000"/>
        </w:rPr>
        <w:t xml:space="preserve">acquis </w:t>
      </w:r>
      <w:r>
        <w:rPr>
          <w:rFonts w:ascii="Times New Roman" w:hAnsi="Times New Roman"/>
          <w:noProof/>
          <w:color w:val="000000"/>
        </w:rPr>
        <w:t xml:space="preserve">v plném rozsahu </w:t>
      </w:r>
      <w:r>
        <w:rPr>
          <w:rFonts w:ascii="Times New Roman" w:hAnsi="Times New Roman"/>
          <w:noProof/>
          <w:color w:val="000000"/>
        </w:rPr>
        <w:t xml:space="preserve">neuplatňují. </w:t>
      </w:r>
    </w:p>
    <w:p w:rsidR="007514D1" w:rsidRDefault="004F2559">
      <w:pPr>
        <w:ind w:left="850"/>
        <w:rPr>
          <w:noProof/>
          <w:szCs w:val="24"/>
        </w:rPr>
      </w:pPr>
      <w:r>
        <w:rPr>
          <w:noProof/>
        </w:rPr>
        <w:t xml:space="preserve">Občané Antiguy a Barbudy smějí pobývat na území každého z členských států, které dosud schengenské </w:t>
      </w:r>
      <w:r>
        <w:rPr>
          <w:i/>
          <w:noProof/>
        </w:rPr>
        <w:t xml:space="preserve">acquis </w:t>
      </w:r>
      <w:r>
        <w:rPr>
          <w:noProof/>
        </w:rPr>
        <w:t>v plném rozsahu neuplatňují, po dobu nejvýše 90 dnů během jakéhokoliv období 180 dnů, bez ohledu na dobu pobytu vypočtenou pro území čle</w:t>
      </w:r>
      <w:r>
        <w:rPr>
          <w:noProof/>
        </w:rPr>
        <w:t xml:space="preserve">nských států uplatňujících schengenské </w:t>
      </w:r>
      <w:r>
        <w:rPr>
          <w:i/>
          <w:noProof/>
        </w:rPr>
        <w:t>acquis</w:t>
      </w:r>
      <w:r>
        <w:rPr>
          <w:noProof/>
        </w:rPr>
        <w:t xml:space="preserve"> v plném rozsahu.“</w:t>
      </w:r>
    </w:p>
    <w:p w:rsidR="007514D1" w:rsidRDefault="004F2559">
      <w:pPr>
        <w:pStyle w:val="Point0number"/>
        <w:rPr>
          <w:noProof/>
        </w:rPr>
      </w:pPr>
      <w:r>
        <w:rPr>
          <w:noProof/>
        </w:rPr>
        <w:t>V čl. 4 odst. 3 se slova „tři měsíce“ nahrazují slovy „90 dnů“ a slovo „Společenství“ se nahrazuje slovem „Unie“.</w:t>
      </w:r>
    </w:p>
    <w:p w:rsidR="007514D1" w:rsidRDefault="004F2559">
      <w:pPr>
        <w:pStyle w:val="Point0number"/>
        <w:rPr>
          <w:noProof/>
        </w:rPr>
      </w:pPr>
      <w:r>
        <w:rPr>
          <w:noProof/>
        </w:rPr>
        <w:t>V čl. 8 odst. 4 se poslední věta nahrazuje tímto:</w:t>
      </w:r>
    </w:p>
    <w:p w:rsidR="007514D1" w:rsidRDefault="004F2559">
      <w:pPr>
        <w:pStyle w:val="CM4"/>
        <w:spacing w:before="60" w:after="60"/>
        <w:ind w:left="85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„Smluvní strana, která </w:t>
      </w:r>
      <w:r>
        <w:rPr>
          <w:rFonts w:ascii="Times New Roman" w:hAnsi="Times New Roman"/>
          <w:noProof/>
          <w:color w:val="000000"/>
        </w:rPr>
        <w:t>pozastavila provádění této dohody, bezodkladně uvědomí druhou smluvní stranu, jakmile důvody pozastavení pominou, a pozastavení zruší.“</w:t>
      </w:r>
    </w:p>
    <w:p w:rsidR="007514D1" w:rsidRDefault="004F2559">
      <w:pPr>
        <w:pStyle w:val="Titrearticle"/>
        <w:rPr>
          <w:noProof/>
        </w:rPr>
      </w:pPr>
      <w:r>
        <w:rPr>
          <w:noProof/>
        </w:rPr>
        <w:t>Článek 2</w:t>
      </w:r>
    </w:p>
    <w:p w:rsidR="007514D1" w:rsidRDefault="004F2559">
      <w:pPr>
        <w:rPr>
          <w:noProof/>
          <w:szCs w:val="24"/>
        </w:rPr>
      </w:pPr>
      <w:r>
        <w:rPr>
          <w:noProof/>
        </w:rPr>
        <w:t>Smluvní strany ratifikují nebo schválí tuto dohodu v souladu se svými příslušnými postupy a tato dohoda vstoupí</w:t>
      </w:r>
      <w:r>
        <w:rPr>
          <w:noProof/>
        </w:rPr>
        <w:t xml:space="preserve"> v platnost prvním dnem šestého měsíce následujícího po dni, kdy poslední strana oznámí druhé straně dokončení zmíněných postupů.</w:t>
      </w:r>
    </w:p>
    <w:p w:rsidR="007514D1" w:rsidRDefault="007514D1">
      <w:pPr>
        <w:rPr>
          <w:noProof/>
          <w:szCs w:val="24"/>
        </w:rPr>
      </w:pPr>
    </w:p>
    <w:p w:rsidR="007514D1" w:rsidRDefault="004F2559">
      <w:pPr>
        <w:rPr>
          <w:noProof/>
          <w:szCs w:val="24"/>
        </w:rPr>
      </w:pPr>
      <w:r>
        <w:rPr>
          <w:noProof/>
        </w:rPr>
        <w:t>Sepsáno v [</w:t>
      </w:r>
      <w:r>
        <w:rPr>
          <w:noProof/>
          <w:highlight w:val="yellow"/>
        </w:rPr>
        <w:t>...</w:t>
      </w:r>
      <w:r>
        <w:rPr>
          <w:noProof/>
        </w:rPr>
        <w:t>] dne [</w:t>
      </w:r>
      <w:r>
        <w:rPr>
          <w:noProof/>
          <w:highlight w:val="yellow"/>
        </w:rPr>
        <w:t>...</w:t>
      </w:r>
      <w:r>
        <w:rPr>
          <w:noProof/>
        </w:rPr>
        <w:t>] dva tisíce sedmnáct ve dvou vyhotoveních v jazyce anglickém, bulharském, českém, dánském, estonském</w:t>
      </w:r>
      <w:r>
        <w:rPr>
          <w:noProof/>
        </w:rPr>
        <w:t>, finském, francouzském, chorvatském, italském, litevském, lotyšském, maďarském, maltském, německém, nizozemském, polském, portugalském, rumunském, řeckém, slovenském, slovinském, španělském a švédském, přičemž všechna znění mají stejnou platnost.</w:t>
      </w:r>
    </w:p>
    <w:p w:rsidR="007514D1" w:rsidRDefault="007514D1">
      <w:pPr>
        <w:rPr>
          <w:noProof/>
          <w:szCs w:val="24"/>
        </w:rPr>
      </w:pPr>
    </w:p>
    <w:p w:rsidR="007514D1" w:rsidRDefault="004F2559">
      <w:pPr>
        <w:rPr>
          <w:noProof/>
          <w:szCs w:val="24"/>
        </w:rPr>
      </w:pPr>
      <w:r>
        <w:rPr>
          <w:noProof/>
        </w:rPr>
        <w:t>Za Evro</w:t>
      </w:r>
      <w:r>
        <w:rPr>
          <w:noProof/>
        </w:rPr>
        <w:t>pskou unii</w:t>
      </w:r>
    </w:p>
    <w:p w:rsidR="007514D1" w:rsidRDefault="007514D1">
      <w:pPr>
        <w:rPr>
          <w:noProof/>
          <w:szCs w:val="24"/>
        </w:rPr>
      </w:pPr>
    </w:p>
    <w:p w:rsidR="007514D1" w:rsidRDefault="004F2559">
      <w:pPr>
        <w:rPr>
          <w:noProof/>
        </w:rPr>
      </w:pPr>
      <w:r>
        <w:rPr>
          <w:noProof/>
        </w:rPr>
        <w:t>Za Antiguu a Barbudu</w:t>
      </w:r>
      <w:r>
        <w:rPr>
          <w:noProof/>
        </w:rPr>
        <w:br w:type="page"/>
      </w:r>
    </w:p>
    <w:p w:rsidR="007514D1" w:rsidRDefault="004F2559">
      <w:pPr>
        <w:rPr>
          <w:b/>
          <w:noProof/>
          <w:szCs w:val="24"/>
        </w:rPr>
      </w:pPr>
      <w:r>
        <w:rPr>
          <w:b/>
          <w:noProof/>
        </w:rPr>
        <w:t>SPOLEČNÉ PROHLÁŠENÍ TÝKAJÍCÍ SE ISLANDU, NORSKA, ŠVÝCARSKA A LICHTENŠTEJNSKA</w:t>
      </w:r>
    </w:p>
    <w:p w:rsidR="007514D1" w:rsidRDefault="004F2559">
      <w:pPr>
        <w:rPr>
          <w:noProof/>
          <w:color w:val="000000"/>
          <w:szCs w:val="24"/>
        </w:rPr>
      </w:pPr>
      <w:r>
        <w:rPr>
          <w:noProof/>
          <w:color w:val="000000"/>
        </w:rPr>
        <w:t>Je žádoucí, aby orgány Norska, Islandu, Švýcarska a Lichtenštejnska na jedné straně a Antiguy a Barbudy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na straně druhé bezodkladně pozměnily </w:t>
      </w:r>
      <w:r>
        <w:rPr>
          <w:noProof/>
          <w:color w:val="000000"/>
        </w:rPr>
        <w:t>stávající dvoustranné dohody o zrušení vízové povinnosti pro krátkodobé pobyty za podmínek, jaké stanoví tato dohoda.</w:t>
      </w:r>
    </w:p>
    <w:p w:rsidR="007514D1" w:rsidRDefault="004F2559">
      <w:pPr>
        <w:rPr>
          <w:b/>
          <w:caps/>
          <w:noProof/>
          <w:szCs w:val="24"/>
        </w:rPr>
      </w:pPr>
      <w:r>
        <w:rPr>
          <w:b/>
          <w:caps/>
          <w:noProof/>
        </w:rPr>
        <w:t>Společné prohlášení o výkladu doby 90 dnů během jakéhokoliv období 180 dnů</w:t>
      </w:r>
    </w:p>
    <w:p w:rsidR="007514D1" w:rsidRDefault="004F2559">
      <w:pPr>
        <w:rPr>
          <w:noProof/>
        </w:rPr>
      </w:pPr>
      <w:r>
        <w:rPr>
          <w:noProof/>
        </w:rPr>
        <w:t>Smluvní strany se dohodly, že dobou nejvýše 90 dnů během jakého</w:t>
      </w:r>
      <w:r>
        <w:rPr>
          <w:noProof/>
        </w:rPr>
        <w:t>koliv období 180 dnů podle článku 4 dohody se rozumí nepřetržitý pobyt nebo několik po sobě jdoucích návštěv, jejichž trvání během jakéhokoliv období 180 dnů nepřekročí 90 dnů.</w:t>
      </w:r>
    </w:p>
    <w:p w:rsidR="007514D1" w:rsidRDefault="004F2559">
      <w:pPr>
        <w:pStyle w:val="Default"/>
        <w:jc w:val="both"/>
        <w:rPr>
          <w:noProof/>
        </w:rPr>
      </w:pPr>
      <w:r>
        <w:rPr>
          <w:noProof/>
        </w:rPr>
        <w:t xml:space="preserve">Slovo „jakýkoliv“ znamená, že se použije „pohyblivé“ referenční období 180 dnů </w:t>
      </w:r>
      <w:r>
        <w:rPr>
          <w:noProof/>
        </w:rPr>
        <w:t xml:space="preserve">a zpětně se započítá každý den pobytu v posledním období 180 dnů, aby se ověřilo, že je i nadále splňován požadavek 90 dnů v jakémkoliv období 180 dnů. To znamená mimo jiné, že nepřítomnost po dobu 90 po sobě jdoucích dnů opravňuje k novému pobytu v délce </w:t>
      </w:r>
      <w:r>
        <w:rPr>
          <w:noProof/>
        </w:rPr>
        <w:t>až 90 dnů.</w:t>
      </w:r>
    </w:p>
    <w:p w:rsidR="007514D1" w:rsidRDefault="004F2559">
      <w:pPr>
        <w:jc w:val="center"/>
        <w:rPr>
          <w:b/>
          <w:noProof/>
          <w:szCs w:val="24"/>
        </w:rPr>
      </w:pPr>
      <w:r>
        <w:rPr>
          <w:b/>
          <w:noProof/>
        </w:rPr>
        <w:t>________</w:t>
      </w:r>
    </w:p>
    <w:p w:rsidR="007514D1" w:rsidRDefault="007514D1">
      <w:pPr>
        <w:spacing w:after="100" w:afterAutospacing="1"/>
        <w:ind w:left="-284"/>
        <w:rPr>
          <w:noProof/>
        </w:rPr>
      </w:pPr>
    </w:p>
    <w:p w:rsidR="007514D1" w:rsidRDefault="007514D1">
      <w:pPr>
        <w:rPr>
          <w:noProof/>
        </w:rPr>
      </w:pPr>
    </w:p>
    <w:sectPr w:rsidR="007514D1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D1" w:rsidRDefault="004F2559">
      <w:pPr>
        <w:spacing w:before="0" w:after="0"/>
      </w:pPr>
      <w:r>
        <w:separator/>
      </w:r>
    </w:p>
  </w:endnote>
  <w:endnote w:type="continuationSeparator" w:id="0">
    <w:p w:rsidR="007514D1" w:rsidRDefault="004F25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D1" w:rsidRDefault="004F255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D1" w:rsidRDefault="004F255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D1" w:rsidRDefault="00751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D1" w:rsidRDefault="004F2559">
      <w:pPr>
        <w:spacing w:before="0" w:after="0"/>
      </w:pPr>
      <w:r>
        <w:separator/>
      </w:r>
    </w:p>
  </w:footnote>
  <w:footnote w:type="continuationSeparator" w:id="0">
    <w:p w:rsidR="007514D1" w:rsidRDefault="004F25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288E1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36823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534CE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EB1AC4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AAC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04AD8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F316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18"/>
  </w:num>
  <w:num w:numId="23">
    <w:abstractNumId w:val="9"/>
  </w:num>
  <w:num w:numId="24">
    <w:abstractNumId w:val="16"/>
  </w:num>
  <w:num w:numId="25">
    <w:abstractNumId w:val="22"/>
  </w:num>
  <w:num w:numId="26">
    <w:abstractNumId w:val="19"/>
  </w:num>
  <w:num w:numId="27">
    <w:abstractNumId w:val="11"/>
  </w:num>
  <w:num w:numId="28">
    <w:abstractNumId w:val="21"/>
  </w:num>
  <w:num w:numId="29">
    <w:abstractNumId w:val="10"/>
  </w:num>
  <w:num w:numId="30">
    <w:abstractNumId w:val="12"/>
  </w:num>
  <w:num w:numId="31">
    <w:abstractNumId w:val="8"/>
  </w:num>
  <w:num w:numId="32">
    <w:abstractNumId w:val="20"/>
  </w:num>
  <w:num w:numId="33">
    <w:abstractNumId w:val="7"/>
  </w:num>
  <w:num w:numId="34">
    <w:abstractNumId w:val="13"/>
  </w:num>
  <w:num w:numId="35">
    <w:abstractNumId w:val="17"/>
  </w:num>
  <w:num w:numId="36">
    <w:abstractNumId w:val="18"/>
  </w:num>
  <w:num w:numId="37">
    <w:abstractNumId w:val="9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11 16:17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3"/>
    <w:docVar w:name="DQCStatus" w:val="Yellow"/>
    <w:docVar w:name="DQCVersion" w:val="3"/>
    <w:docVar w:name="DQCWithWarnings" w:val="1"/>
    <w:docVar w:name="LW_ACCOMPAGNANT.CP" w:val="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6E679C2176F40B6B523622A516FEBB0"/>
    <w:docVar w:name="LW_CROSSREFERENCE" w:val="&lt;UNUSED&gt;"/>
    <w:docVar w:name="LW_DocType" w:val="ANNEX"/>
    <w:docVar w:name="LW_EMISSION" w:val="27.7.2017"/>
    <w:docVar w:name="LW_EMISSION_ISODATE" w:val="2017-07-27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 uzav\u345?ení Dohody mezi Evropskou unií a Antiguou a Barbudou, kterou se m\u283?ní Dohoda mezi Evropským spole\u269?enstvím a Antiguou a Barbudou o zru\u353?ení vízové povinnosti pro krátkodobé pobyty"/>
    <w:docVar w:name="LW_PART_NBR" w:val="1"/>
    <w:docVar w:name="LW_PART_NBR_TOTAL" w:val="1"/>
    <w:docVar w:name="LW_REF.INST.NEW" w:val="COM"/>
    <w:docVar w:name="LW_REF.INST.NEW_ADOPTED" w:val="final"/>
    <w:docVar w:name="LW_REF.INST.NEW_TEXT" w:val="(2017) 392"/>
    <w:docVar w:name="LW_REF.INTERNE" w:val="&lt;UNUSED&gt;"/>
    <w:docVar w:name="LW_SUPERTITRE" w:val="&lt;UNUSED&gt;"/>
    <w:docVar w:name="LW_TITRE.OBJ.CP" w:val="&lt;UNUSED&gt;"/>
    <w:docVar w:name="LW_TYPE.DOC.CP" w:val="P\u344?ÍLOHA"/>
    <w:docVar w:name="LW_TYPEACTEPRINCIPAL.CP" w:val="návrhu rozhodnutí Rady"/>
  </w:docVars>
  <w:rsids>
    <w:rsidRoot w:val="007514D1"/>
    <w:rsid w:val="004F2559"/>
    <w:rsid w:val="007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Text4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4">
    <w:name w:val="List Number 4"/>
    <w:basedOn w:val="Text4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1">
    <w:name w:val="List Number 1"/>
    <w:basedOn w:val="Text1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pPr>
      <w:numPr>
        <w:ilvl w:val="1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pPr>
      <w:numPr>
        <w:ilvl w:val="3"/>
        <w:numId w:val="6"/>
      </w:numPr>
      <w:spacing w:before="0" w:after="240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765</Words>
  <Characters>4218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 Floor (HOME)</dc:creator>
  <cp:lastModifiedBy>JANSEN Colette (SG)</cp:lastModifiedBy>
  <cp:revision>10</cp:revision>
  <dcterms:created xsi:type="dcterms:W3CDTF">2017-07-11T14:17:00Z</dcterms:created>
  <dcterms:modified xsi:type="dcterms:W3CDTF">2017-07-26T12:57:00Z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