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BD8E24906D71478A9243849AB2FD596A" style="width:450.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</w:t>
      </w:r>
    </w:p>
    <w:p>
      <w:pPr>
        <w:pStyle w:val="Accompagnant"/>
        <w:rPr>
          <w:noProof/>
        </w:rPr>
      </w:pPr>
      <w:r>
        <w:rPr>
          <w:noProof/>
        </w:rPr>
        <w:t>k</w:t>
      </w:r>
    </w:p>
    <w:p>
      <w:pPr>
        <w:pStyle w:val="Typeacteprincipal"/>
        <w:rPr>
          <w:noProof/>
        </w:rPr>
      </w:pPr>
      <w:r>
        <w:rPr>
          <w:noProof/>
        </w:rPr>
        <w:t>predlogu sklepa Sveta</w:t>
      </w:r>
    </w:p>
    <w:p>
      <w:pPr>
        <w:pStyle w:val="Objetacteprincipal"/>
        <w:rPr>
          <w:noProof/>
        </w:rPr>
      </w:pPr>
      <w:r>
        <w:rPr>
          <w:noProof/>
        </w:rPr>
        <w:t>o sklenitvi Sporazuma med Evropsko unijo in Barbadosom o spremembi Sporazuma med Evropsko skupnostjo in Barbadosom o odpravi vizumov za kratkoročno bivanje</w:t>
      </w:r>
    </w:p>
    <w:p>
      <w:pPr>
        <w:spacing w:before="0" w:after="200" w:line="276" w:lineRule="auto"/>
        <w:jc w:val="left"/>
        <w:rPr>
          <w:b/>
          <w:noProof/>
          <w:szCs w:val="24"/>
        </w:rPr>
      </w:pPr>
      <w:r>
        <w:rPr>
          <w:noProof/>
        </w:rPr>
        <w:br w:type="page"/>
      </w: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SPORAZUM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med Evropsko unijo</w:t>
      </w:r>
      <w:r>
        <w:rPr>
          <w:rStyle w:val="Strong"/>
          <w:noProof/>
        </w:rPr>
        <w:t xml:space="preserve"> in Barbadosom</w:t>
      </w:r>
      <w:r>
        <w:rPr>
          <w:noProof/>
        </w:rPr>
        <w:t xml:space="preserve"> </w:t>
      </w:r>
      <w:r>
        <w:rPr>
          <w:b/>
          <w:noProof/>
        </w:rPr>
        <w:t>o spremembi Sporazuma med Evropsko skupnostjo in</w:t>
      </w:r>
      <w:r>
        <w:rPr>
          <w:noProof/>
        </w:rPr>
        <w:t xml:space="preserve"> </w:t>
      </w:r>
      <w:r>
        <w:rPr>
          <w:rStyle w:val="Strong"/>
          <w:noProof/>
        </w:rPr>
        <w:t>Barbadosom</w:t>
      </w:r>
      <w:r>
        <w:rPr>
          <w:b/>
          <w:noProof/>
        </w:rPr>
        <w:t xml:space="preserve"> o odpravi vizumov za kratkoročno bivanje</w:t>
      </w:r>
    </w:p>
    <w:p>
      <w:pPr>
        <w:rPr>
          <w:noProof/>
          <w:szCs w:val="24"/>
        </w:rPr>
      </w:pPr>
      <w:r>
        <w:rPr>
          <w:noProof/>
        </w:rPr>
        <w:t>EVROPSKA UNIJA</w:t>
      </w:r>
    </w:p>
    <w:p>
      <w:pPr>
        <w:rPr>
          <w:noProof/>
          <w:szCs w:val="24"/>
        </w:rPr>
      </w:pPr>
      <w:r>
        <w:rPr>
          <w:noProof/>
        </w:rPr>
        <w:t xml:space="preserve">na eni strani ter </w:t>
      </w:r>
    </w:p>
    <w:p>
      <w:pPr>
        <w:rPr>
          <w:noProof/>
          <w:szCs w:val="24"/>
        </w:rPr>
      </w:pPr>
      <w:r>
        <w:rPr>
          <w:noProof/>
        </w:rPr>
        <w:t>BARBADOS</w:t>
      </w:r>
    </w:p>
    <w:p>
      <w:pPr>
        <w:rPr>
          <w:noProof/>
          <w:szCs w:val="24"/>
        </w:rPr>
      </w:pPr>
      <w:r>
        <w:rPr>
          <w:noProof/>
        </w:rPr>
        <w:t xml:space="preserve">na drugi strani, </w:t>
      </w:r>
    </w:p>
    <w:p>
      <w:pPr>
        <w:rPr>
          <w:noProof/>
          <w:szCs w:val="24"/>
        </w:rPr>
      </w:pPr>
      <w:r>
        <w:rPr>
          <w:noProof/>
        </w:rPr>
        <w:t>v nadaljnjem besedilu skupaj: pogodbenici, STA SE –</w:t>
      </w:r>
    </w:p>
    <w:p>
      <w:pPr>
        <w:rPr>
          <w:noProof/>
          <w:szCs w:val="24"/>
        </w:rPr>
      </w:pPr>
      <w:r>
        <w:rPr>
          <w:noProof/>
        </w:rPr>
        <w:t>OB UPOŠTEVANJU Sporazuma med Evropsko skupnostjo in</w:t>
      </w:r>
      <w:r>
        <w:rPr>
          <w:rStyle w:val="Strong"/>
          <w:b w:val="0"/>
          <w:noProof/>
        </w:rPr>
        <w:t xml:space="preserve"> Barbadosom</w:t>
      </w:r>
      <w:r>
        <w:rPr>
          <w:noProof/>
        </w:rPr>
        <w:t xml:space="preserve"> o odpravi vizumov za kratkoročno bivanje (v nadaljnjem besedilu „Sporazum“), ki je začel veljati 1. marca 2010;</w:t>
      </w:r>
    </w:p>
    <w:p>
      <w:pPr>
        <w:rPr>
          <w:noProof/>
          <w:szCs w:val="24"/>
        </w:rPr>
      </w:pPr>
      <w:r>
        <w:rPr>
          <w:noProof/>
        </w:rPr>
        <w:t xml:space="preserve">OB PONOVNI POTRDITVI pomena spodbujanja medosebnih stikov med ljudmi; </w:t>
      </w:r>
    </w:p>
    <w:p>
      <w:pPr>
        <w:rPr>
          <w:noProof/>
          <w:szCs w:val="24"/>
        </w:rPr>
      </w:pPr>
      <w:r>
        <w:rPr>
          <w:noProof/>
        </w:rPr>
        <w:t>GLEDE NA TO, da uporaba Sporazuma koristi državljanom pogodbenic;</w:t>
      </w:r>
    </w:p>
    <w:p>
      <w:pPr>
        <w:rPr>
          <w:noProof/>
          <w:szCs w:val="24"/>
        </w:rPr>
      </w:pPr>
      <w:r>
        <w:rPr>
          <w:noProof/>
        </w:rPr>
        <w:t xml:space="preserve">OB UPOŠTEVANJU, da opredelitev kratkoročnega bivanja v Sporazumu (tri mesece v obdobju šestih mesecev od prvega vstopa) ni dovolj natančna in da lahko zlasti zaradi pojma „prvi vstop“ prihaja do dvomov in vprašanj; </w:t>
      </w:r>
    </w:p>
    <w:p>
      <w:pPr>
        <w:rPr>
          <w:noProof/>
          <w:szCs w:val="24"/>
        </w:rPr>
      </w:pPr>
      <w:r>
        <w:rPr>
          <w:noProof/>
        </w:rPr>
        <w:t xml:space="preserve">OB UPOŠTEVANJU, da je Uredba (EU) št. 610/2013 z dne 26. junija 2013 uvedla horizontalne spremembe „notranjega“ pravnega reda EU na področju vizumov in mej ter opredelila kratkoročno bivanje kot „90 dni v katerem koli 180-dnevnem obdobju“; </w:t>
      </w:r>
    </w:p>
    <w:p>
      <w:pPr>
        <w:rPr>
          <w:noProof/>
          <w:szCs w:val="24"/>
        </w:rPr>
      </w:pPr>
      <w:r>
        <w:rPr>
          <w:noProof/>
        </w:rPr>
        <w:t>OB UPOŠTEVANJU, da sistem vstopa/izstopa, ki ga bo vzpostavila Evropska unija, zahteva uporabo enotne in jasne opredelitve kratkoročnega bivanja, ki se uporablja za vse državljane tretjih držav;</w:t>
      </w:r>
    </w:p>
    <w:p>
      <w:pPr>
        <w:rPr>
          <w:noProof/>
          <w:szCs w:val="24"/>
        </w:rPr>
      </w:pPr>
      <w:r>
        <w:rPr>
          <w:noProof/>
        </w:rPr>
        <w:t>V ŽELJI, da se zagotovi nemoten pretok potnikov na mejnih prehodih pogodbenic;</w:t>
      </w:r>
    </w:p>
    <w:p>
      <w:pPr>
        <w:rPr>
          <w:noProof/>
          <w:szCs w:val="24"/>
        </w:rPr>
      </w:pPr>
      <w:r>
        <w:rPr>
          <w:noProof/>
        </w:rPr>
        <w:t>OB PONOVNI POTRDITVI, da se Sporazum nanaša na državljane vseh držav članic Evropske unije, razen državljane Združenega kraljestva in Irske,</w:t>
      </w:r>
    </w:p>
    <w:p>
      <w:pPr>
        <w:rPr>
          <w:noProof/>
          <w:szCs w:val="24"/>
        </w:rPr>
      </w:pPr>
      <w:r>
        <w:rPr>
          <w:noProof/>
        </w:rPr>
        <w:t xml:space="preserve">OB UPOŠTEVANJU Protokola o stališču Združenega kraljestva in Irske glede območja svobode, varnosti in pravice ter Protokola o schengenskem pravnem redu, vključenem v okvir Evropske unije, ki je priložen Pogodbi o Evropski uniji in Pogodbi o delovanju Evropske unije, ter s potrditvijo, da se določbe tega sporazuma ne uporabljajo za Združeno kraljestvo in za Irsko – </w:t>
      </w:r>
    </w:p>
    <w:p>
      <w:pPr>
        <w:rPr>
          <w:noProof/>
          <w:szCs w:val="24"/>
        </w:rPr>
      </w:pPr>
      <w:r>
        <w:rPr>
          <w:noProof/>
        </w:rPr>
        <w:t>DOGOVORILI O NASLEDNJEM:</w:t>
      </w:r>
    </w:p>
    <w:p>
      <w:pPr>
        <w:pStyle w:val="Titrearticle"/>
        <w:rPr>
          <w:noProof/>
        </w:rPr>
      </w:pPr>
      <w:r>
        <w:rPr>
          <w:noProof/>
        </w:rPr>
        <w:t>Člen 1</w:t>
      </w:r>
    </w:p>
    <w:p>
      <w:pPr>
        <w:rPr>
          <w:noProof/>
          <w:szCs w:val="24"/>
        </w:rPr>
      </w:pPr>
      <w:r>
        <w:rPr>
          <w:noProof/>
        </w:rPr>
        <w:t>Sporazum se spremeni v skladu z določbami iz tega člena:</w:t>
      </w:r>
    </w:p>
    <w:p>
      <w:pPr>
        <w:pStyle w:val="Point0number"/>
        <w:numPr>
          <w:ilvl w:val="0"/>
          <w:numId w:val="8"/>
        </w:numPr>
        <w:spacing w:after="240"/>
        <w:ind w:left="851" w:hanging="851"/>
        <w:rPr>
          <w:noProof/>
        </w:rPr>
      </w:pPr>
      <w:r>
        <w:rPr>
          <w:noProof/>
        </w:rPr>
        <w:t>V naslovu in v členih 3(5), 6(1) in 8(7) se beseda „Skupnost“ nadomesti z besedo „Unija“.</w:t>
      </w:r>
    </w:p>
    <w:p>
      <w:pPr>
        <w:pStyle w:val="Point0number"/>
        <w:numPr>
          <w:ilvl w:val="0"/>
          <w:numId w:val="7"/>
        </w:numPr>
        <w:spacing w:after="240"/>
        <w:ind w:left="851" w:hanging="851"/>
        <w:rPr>
          <w:noProof/>
        </w:rPr>
      </w:pPr>
      <w:r>
        <w:rPr>
          <w:noProof/>
        </w:rPr>
        <w:t>V členu 1 se besedilo „tri mesece v obdobju šestih mesecev“ nadomesti z besedilom „90 dni v katerem koli 180-dnevnem obdobju“.</w:t>
      </w:r>
    </w:p>
    <w:p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Člen 4(1) se nadomesti z naslednjim:</w:t>
      </w:r>
    </w:p>
    <w:p>
      <w:pPr>
        <w:ind w:left="850"/>
        <w:rPr>
          <w:noProof/>
          <w:szCs w:val="24"/>
        </w:rPr>
      </w:pPr>
      <w:r>
        <w:rPr>
          <w:noProof/>
        </w:rPr>
        <w:lastRenderedPageBreak/>
        <w:t>„Državljani Evropske unije lahko na ozemlju Barbadosa bivajo največ 90 dni v katerem koli 180-dnevnem obdobju.“</w:t>
      </w:r>
    </w:p>
    <w:p>
      <w:pPr>
        <w:pStyle w:val="Point0number"/>
        <w:rPr>
          <w:noProof/>
        </w:rPr>
      </w:pPr>
      <w:r>
        <w:rPr>
          <w:noProof/>
        </w:rPr>
        <w:t>Člen 4(2) se nadomesti z naslednjim:</w:t>
      </w:r>
    </w:p>
    <w:p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„Državljani Barbadosa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/>
        </w:rPr>
        <w:t>lahko na ozemlju držav članic, ki v celoti izvajajo schengenski pravni red, bivajo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največ 90 dni v katerem koli 180-dnevnem obdobju.</w:t>
      </w:r>
      <w:r>
        <w:rPr>
          <w:rFonts w:ascii="Times New Roman" w:hAnsi="Times New Roman"/>
          <w:noProof/>
          <w:color w:val="000000"/>
        </w:rPr>
        <w:t xml:space="preserve"> Pri izračunu navedenega obdobja se ne upošteva nobeno bivanje v državi članici, ki schengenskega pravnega reda še ne izvaja v celoti. </w:t>
      </w:r>
    </w:p>
    <w:p>
      <w:pPr>
        <w:ind w:left="850"/>
        <w:rPr>
          <w:noProof/>
          <w:szCs w:val="24"/>
        </w:rPr>
      </w:pPr>
      <w:r>
        <w:rPr>
          <w:noProof/>
        </w:rPr>
        <w:t>Državljani Barbadosa lahko bivajo na ozemlju vsake države članice, ki schengenskega pravnega reda še ne uporablja v celoti, največ 90 dni v katerem koli 180-dnevnem obdobju, neodvisno od obdobja bivanja na ozemlju držav članic, ki v celoti uporabljajo schengenski pravni red.“</w:t>
      </w:r>
    </w:p>
    <w:p>
      <w:pPr>
        <w:pStyle w:val="Point0number"/>
        <w:rPr>
          <w:noProof/>
        </w:rPr>
      </w:pPr>
      <w:r>
        <w:rPr>
          <w:noProof/>
        </w:rPr>
        <w:t>V členu 4(3) se besedi „tri mesece“ nadomestita z besedama „90 dni“, beseda „Skupnosti“ pa se nadomesti z besedo „Unije“.</w:t>
      </w:r>
    </w:p>
    <w:p>
      <w:pPr>
        <w:pStyle w:val="Point0number"/>
        <w:rPr>
          <w:noProof/>
        </w:rPr>
      </w:pPr>
      <w:r>
        <w:rPr>
          <w:noProof/>
        </w:rPr>
        <w:t>Zadnji stavek člena 8(4) se nadomesti z naslednjim:</w:t>
      </w:r>
    </w:p>
    <w:p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„Pogodbenica, ki je začasno prenehala izvajati ta sporazum, nemudoma obvesti drugo pogodbenico, ko razlogi za navedeno začasno prenehanje izvajanja ne obstajajo več, in ta sporazum ponovno začne izvajati“.</w:t>
      </w:r>
    </w:p>
    <w:p>
      <w:pPr>
        <w:pStyle w:val="Titrearticle"/>
        <w:rPr>
          <w:noProof/>
        </w:rPr>
      </w:pPr>
      <w:r>
        <w:rPr>
          <w:noProof/>
        </w:rPr>
        <w:t>Člen 2</w:t>
      </w:r>
    </w:p>
    <w:p>
      <w:pPr>
        <w:rPr>
          <w:noProof/>
          <w:szCs w:val="24"/>
        </w:rPr>
      </w:pPr>
      <w:r>
        <w:rPr>
          <w:noProof/>
        </w:rPr>
        <w:t>Pogodbenici v skladu s svojimi postopki ratificirata ali odobrita ta sporazum, ki začne veljati prvi dan šestega meseca, ki sledi dnevu, ko zadnja pogodbenica uradno obvesti drugo pogodbenico o zaključku zgoraj navedenih postopkov.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V [</w:t>
      </w:r>
      <w:r>
        <w:rPr>
          <w:noProof/>
          <w:highlight w:val="yellow"/>
        </w:rPr>
        <w:t>…</w:t>
      </w:r>
      <w:r>
        <w:rPr>
          <w:noProof/>
        </w:rPr>
        <w:t>], dne [</w:t>
      </w:r>
      <w:r>
        <w:rPr>
          <w:noProof/>
          <w:highlight w:val="yellow"/>
        </w:rPr>
        <w:t>…</w:t>
      </w:r>
      <w:r>
        <w:rPr>
          <w:noProof/>
        </w:rPr>
        <w:t>] leta dva tisoč sedemnajst, v dvojniku v angleškem, bolgarskem, češkem, danskem, estonskem, finskem, francoskem, grškem, hrvaškem, italijanskem, latvijskem, litovskem, madžarskem, malteškem, nemškem, nizozemskem, poljskem, portugalskem, romunskem, slovaškem, slovenskem, španskem in švedskem jeziku, pri čemer je vsako od teh besedil enako verodostojno.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Za Evropsko unijo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Za Barbados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  <w:szCs w:val="24"/>
        </w:rPr>
      </w:pPr>
      <w:r>
        <w:rPr>
          <w:b/>
          <w:noProof/>
        </w:rPr>
        <w:lastRenderedPageBreak/>
        <w:t>SKUPNA IZJAVA GLEDE ISLANDIJE, NORVEŠKE, ŠVICE IN LIHTENŠTAJNA</w:t>
      </w:r>
    </w:p>
    <w:p>
      <w:pPr>
        <w:rPr>
          <w:noProof/>
          <w:color w:val="000000"/>
          <w:szCs w:val="24"/>
        </w:rPr>
      </w:pPr>
      <w:r>
        <w:rPr>
          <w:noProof/>
        </w:rPr>
        <w:t>Zaželeno je, da organi Norveške, Islandije, Švice in Lihtenštajna na eni strani ter organi Barbadosa na drugi strani brez odloga spremenijo obstoječe dvostranske sporazume o odpravi vizumov za kratkoročno bivanje v skladu z določbami tega sporazuma.</w:t>
      </w:r>
    </w:p>
    <w:p>
      <w:pPr>
        <w:rPr>
          <w:b/>
          <w:caps/>
          <w:noProof/>
          <w:szCs w:val="24"/>
        </w:rPr>
      </w:pPr>
      <w:r>
        <w:rPr>
          <w:b/>
          <w:caps/>
          <w:noProof/>
        </w:rPr>
        <w:t>Skupna izjava o razlagi obdobja 90 dni v katerem koli 180-dnevnem obdobju</w:t>
      </w:r>
    </w:p>
    <w:p>
      <w:pPr>
        <w:rPr>
          <w:noProof/>
        </w:rPr>
      </w:pPr>
      <w:r>
        <w:rPr>
          <w:noProof/>
        </w:rPr>
        <w:t>Pogodbenici soglašata, da obdobje največ 90 dni v katerem koli 180-dnevnem obdobju iz člena 4 tega sporazuma pomeni neprekinjen obisk ali več zaporednih obiskov, katerih skupno trajanje ne presega 90 dni v katerem koli 180-dnevnem obdobju.</w:t>
      </w:r>
    </w:p>
    <w:p>
      <w:pPr>
        <w:pStyle w:val="Default"/>
        <w:jc w:val="both"/>
        <w:rPr>
          <w:noProof/>
        </w:rPr>
      </w:pPr>
      <w:r>
        <w:rPr>
          <w:noProof/>
        </w:rPr>
        <w:t>Pojem „kateri koli“ se nanaša na gibljivo 180-dnevno referenčno obdobje, pri preverjanju, ali je zahteva v zvezi z 90 dnevi v katerem koli 180-dnevnem obdobju še vedno izpolnjena, pa se upošteva vsak dan bivanja v obdobju zadnjih 180 dni. To med drugim pomeni, da odsotnost v neprekinjenem obdobju 90 dni omogoča novo bivanje do 90 dni.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________</w:t>
      </w:r>
    </w:p>
    <w:p>
      <w:pPr>
        <w:spacing w:after="100" w:afterAutospacing="1"/>
        <w:ind w:left="-284"/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288E1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36823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534CE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EB1AC4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AAC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04AD8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316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18"/>
  </w:num>
  <w:num w:numId="23">
    <w:abstractNumId w:val="9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26 16:48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BD8E24906D71478A9243849AB2FD596A"/>
    <w:docVar w:name="LW_CROSSREFERENCE" w:val="&lt;UNUSED&gt;"/>
    <w:docVar w:name="LW_DocType" w:val="ANNEX"/>
    <w:docVar w:name="LW_EMISSION" w:val="27.7.2017"/>
    <w:docVar w:name="LW_EMISSION_ISODATE" w:val="2017-07-27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 sklenitvi Sporazuma med Evropsko unijo in Barbadosom o spremembi Sporazuma med Evropsko skupnostjo in Barbadosom o odpravi vizumov za kratkoro\u269?no bivanje"/>
    <w:docVar w:name="LW_PART_NBR" w:val="1"/>
    <w:docVar w:name="LW_PART_NBR_TOTAL" w:val="1"/>
    <w:docVar w:name="LW_REF.INST.NEW" w:val="COM"/>
    <w:docVar w:name="LW_REF.INST.NEW_ADOPTED" w:val="final"/>
    <w:docVar w:name="LW_REF.INST.NEW_TEXT" w:val="(2017) 402"/>
    <w:docVar w:name="LW_REF.INTERNE" w:val="&lt;UNUSED&gt;"/>
    <w:docVar w:name="LW_SUPERTITRE" w:val="&lt;UNUSED&gt;"/>
    <w:docVar w:name="LW_TITRE.OBJ.CP" w:val="&lt;UNUSED&gt;"/>
    <w:docVar w:name="LW_TYPE.DOC.CP" w:val="PRILOGA"/>
    <w:docVar w:name="LW_TYPEACTEPRINCIPAL.CP" w:val="predlogu 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752</Words>
  <Characters>4305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 Floor (HOME)</dc:creator>
  <cp:lastModifiedBy>DIGIT/A3</cp:lastModifiedBy>
  <cp:revision>7</cp:revision>
  <dcterms:created xsi:type="dcterms:W3CDTF">2017-07-03T11:51:00Z</dcterms:created>
  <dcterms:modified xsi:type="dcterms:W3CDTF">2017-07-26T14:48:00Z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