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6E90229CACD49D7B8A3B0916D2DBEDF" style="width:451.25pt;height:397.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ANEXO</w:t>
      </w:r>
    </w:p>
    <w:p>
      <w:pPr>
        <w:pStyle w:val="Accompagnant"/>
        <w:rPr>
          <w:noProof/>
        </w:rPr>
      </w:pPr>
      <w:r>
        <w:rPr>
          <w:noProof/>
        </w:rPr>
        <w:t>da</w:t>
      </w:r>
    </w:p>
    <w:p>
      <w:pPr>
        <w:pStyle w:val="Typeacteprincipal"/>
        <w:rPr>
          <w:noProof/>
        </w:rPr>
      </w:pPr>
      <w:r>
        <w:rPr>
          <w:noProof/>
        </w:rPr>
        <w:t>Proposta de Decisão do Conselho</w:t>
      </w:r>
    </w:p>
    <w:p>
      <w:pPr>
        <w:pStyle w:val="Objetacteprincipal"/>
        <w:rPr>
          <w:noProof/>
        </w:rPr>
      </w:pPr>
      <w:r>
        <w:rPr>
          <w:noProof/>
        </w:rPr>
        <w:t>relativa à celebração do Acordo entre a União Europeia e Barbados que altera o Acordo entre a Comunidade Europeia e Barbados sobre a isenção de vistos para as estadas de curta duração</w:t>
      </w:r>
    </w:p>
    <w:p>
      <w:pPr>
        <w:spacing w:before="0" w:after="200" w:line="276" w:lineRule="auto"/>
        <w:jc w:val="left"/>
        <w:rPr>
          <w:b/>
          <w:noProof/>
          <w:szCs w:val="24"/>
        </w:rPr>
      </w:pPr>
      <w:r>
        <w:rPr>
          <w:noProof/>
        </w:rPr>
        <w:br w:type="page"/>
      </w:r>
    </w:p>
    <w:p>
      <w:pPr>
        <w:jc w:val="center"/>
        <w:rPr>
          <w:b/>
          <w:noProof/>
          <w:szCs w:val="24"/>
        </w:rPr>
      </w:pPr>
      <w:r>
        <w:rPr>
          <w:b/>
          <w:noProof/>
        </w:rPr>
        <w:lastRenderedPageBreak/>
        <w:t>ACORDO</w:t>
      </w:r>
    </w:p>
    <w:p>
      <w:pPr>
        <w:jc w:val="center"/>
        <w:rPr>
          <w:b/>
          <w:noProof/>
          <w:szCs w:val="24"/>
        </w:rPr>
      </w:pPr>
      <w:r>
        <w:rPr>
          <w:b/>
          <w:noProof/>
        </w:rPr>
        <w:t xml:space="preserve">entre a União Europeia e </w:t>
      </w:r>
      <w:r>
        <w:rPr>
          <w:rStyle w:val="Strong"/>
          <w:noProof/>
        </w:rPr>
        <w:t>Barbados</w:t>
      </w:r>
      <w:r>
        <w:rPr>
          <w:b/>
          <w:noProof/>
        </w:rPr>
        <w:t xml:space="preserve"> que altera o Acordo entre a Comunidade Europeia e</w:t>
      </w:r>
      <w:r>
        <w:rPr>
          <w:rStyle w:val="Strong"/>
          <w:noProof/>
        </w:rPr>
        <w:t xml:space="preserve"> Barbados</w:t>
      </w:r>
      <w:r>
        <w:rPr>
          <w:b/>
          <w:noProof/>
        </w:rPr>
        <w:t xml:space="preserve"> sobre a isenção de vistos para as estadas de curta duração</w:t>
      </w:r>
    </w:p>
    <w:p>
      <w:pPr>
        <w:rPr>
          <w:noProof/>
          <w:szCs w:val="24"/>
        </w:rPr>
      </w:pPr>
      <w:r>
        <w:rPr>
          <w:noProof/>
        </w:rPr>
        <w:t>A UNIÃO EUROPEIA,</w:t>
      </w:r>
    </w:p>
    <w:p>
      <w:pPr>
        <w:rPr>
          <w:noProof/>
          <w:szCs w:val="24"/>
        </w:rPr>
      </w:pPr>
      <w:r>
        <w:rPr>
          <w:noProof/>
        </w:rPr>
        <w:t xml:space="preserve">por um lado, e </w:t>
      </w:r>
    </w:p>
    <w:p>
      <w:pPr>
        <w:rPr>
          <w:noProof/>
          <w:szCs w:val="24"/>
        </w:rPr>
      </w:pPr>
      <w:r>
        <w:rPr>
          <w:noProof/>
        </w:rPr>
        <w:t>BARBADOS,</w:t>
      </w:r>
    </w:p>
    <w:p>
      <w:pPr>
        <w:rPr>
          <w:noProof/>
          <w:szCs w:val="24"/>
        </w:rPr>
      </w:pPr>
      <w:r>
        <w:rPr>
          <w:noProof/>
        </w:rPr>
        <w:t xml:space="preserve">por outro lado, </w:t>
      </w:r>
    </w:p>
    <w:p>
      <w:pPr>
        <w:rPr>
          <w:noProof/>
          <w:szCs w:val="24"/>
        </w:rPr>
      </w:pPr>
      <w:r>
        <w:rPr>
          <w:noProof/>
        </w:rPr>
        <w:t>a seguir designados conjuntamente por «Partes Contratantes»,</w:t>
      </w:r>
    </w:p>
    <w:p>
      <w:pPr>
        <w:rPr>
          <w:noProof/>
          <w:szCs w:val="24"/>
        </w:rPr>
      </w:pPr>
      <w:r>
        <w:rPr>
          <w:noProof/>
        </w:rPr>
        <w:t>TENDO EM CONTA o Acordo entre a Comunidade Europeia e</w:t>
      </w:r>
      <w:r>
        <w:rPr>
          <w:b/>
          <w:noProof/>
        </w:rPr>
        <w:t xml:space="preserve"> </w:t>
      </w:r>
      <w:r>
        <w:rPr>
          <w:rStyle w:val="Strong"/>
          <w:b w:val="0"/>
          <w:noProof/>
        </w:rPr>
        <w:t>Barbados</w:t>
      </w:r>
      <w:r>
        <w:rPr>
          <w:b/>
          <w:noProof/>
        </w:rPr>
        <w:t xml:space="preserve"> </w:t>
      </w:r>
      <w:r>
        <w:rPr>
          <w:noProof/>
        </w:rPr>
        <w:t>sobre a isenção de vistos para as estadas de curta duração (a seguir designado «o Acordo»), que entrou em vigor em 1 de março de 2010.</w:t>
      </w:r>
    </w:p>
    <w:p>
      <w:pPr>
        <w:rPr>
          <w:noProof/>
          <w:szCs w:val="24"/>
        </w:rPr>
      </w:pPr>
      <w:r>
        <w:rPr>
          <w:noProof/>
        </w:rPr>
        <w:t xml:space="preserve">REAFIRMANDO a importância de facilitar os contactos diretos entre as pessoas. </w:t>
      </w:r>
    </w:p>
    <w:p>
      <w:pPr>
        <w:rPr>
          <w:noProof/>
          <w:szCs w:val="24"/>
        </w:rPr>
      </w:pPr>
      <w:r>
        <w:rPr>
          <w:noProof/>
        </w:rPr>
        <w:t>TOMANDO NOTA de que o Acordo funciona para a satisfação dos cidadãos das Partes Contratantes.</w:t>
      </w:r>
    </w:p>
    <w:p>
      <w:pPr>
        <w:rPr>
          <w:noProof/>
          <w:szCs w:val="24"/>
        </w:rPr>
      </w:pPr>
      <w:r>
        <w:rPr>
          <w:noProof/>
        </w:rPr>
        <w:t xml:space="preserve">TENDO EM CONTA que a definição de estada de curta duração prevista no Acordo (três meses no decurso de um período de seis meses a contar da data da primeira entrada) não é suficientemente precisa e em especial o conceito de «data da primeira entrada» pode dar origem a incertezas e questões. </w:t>
      </w:r>
    </w:p>
    <w:p>
      <w:pPr>
        <w:rPr>
          <w:noProof/>
          <w:szCs w:val="24"/>
        </w:rPr>
      </w:pPr>
      <w:r>
        <w:rPr>
          <w:noProof/>
        </w:rPr>
        <w:t xml:space="preserve">ATENDENDO a que o Regulamento (UE) n.º 610/2013, de 26 de junho de 2013, introduziu alterações horizontais no acervo «interno» da UE em matéria de vistos e fronteiras e definiu estada de curta duração como um «período de 90 dias num período de 180 dias». </w:t>
      </w:r>
    </w:p>
    <w:p>
      <w:pPr>
        <w:rPr>
          <w:noProof/>
          <w:szCs w:val="24"/>
        </w:rPr>
      </w:pPr>
      <w:r>
        <w:rPr>
          <w:noProof/>
        </w:rPr>
        <w:t>TENDO EM CONTA que o Sistema de Entrada/Saída a ser estabelecido pela União Europeia exige o recurso a uma definição clara e uniforme de curta duração que seja aplicável a todos os nacionais de países terceiros.</w:t>
      </w:r>
    </w:p>
    <w:p>
      <w:pPr>
        <w:rPr>
          <w:noProof/>
          <w:szCs w:val="24"/>
        </w:rPr>
      </w:pPr>
      <w:r>
        <w:rPr>
          <w:noProof/>
        </w:rPr>
        <w:t>DESEJANDO assegurar o bom fluxo de viajantes nos pontos de passagem das fronteiras das Partes Contratantes.</w:t>
      </w:r>
    </w:p>
    <w:p>
      <w:pPr>
        <w:rPr>
          <w:noProof/>
          <w:szCs w:val="24"/>
        </w:rPr>
      </w:pPr>
      <w:r>
        <w:rPr>
          <w:noProof/>
        </w:rPr>
        <w:t>REAFIRMANDO que o Acordo abrange os cidadãos de todos os Estados</w:t>
      </w:r>
      <w:r>
        <w:rPr>
          <w:noProof/>
        </w:rPr>
        <w:noBreakHyphen/>
        <w:t>Membros da União Europeia com exceção do Reino Unido e da Irlanda.</w:t>
      </w:r>
    </w:p>
    <w:p>
      <w:pPr>
        <w:rPr>
          <w:noProof/>
          <w:szCs w:val="24"/>
        </w:rPr>
      </w:pPr>
      <w:r>
        <w:rPr>
          <w:noProof/>
        </w:rPr>
        <w:t xml:space="preserve">TENDO EM CONTA o Protocolo relativo à posição do Reino Unido e da Irlanda no domínio da liberdade, segurança e justiça e o Protocolo que integra o acervo de Schengen no âmbito da União Europeia, anexo ao Tratado da União Europeia e ao Tratado sobre o Funcionamento da União Europeia, e confirmando que as disposições do presente Acordo não se aplicam ao Reino Unido nem à Irlanda, </w:t>
      </w:r>
    </w:p>
    <w:p>
      <w:pPr>
        <w:rPr>
          <w:noProof/>
          <w:szCs w:val="24"/>
        </w:rPr>
      </w:pPr>
      <w:r>
        <w:rPr>
          <w:noProof/>
        </w:rPr>
        <w:t>ACORDARAM NO SEGUINTE:</w:t>
      </w:r>
    </w:p>
    <w:p>
      <w:pPr>
        <w:pStyle w:val="Titrearticle"/>
        <w:rPr>
          <w:noProof/>
        </w:rPr>
      </w:pPr>
      <w:r>
        <w:rPr>
          <w:noProof/>
        </w:rPr>
        <w:t>Artigo 1.º</w:t>
      </w:r>
    </w:p>
    <w:p>
      <w:pPr>
        <w:rPr>
          <w:noProof/>
          <w:szCs w:val="24"/>
        </w:rPr>
      </w:pPr>
      <w:r>
        <w:rPr>
          <w:noProof/>
        </w:rPr>
        <w:t>O Acordo é alterado em conformidade com o disposto no presente artigo:</w:t>
      </w:r>
    </w:p>
    <w:p>
      <w:pPr>
        <w:pStyle w:val="Point0number"/>
        <w:numPr>
          <w:ilvl w:val="0"/>
          <w:numId w:val="8"/>
        </w:numPr>
        <w:spacing w:after="240"/>
        <w:ind w:left="851" w:hanging="851"/>
        <w:rPr>
          <w:noProof/>
        </w:rPr>
      </w:pPr>
      <w:r>
        <w:rPr>
          <w:noProof/>
        </w:rPr>
        <w:t>No título e nos artigos 3.º, n.º 5, 6.º, n.º 1 e 8.º, n.º 7, o termo «Comunidade» é substituído pelo termo «União».</w:t>
      </w:r>
    </w:p>
    <w:p>
      <w:pPr>
        <w:pStyle w:val="Point0number"/>
        <w:numPr>
          <w:ilvl w:val="0"/>
          <w:numId w:val="7"/>
        </w:numPr>
        <w:spacing w:after="240"/>
        <w:ind w:left="851" w:hanging="851"/>
        <w:rPr>
          <w:noProof/>
        </w:rPr>
      </w:pPr>
      <w:r>
        <w:rPr>
          <w:noProof/>
        </w:rPr>
        <w:lastRenderedPageBreak/>
        <w:t>No artigo 1.º, os termos «três meses no decurso de um período de seis meses» são substituídos pelos termos «90 dias num período de 180 dias».</w:t>
      </w:r>
    </w:p>
    <w:p>
      <w:pPr>
        <w:pStyle w:val="Point0number"/>
        <w:numPr>
          <w:ilvl w:val="0"/>
          <w:numId w:val="7"/>
        </w:numPr>
        <w:rPr>
          <w:noProof/>
        </w:rPr>
      </w:pPr>
      <w:r>
        <w:rPr>
          <w:noProof/>
        </w:rPr>
        <w:t>O artigo 4.º, n.º 1, passa a ter a seguinte redação:</w:t>
      </w:r>
    </w:p>
    <w:p>
      <w:pPr>
        <w:ind w:left="850"/>
        <w:rPr>
          <w:noProof/>
          <w:szCs w:val="24"/>
        </w:rPr>
      </w:pPr>
      <w:r>
        <w:rPr>
          <w:noProof/>
        </w:rPr>
        <w:t>«Os cidadãos da União Europeia podem permanecer no território de Barbados pelo período máximo de 90 dias por cada período de 180 dias.»</w:t>
      </w:r>
    </w:p>
    <w:p>
      <w:pPr>
        <w:pStyle w:val="Point0number"/>
        <w:rPr>
          <w:noProof/>
        </w:rPr>
      </w:pPr>
      <w:r>
        <w:rPr>
          <w:noProof/>
        </w:rPr>
        <w:t>O artigo 4.º, n.º 2, passa a ter a seguinte redação:</w:t>
      </w:r>
    </w:p>
    <w:p>
      <w:pPr>
        <w:pStyle w:val="CM4"/>
        <w:spacing w:before="60" w:after="60"/>
        <w:ind w:left="850"/>
        <w:jc w:val="both"/>
        <w:rPr>
          <w:rFonts w:ascii="Times New Roman" w:hAnsi="Times New Roman"/>
          <w:noProof/>
          <w:color w:val="000000"/>
        </w:rPr>
      </w:pPr>
      <w:r>
        <w:rPr>
          <w:rFonts w:ascii="Times New Roman" w:hAnsi="Times New Roman"/>
          <w:noProof/>
          <w:color w:val="000000"/>
        </w:rPr>
        <w:t>«Os cidadãos de Barbados</w:t>
      </w:r>
      <w:r>
        <w:rPr>
          <w:noProof/>
        </w:rPr>
        <w:t xml:space="preserve"> </w:t>
      </w:r>
      <w:r>
        <w:rPr>
          <w:rFonts w:ascii="Times New Roman" w:hAnsi="Times New Roman"/>
          <w:noProof/>
          <w:color w:val="000000"/>
        </w:rPr>
        <w:t>podem permanecer no território dos Estados-Membros que apliquem integralmente o acervo de Schengen</w:t>
      </w:r>
      <w:r>
        <w:rPr>
          <w:rFonts w:ascii="Times New Roman" w:hAnsi="Times New Roman"/>
          <w:i/>
          <w:noProof/>
          <w:color w:val="000000"/>
        </w:rPr>
        <w:t xml:space="preserve"> </w:t>
      </w:r>
      <w:r>
        <w:rPr>
          <w:rFonts w:ascii="Times New Roman" w:hAnsi="Times New Roman"/>
          <w:noProof/>
          <w:color w:val="000000"/>
        </w:rPr>
        <w:t xml:space="preserve">por um período máximo de </w:t>
      </w:r>
      <w:r>
        <w:rPr>
          <w:rFonts w:ascii="Times New Roman" w:hAnsi="Times New Roman"/>
          <w:noProof/>
        </w:rPr>
        <w:t>90 dias num período de 180 dias</w:t>
      </w:r>
      <w:r>
        <w:rPr>
          <w:rFonts w:ascii="Times New Roman" w:hAnsi="Times New Roman"/>
          <w:noProof/>
          <w:color w:val="000000"/>
        </w:rPr>
        <w:t xml:space="preserve">. Esse período é calculado independentemente de qualquer estada num Estado-Membro que ainda não aplique integralmente o acervo de Schengen. </w:t>
      </w:r>
    </w:p>
    <w:p>
      <w:pPr>
        <w:ind w:left="850"/>
        <w:rPr>
          <w:noProof/>
          <w:szCs w:val="24"/>
        </w:rPr>
      </w:pPr>
      <w:r>
        <w:rPr>
          <w:noProof/>
        </w:rPr>
        <w:t>Os cidadãos de Barbados podem permanecer um período máximo de 90 dias num período de 180 dias no território de cada um dos Estados-Membros que ainda não aplique integralmente o acervo de Schengen, independentemente da duração da estada calculada para o território dos Estados-Membros que aplicam integralmente o acervo de Schengen.»</w:t>
      </w:r>
    </w:p>
    <w:p>
      <w:pPr>
        <w:pStyle w:val="Point0number"/>
        <w:rPr>
          <w:noProof/>
        </w:rPr>
      </w:pPr>
      <w:r>
        <w:rPr>
          <w:noProof/>
        </w:rPr>
        <w:t>No artigo 4.º, n.º 3, os termos «três meses» são substituídos pelos termos «90 dias» e o termo «Comunidade» é substituído pelo termo «União».</w:t>
      </w:r>
    </w:p>
    <w:p>
      <w:pPr>
        <w:pStyle w:val="Point0number"/>
        <w:rPr>
          <w:noProof/>
        </w:rPr>
      </w:pPr>
      <w:r>
        <w:rPr>
          <w:noProof/>
        </w:rPr>
        <w:t>No artigo 8.º, n.º 4, a última frase passa a ter a seguinte redação:</w:t>
      </w:r>
    </w:p>
    <w:p>
      <w:pPr>
        <w:pStyle w:val="CM4"/>
        <w:spacing w:before="60" w:after="60"/>
        <w:ind w:left="850"/>
        <w:jc w:val="both"/>
        <w:rPr>
          <w:rFonts w:ascii="Times New Roman" w:hAnsi="Times New Roman"/>
          <w:noProof/>
          <w:color w:val="000000"/>
        </w:rPr>
      </w:pPr>
      <w:r>
        <w:rPr>
          <w:rFonts w:ascii="Times New Roman" w:hAnsi="Times New Roman"/>
          <w:noProof/>
          <w:color w:val="000000"/>
        </w:rPr>
        <w:t>«A Parte Contratante que tiver suspendido a aplicação do presente Acordo informa imediatamente a outra Parte quando cessarem os motivos da suspensão e levanta a referida suspensão.»</w:t>
      </w:r>
    </w:p>
    <w:p>
      <w:pPr>
        <w:pStyle w:val="Titrearticle"/>
        <w:rPr>
          <w:noProof/>
        </w:rPr>
      </w:pPr>
      <w:r>
        <w:rPr>
          <w:noProof/>
        </w:rPr>
        <w:t>Artigo 2.º</w:t>
      </w:r>
    </w:p>
    <w:p>
      <w:pPr>
        <w:rPr>
          <w:noProof/>
          <w:szCs w:val="24"/>
        </w:rPr>
      </w:pPr>
      <w:r>
        <w:rPr>
          <w:noProof/>
        </w:rPr>
        <w:t>O presente Acordo é ratificado ou aprovado pelas Partes Contratantes em conformidade com os respetivos procedimentos internos e entra em vigor no primeiro dia do sexto mês seguinte à data em que a última Parte tiver notificado à outra a conclusão dos procedimentos acima referidos.</w:t>
      </w:r>
    </w:p>
    <w:p>
      <w:pPr>
        <w:rPr>
          <w:noProof/>
          <w:szCs w:val="24"/>
        </w:rPr>
      </w:pPr>
    </w:p>
    <w:p>
      <w:pPr>
        <w:rPr>
          <w:noProof/>
          <w:szCs w:val="24"/>
        </w:rPr>
      </w:pPr>
      <w:r>
        <w:rPr>
          <w:noProof/>
        </w:rPr>
        <w:t>Feito em [</w:t>
      </w:r>
      <w:r>
        <w:rPr>
          <w:noProof/>
          <w:highlight w:val="yellow"/>
        </w:rPr>
        <w:t>…</w:t>
      </w:r>
      <w:r>
        <w:rPr>
          <w:noProof/>
        </w:rPr>
        <w:t>], em [</w:t>
      </w:r>
      <w:r>
        <w:rPr>
          <w:noProof/>
          <w:highlight w:val="yellow"/>
        </w:rPr>
        <w:t>…</w:t>
      </w:r>
      <w:r>
        <w:rPr>
          <w:noProof/>
        </w:rPr>
        <w:t>] de [</w:t>
      </w:r>
      <w:r>
        <w:rPr>
          <w:noProof/>
          <w:highlight w:val="yellow"/>
        </w:rPr>
        <w:t>…</w:t>
      </w:r>
      <w:r>
        <w:rPr>
          <w:noProof/>
        </w:rPr>
        <w:t>] do ano dois mil e dezassete, em duplo exemplar, em língua alemã, búlgara, checa, croata, dinamarquesa, eslovaca, eslovena, espanhola, estónia, finlandesa, francesa, grega, húngara, inglesa, italiana, letã, lituana, maltesa, neerlandesa, polaca, portuguesa, romena e sueca, fazendo igualmente fé qualquer dos textos.</w:t>
      </w:r>
    </w:p>
    <w:p>
      <w:pPr>
        <w:rPr>
          <w:noProof/>
          <w:szCs w:val="24"/>
        </w:rPr>
      </w:pPr>
    </w:p>
    <w:p>
      <w:pPr>
        <w:rPr>
          <w:noProof/>
          <w:szCs w:val="24"/>
        </w:rPr>
      </w:pPr>
      <w:r>
        <w:rPr>
          <w:noProof/>
        </w:rPr>
        <w:t>Pela União Europeia</w:t>
      </w:r>
    </w:p>
    <w:p>
      <w:pPr>
        <w:rPr>
          <w:noProof/>
          <w:szCs w:val="24"/>
        </w:rPr>
      </w:pPr>
    </w:p>
    <w:p>
      <w:pPr>
        <w:rPr>
          <w:noProof/>
          <w:szCs w:val="24"/>
        </w:rPr>
      </w:pPr>
      <w:r>
        <w:rPr>
          <w:noProof/>
        </w:rPr>
        <w:t>Por Barbados</w:t>
      </w:r>
    </w:p>
    <w:p>
      <w:pPr>
        <w:rPr>
          <w:noProof/>
        </w:rPr>
      </w:pPr>
      <w:r>
        <w:rPr>
          <w:noProof/>
        </w:rPr>
        <w:br w:type="page"/>
      </w:r>
    </w:p>
    <w:p>
      <w:pPr>
        <w:rPr>
          <w:b/>
          <w:noProof/>
          <w:szCs w:val="24"/>
        </w:rPr>
      </w:pPr>
      <w:r>
        <w:rPr>
          <w:b/>
          <w:noProof/>
        </w:rPr>
        <w:lastRenderedPageBreak/>
        <w:t>DECLARAÇÃO CONJUNTA RELATIVA À ISLÂNDIA, À NORUEGA, À SUÍÇA E AO LIECHTENSTEIN</w:t>
      </w:r>
    </w:p>
    <w:p>
      <w:pPr>
        <w:rPr>
          <w:noProof/>
          <w:color w:val="000000"/>
          <w:szCs w:val="24"/>
        </w:rPr>
      </w:pPr>
      <w:r>
        <w:rPr>
          <w:noProof/>
          <w:color w:val="000000"/>
        </w:rPr>
        <w:t>É desejável que as autoridades da Noruega, da Islândia, da Suíça e do Liechtenstein, por um lado, e as autoridades de Barbados</w:t>
      </w:r>
      <w:r>
        <w:rPr>
          <w:noProof/>
        </w:rPr>
        <w:t xml:space="preserve">, </w:t>
      </w:r>
      <w:r>
        <w:rPr>
          <w:noProof/>
          <w:color w:val="000000"/>
        </w:rPr>
        <w:t>por outro, alterem, o mais rapidamente possível, os acordos bilaterais existentes sobre a isenção de vistos para as estadas de curta duração em termos idênticos aos do presente Acordo.</w:t>
      </w:r>
    </w:p>
    <w:p>
      <w:pPr>
        <w:rPr>
          <w:b/>
          <w:caps/>
          <w:noProof/>
          <w:szCs w:val="24"/>
        </w:rPr>
      </w:pPr>
      <w:r>
        <w:rPr>
          <w:b/>
          <w:caps/>
          <w:noProof/>
        </w:rPr>
        <w:t>Declaração conjunta relativa à interpretação do conceito de «período de 90 dias num período de 180 dias».</w:t>
      </w:r>
    </w:p>
    <w:p>
      <w:pPr>
        <w:rPr>
          <w:noProof/>
        </w:rPr>
      </w:pPr>
      <w:r>
        <w:rPr>
          <w:noProof/>
        </w:rPr>
        <w:t>As Partes Contratantes entendem que o período máximo de 90 dias num período de 180 dias, como previsto no artigo 4.º do Acordo, significa uma estada ininterrupta ou várias visitas consecutivas, cuja duração não exceda 90 dias por cada período de 180 dias no total.</w:t>
      </w:r>
    </w:p>
    <w:p>
      <w:pPr>
        <w:pStyle w:val="Default"/>
        <w:jc w:val="both"/>
        <w:rPr>
          <w:noProof/>
        </w:rPr>
      </w:pPr>
      <w:r>
        <w:rPr>
          <w:noProof/>
        </w:rPr>
        <w:t>A noção de «num período» implica a aplicação de um período de referência de 180 dias móvel, considerando retrospetivamente todos os dias da estada durante o último período de 180 dias, a fim de verificar se o requisito de 90 dias por cada período de 180 dias continua a ser respeitado. Tal significa, nomeadamente, que a ausência durante um período ininterrupto de 90 dias permite uma nova estada até 90 dias no máximo.</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0 15:19: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Yellow"/>
    <w:docVar w:name="DQCVersion" w:val="3"/>
    <w:docVar w:name="DQCWithWarnings" w:val="0"/>
    <w:docVar w:name="LW_ACCOMPAGNANT.CP" w:val="da"/>
    <w:docVar w:name="LW_ANNEX_NBR_FIRST" w:val="1"/>
    <w:docVar w:name="LW_ANNEX_NBR_LAST" w:val="1"/>
    <w:docVar w:name="LW_CONFIDENCE" w:val=" "/>
    <w:docVar w:name="LW_CONST_RESTREINT_UE" w:val="RESTREINT UE"/>
    <w:docVar w:name="LW_CORRIGENDUM" w:val="&lt;UNUSED&gt;"/>
    <w:docVar w:name="LW_COVERPAGE_GUID" w:val="16E90229CACD49D7B8A3B0916D2DBEDF"/>
    <w:docVar w:name="LW_CROSSREFERENCE" w:val="&lt;UNUSED&gt;"/>
    <w:docVar w:name="LW_DocType" w:val="ANNEX"/>
    <w:docVar w:name="LW_EMISSION" w:val="27.7.2017"/>
    <w:docVar w:name="LW_EMISSION_ISODATE" w:val="2017-07-27"/>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CP" w:val="relativa à celebração do Acordo entre a União Europeia e Barbados que altera o Acordo entre a Comunidade Europeia e Barbados sobre a isenção de vistos para as estadas de curta duração"/>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ANEX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A150-9D93-4464-AD9C-B23B87F3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965</Words>
  <Characters>4821</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8</cp:revision>
  <cp:lastPrinted>2017-07-07T08:59:00Z</cp:lastPrinted>
  <dcterms:created xsi:type="dcterms:W3CDTF">2017-07-10T13:19:00Z</dcterms:created>
  <dcterms:modified xsi:type="dcterms:W3CDTF">2017-07-26T14:47:00Z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