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996417402B2D4AE4B55C8EC0444C4681" style="width:450.75pt;height:411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MELLÉKLET</w:t>
      </w:r>
    </w:p>
    <w:p>
      <w:pPr>
        <w:pStyle w:val="Accompagnant"/>
        <w:rPr>
          <w:noProof/>
        </w:rPr>
      </w:pPr>
      <w:r>
        <w:rPr>
          <w:noProof/>
        </w:rPr>
        <w:t>a következőhöz:</w:t>
      </w:r>
    </w:p>
    <w:p>
      <w:pPr>
        <w:pStyle w:val="Typeacteprincipal"/>
        <w:rPr>
          <w:noProof/>
        </w:rPr>
      </w:pPr>
      <w:r>
        <w:rPr>
          <w:noProof/>
        </w:rPr>
        <w:t>Javaslat</w:t>
      </w:r>
      <w:r>
        <w:rPr>
          <w:noProof/>
        </w:rPr>
        <w:br/>
        <w:t>A TANÁCS HATÁROZATA</w:t>
      </w:r>
    </w:p>
    <w:p>
      <w:pPr>
        <w:pStyle w:val="Objetacteprincipal"/>
        <w:rPr>
          <w:noProof/>
        </w:rPr>
      </w:pPr>
      <w:r>
        <w:rPr>
          <w:noProof/>
        </w:rPr>
        <w:t>az Európai Unió és Barbados közötti, az Európai Közösség és Barbados közötti, a rövid távú tartózkodásra jogosító vízumok alóli mentességről szóló megállapodást módosító megállapodás megkötéséről</w:t>
      </w:r>
    </w:p>
    <w:p>
      <w:pPr>
        <w:spacing w:before="0" w:after="200" w:line="276" w:lineRule="auto"/>
        <w:jc w:val="left"/>
        <w:rPr>
          <w:b/>
          <w:noProof/>
          <w:szCs w:val="24"/>
        </w:rPr>
      </w:pPr>
      <w:r>
        <w:rPr>
          <w:noProof/>
        </w:rPr>
        <w:br w:type="page"/>
      </w:r>
    </w:p>
    <w:p>
      <w:pPr>
        <w:jc w:val="center"/>
        <w:rPr>
          <w:b/>
          <w:noProof/>
          <w:szCs w:val="24"/>
        </w:rPr>
      </w:pPr>
      <w:r>
        <w:rPr>
          <w:b/>
          <w:noProof/>
        </w:rPr>
        <w:lastRenderedPageBreak/>
        <w:t>MEGÁLLAPODÁS</w:t>
      </w:r>
    </w:p>
    <w:p>
      <w:pPr>
        <w:jc w:val="center"/>
        <w:rPr>
          <w:b/>
          <w:noProof/>
          <w:szCs w:val="24"/>
        </w:rPr>
      </w:pPr>
      <w:r>
        <w:rPr>
          <w:b/>
          <w:noProof/>
        </w:rPr>
        <w:t xml:space="preserve">az Európai Unió és </w:t>
      </w:r>
      <w:r>
        <w:rPr>
          <w:rStyle w:val="Strong"/>
          <w:noProof/>
        </w:rPr>
        <w:t>Barbados</w:t>
      </w:r>
      <w:r>
        <w:rPr>
          <w:b/>
          <w:noProof/>
        </w:rPr>
        <w:t xml:space="preserve"> között</w:t>
      </w:r>
      <w:r>
        <w:rPr>
          <w:b/>
          <w:noProof/>
        </w:rPr>
        <w:br/>
        <w:t xml:space="preserve">az Európai Közösség és </w:t>
      </w:r>
      <w:r>
        <w:rPr>
          <w:rStyle w:val="Strong"/>
          <w:noProof/>
        </w:rPr>
        <w:t>Barbados</w:t>
      </w:r>
      <w:r>
        <w:rPr>
          <w:b/>
          <w:noProof/>
        </w:rPr>
        <w:t xml:space="preserve"> közötti, a rövid távú tartózkodásra jogosító vízumok alóli mentességről szóló megállapodás módosításáról</w:t>
      </w:r>
    </w:p>
    <w:p>
      <w:pPr>
        <w:rPr>
          <w:noProof/>
          <w:szCs w:val="24"/>
        </w:rPr>
      </w:pPr>
      <w:r>
        <w:rPr>
          <w:noProof/>
        </w:rPr>
        <w:t>AZ EURÓPAI UNIÓ</w:t>
      </w:r>
    </w:p>
    <w:p>
      <w:pPr>
        <w:rPr>
          <w:noProof/>
          <w:szCs w:val="24"/>
        </w:rPr>
      </w:pPr>
      <w:r>
        <w:rPr>
          <w:noProof/>
        </w:rPr>
        <w:t xml:space="preserve">egyrészről, valamint </w:t>
      </w:r>
    </w:p>
    <w:p>
      <w:pPr>
        <w:rPr>
          <w:noProof/>
          <w:szCs w:val="24"/>
        </w:rPr>
      </w:pPr>
      <w:r>
        <w:rPr>
          <w:noProof/>
        </w:rPr>
        <w:t>BARBADOS</w:t>
      </w:r>
    </w:p>
    <w:p>
      <w:pPr>
        <w:rPr>
          <w:noProof/>
          <w:szCs w:val="24"/>
        </w:rPr>
      </w:pPr>
      <w:r>
        <w:rPr>
          <w:noProof/>
        </w:rPr>
        <w:t xml:space="preserve">másrészről, </w:t>
      </w:r>
    </w:p>
    <w:p>
      <w:pPr>
        <w:rPr>
          <w:noProof/>
          <w:szCs w:val="24"/>
        </w:rPr>
      </w:pPr>
      <w:r>
        <w:rPr>
          <w:noProof/>
        </w:rPr>
        <w:t>a továbbiakban együtt: a Szerződő Felek,</w:t>
      </w:r>
    </w:p>
    <w:p>
      <w:pPr>
        <w:rPr>
          <w:noProof/>
          <w:szCs w:val="24"/>
        </w:rPr>
      </w:pPr>
      <w:r>
        <w:rPr>
          <w:noProof/>
        </w:rPr>
        <w:t xml:space="preserve">TEKINTETTEL az Európai Közösség és </w:t>
      </w:r>
      <w:r>
        <w:rPr>
          <w:rStyle w:val="Strong"/>
          <w:b w:val="0"/>
          <w:noProof/>
        </w:rPr>
        <w:t>Barbados</w:t>
      </w:r>
      <w:r>
        <w:rPr>
          <w:noProof/>
        </w:rPr>
        <w:t xml:space="preserve"> közötti, a rövid távú tartózkodásra jogosító vízumok alóli mentességtől szóló megállapodásra (a továbbiakban: a megállapodás), amely 2010. március 1-jén lépett hatályba,</w:t>
      </w:r>
    </w:p>
    <w:p>
      <w:pPr>
        <w:rPr>
          <w:noProof/>
          <w:szCs w:val="24"/>
        </w:rPr>
      </w:pPr>
      <w:r>
        <w:rPr>
          <w:noProof/>
        </w:rPr>
        <w:t xml:space="preserve">MEGERŐSÍTVE az emberek közötti kapcsolatok elősegítésének jelentőségét, </w:t>
      </w:r>
    </w:p>
    <w:p>
      <w:pPr>
        <w:rPr>
          <w:noProof/>
          <w:szCs w:val="24"/>
        </w:rPr>
      </w:pPr>
      <w:r>
        <w:rPr>
          <w:noProof/>
        </w:rPr>
        <w:t>NYUGTÁZVA, hogy a megállapodás működése a Szerződő Felek állampolgárainak megelégedésére szolgál,</w:t>
      </w:r>
    </w:p>
    <w:p>
      <w:pPr>
        <w:rPr>
          <w:noProof/>
          <w:szCs w:val="24"/>
        </w:rPr>
      </w:pPr>
      <w:r>
        <w:rPr>
          <w:noProof/>
        </w:rPr>
        <w:t xml:space="preserve">FIGYELEMBE VÉVE, hogy a rövid távú tartózkodás megállapodásban foglalt meghatározása (az első beutazást követő hat hónapos időtartam során legfeljebb három hónap) nem elég pontos, és különösen az „első beutazás” fogalma kapcsán kételyek vagy kérdések merülhetnek fel, </w:t>
      </w:r>
    </w:p>
    <w:p>
      <w:pPr>
        <w:rPr>
          <w:noProof/>
          <w:szCs w:val="24"/>
        </w:rPr>
      </w:pPr>
      <w:r>
        <w:rPr>
          <w:noProof/>
        </w:rPr>
        <w:t xml:space="preserve">SZEM ELŐTT TARTVA, hogy a 2013. június 26-i 610/2013/EU rendelet horizontális változásokat vezetett be az EU vízumügyi és határigazgatási „belső” vívmányai terén, és a rövid távú tartózkodást „bármely 180 napos időszakban legfeljebb 90 napban” határozta meg, </w:t>
      </w:r>
    </w:p>
    <w:p>
      <w:pPr>
        <w:rPr>
          <w:noProof/>
          <w:szCs w:val="24"/>
        </w:rPr>
      </w:pPr>
      <w:r>
        <w:rPr>
          <w:noProof/>
        </w:rPr>
        <w:t>FIGYELEMBE VÉVE, hogy az Európai Unió által létrehozandó határregisztrációs rendszer szükségessé teszi a rövid távú tartózkodás egységes és egyértelmű, valamennyi harmadik országbeli állampolgárra alkalmazandó meghatározását,</w:t>
      </w:r>
    </w:p>
    <w:p>
      <w:pPr>
        <w:rPr>
          <w:noProof/>
          <w:szCs w:val="24"/>
        </w:rPr>
      </w:pPr>
      <w:r>
        <w:rPr>
          <w:noProof/>
        </w:rPr>
        <w:t>AZZAL AZ ÓHAJJAL, hogy a Szerződő Felek határátkelőhelyein biztosítsák a zökkenőmentes utasforgalmat,</w:t>
      </w:r>
    </w:p>
    <w:p>
      <w:pPr>
        <w:rPr>
          <w:noProof/>
          <w:szCs w:val="24"/>
        </w:rPr>
      </w:pPr>
      <w:r>
        <w:rPr>
          <w:noProof/>
        </w:rPr>
        <w:t>MEGERŐSÍTVE, hogy a megállapodás hatálya az Egyesült Királyság és Írország kivételével az Európai Unió valamennyi tagállamának állampolgáraira kiterjed,</w:t>
      </w:r>
    </w:p>
    <w:p>
      <w:pPr>
        <w:rPr>
          <w:noProof/>
          <w:szCs w:val="24"/>
        </w:rPr>
      </w:pPr>
      <w:r>
        <w:rPr>
          <w:noProof/>
        </w:rPr>
        <w:t xml:space="preserve">FIGYELEMBE VÉVE az Európai Unióról szóló szerződéshez és az Európai Unió működéséről szóló szerződéshez csatolt, az Egyesült Királyságnak és Írországnak a szabadságon, a biztonságon és a jog érvényesülésén alapuló térség tekintetében fennálló helyzetéről szóló jegyzőkönyvet, valamint az Európai Unió keretébe beillesztett schengeni vívmányokról szóló jegyzőkönyvet, és megerősítve, hogy e megállapodás rendelkezései az Egyesült Királyságra és Írországra nem alkalmazandók, </w:t>
      </w:r>
    </w:p>
    <w:p>
      <w:pPr>
        <w:rPr>
          <w:noProof/>
          <w:szCs w:val="24"/>
        </w:rPr>
      </w:pPr>
      <w:r>
        <w:rPr>
          <w:noProof/>
        </w:rPr>
        <w:t>A KÖVETKEZŐKÉPPEN ÁLLAPODTAK MEG:</w:t>
      </w:r>
    </w:p>
    <w:p>
      <w:pPr>
        <w:pStyle w:val="Titrearticle"/>
        <w:rPr>
          <w:noProof/>
        </w:rPr>
      </w:pPr>
      <w:r>
        <w:rPr>
          <w:noProof/>
        </w:rPr>
        <w:t>1. cikk</w:t>
      </w:r>
    </w:p>
    <w:p>
      <w:pPr>
        <w:rPr>
          <w:noProof/>
          <w:szCs w:val="24"/>
        </w:rPr>
      </w:pPr>
      <w:r>
        <w:rPr>
          <w:noProof/>
        </w:rPr>
        <w:t>A megállapodás e cikk rendelkezéseinek megfelelően módosul:</w:t>
      </w:r>
    </w:p>
    <w:p>
      <w:pPr>
        <w:pStyle w:val="Point0number"/>
        <w:numPr>
          <w:ilvl w:val="0"/>
          <w:numId w:val="8"/>
        </w:numPr>
        <w:spacing w:after="240"/>
        <w:ind w:left="851" w:hanging="851"/>
        <w:rPr>
          <w:noProof/>
        </w:rPr>
      </w:pPr>
      <w:r>
        <w:rPr>
          <w:noProof/>
        </w:rPr>
        <w:lastRenderedPageBreak/>
        <w:t>A címben és a 6. cikk (1) bekezdésében a „Közösség” szó helyébe az „Unió” szó lép, a 3. cikk (5) bekezdésében a „közösségi” szó helyébe az „uniós” szó lép, valamint a 8. cikk (7) bekezdésében az „A Közösség” szövegrész helyébe az „Az Unió” szövegrész lép.</w:t>
      </w:r>
    </w:p>
    <w:p>
      <w:pPr>
        <w:pStyle w:val="Point0number"/>
        <w:numPr>
          <w:ilvl w:val="0"/>
          <w:numId w:val="7"/>
        </w:numPr>
        <w:spacing w:after="240"/>
        <w:ind w:left="851" w:hanging="851"/>
        <w:rPr>
          <w:noProof/>
        </w:rPr>
      </w:pPr>
      <w:r>
        <w:rPr>
          <w:noProof/>
        </w:rPr>
        <w:t>Az 1. cikkben a „hat hónapos időtartam alatt legfeljebb három hónapig” szövegrész helyébe a „bármely 180 napos időszakban legfeljebb 90 napig” szövegrész lép.</w:t>
      </w:r>
    </w:p>
    <w:p>
      <w:pPr>
        <w:pStyle w:val="Point0number"/>
        <w:numPr>
          <w:ilvl w:val="0"/>
          <w:numId w:val="7"/>
        </w:numPr>
        <w:rPr>
          <w:noProof/>
        </w:rPr>
      </w:pPr>
      <w:r>
        <w:rPr>
          <w:noProof/>
        </w:rPr>
        <w:t>A 4. cikk (1) bekezdésének helyébe a következő szöveg lép:</w:t>
      </w:r>
    </w:p>
    <w:p>
      <w:pPr>
        <w:ind w:left="850"/>
        <w:rPr>
          <w:noProof/>
          <w:szCs w:val="24"/>
        </w:rPr>
      </w:pPr>
      <w:r>
        <w:rPr>
          <w:noProof/>
        </w:rPr>
        <w:t>„Az Európai Unió polgárai bármely 180 napos időszakban legfeljebb 90 napig tartózkodhatnak Barbados területén.”</w:t>
      </w:r>
    </w:p>
    <w:p>
      <w:pPr>
        <w:pStyle w:val="Point0number"/>
        <w:rPr>
          <w:noProof/>
        </w:rPr>
      </w:pPr>
      <w:r>
        <w:rPr>
          <w:noProof/>
        </w:rPr>
        <w:t>A 4. cikk (2) bekezdésének helyébe a következő szöveg lép:</w:t>
      </w:r>
    </w:p>
    <w:p>
      <w:pPr>
        <w:pStyle w:val="CM4"/>
        <w:spacing w:before="60" w:after="60"/>
        <w:ind w:left="850"/>
        <w:jc w:val="both"/>
        <w:rPr>
          <w:rFonts w:ascii="Times New Roman" w:hAnsi="Times New Roman"/>
          <w:noProof/>
          <w:color w:val="000000"/>
        </w:rPr>
      </w:pPr>
      <w:r>
        <w:rPr>
          <w:rFonts w:ascii="Times New Roman" w:hAnsi="Times New Roman"/>
          <w:noProof/>
          <w:color w:val="000000"/>
        </w:rPr>
        <w:t xml:space="preserve">„Barbados állampolgárai bármely 180 napos időszakban legfeljebb 90 napig tartózkodhatnak a schengeni vívmányokat teljeskörűen alkalmazó tagállamok területén. Ez az időtartam a schengeni vívmányokat még nem teljeskörűen alkalmazó tagállamok területén történő tartózkodástól függetlenül számítandó. </w:t>
      </w:r>
    </w:p>
    <w:p>
      <w:pPr>
        <w:ind w:left="850"/>
        <w:rPr>
          <w:noProof/>
          <w:szCs w:val="24"/>
        </w:rPr>
      </w:pPr>
      <w:r>
        <w:rPr>
          <w:noProof/>
        </w:rPr>
        <w:t>Barbados állampolgárai bármely 180 napos időszakban legfeljebb 90 napig tartózkodhatnak minden egyes, a schengeni vívmányokat még nem teljeskörűen alkalmazó tagállam területén, a schengeni vívmányokat teljeskörűen alkalmazó tagállamok területén való tartózkodásra számított időtartamtól függetlenül.”</w:t>
      </w:r>
    </w:p>
    <w:p>
      <w:pPr>
        <w:pStyle w:val="Point0number"/>
        <w:rPr>
          <w:noProof/>
        </w:rPr>
      </w:pPr>
      <w:r>
        <w:rPr>
          <w:noProof/>
        </w:rPr>
        <w:t>A 4. cikk (3) bekezdésében a „három hónapot” szövegrész helyébe a „90 napot” szövegrész lép, valamint a „közösségi” szó helyébe az „uniós” szó lép.</w:t>
      </w:r>
    </w:p>
    <w:p>
      <w:pPr>
        <w:pStyle w:val="Point0number"/>
        <w:rPr>
          <w:noProof/>
        </w:rPr>
      </w:pPr>
      <w:r>
        <w:rPr>
          <w:noProof/>
        </w:rPr>
        <w:t>A 8. cikk (4) bekezdésének utolsó mondata helyébe a következő szöveg lép:</w:t>
      </w:r>
    </w:p>
    <w:p>
      <w:pPr>
        <w:pStyle w:val="CM4"/>
        <w:spacing w:before="60" w:after="60"/>
        <w:ind w:left="850"/>
        <w:jc w:val="both"/>
        <w:rPr>
          <w:rFonts w:ascii="Times New Roman" w:hAnsi="Times New Roman"/>
          <w:noProof/>
          <w:color w:val="000000"/>
        </w:rPr>
      </w:pPr>
      <w:r>
        <w:rPr>
          <w:rFonts w:ascii="Times New Roman" w:hAnsi="Times New Roman"/>
          <w:noProof/>
          <w:color w:val="000000"/>
        </w:rPr>
        <w:t>„Az e megállapodás alkalmazását felfüggesztő Szerződő Fél haladéktalanul tájékoztatja a másik Szerződő Felet, amennyiben a felfüggesztés okai megszűntek, valamint megszünteti a felfüggesztést.”</w:t>
      </w:r>
    </w:p>
    <w:p>
      <w:pPr>
        <w:pStyle w:val="Titrearticle"/>
        <w:rPr>
          <w:noProof/>
        </w:rPr>
      </w:pPr>
      <w:r>
        <w:rPr>
          <w:noProof/>
        </w:rPr>
        <w:t>2. cikk</w:t>
      </w:r>
    </w:p>
    <w:p>
      <w:pPr>
        <w:rPr>
          <w:noProof/>
          <w:szCs w:val="24"/>
        </w:rPr>
      </w:pPr>
      <w:r>
        <w:rPr>
          <w:noProof/>
        </w:rPr>
        <w:t>E megállapodást a Szerződő Felek saját belső eljárásaikkal összhangban erősítik meg vagy hagyják jóvá, és e megállapodás azt a napot követő hatodik hónap első napján lép hatályba, amikor az utolsó Fél értesíti a másik Felet arról, hogy az említett eljárások befejeződtek.</w:t>
      </w:r>
    </w:p>
    <w:p>
      <w:pPr>
        <w:rPr>
          <w:noProof/>
          <w:szCs w:val="24"/>
        </w:rPr>
      </w:pPr>
    </w:p>
    <w:p>
      <w:pPr>
        <w:rPr>
          <w:noProof/>
          <w:szCs w:val="24"/>
        </w:rPr>
      </w:pPr>
      <w:r>
        <w:rPr>
          <w:noProof/>
        </w:rPr>
        <w:t>Kelt [</w:t>
      </w:r>
      <w:r>
        <w:rPr>
          <w:noProof/>
          <w:highlight w:val="yellow"/>
        </w:rPr>
        <w:t>…</w:t>
      </w:r>
      <w:r>
        <w:rPr>
          <w:noProof/>
        </w:rPr>
        <w:t>]-ban/-ben, a kétezer-tizenhetedik év [</w:t>
      </w:r>
      <w:r>
        <w:rPr>
          <w:noProof/>
          <w:highlight w:val="yellow"/>
        </w:rPr>
        <w:t>…</w:t>
      </w:r>
      <w:r>
        <w:rPr>
          <w:noProof/>
        </w:rPr>
        <w:t>] havának [</w:t>
      </w:r>
      <w:r>
        <w:rPr>
          <w:noProof/>
          <w:highlight w:val="yellow"/>
        </w:rPr>
        <w:t>…</w:t>
      </w:r>
      <w:r>
        <w:rPr>
          <w:noProof/>
        </w:rPr>
        <w:t>] napján két-két eredeti példányban angol, bolgár, cseh, dán, észt, finn, francia, görög, holland, horvát, lengyel, lett, litván, magyar, máltai, német, olasz, portugál, román, spanyol, svéd, szlovák, valamint szlovén nyelven, amely szövegek mindegyike egyaránt hiteles.</w:t>
      </w:r>
    </w:p>
    <w:p>
      <w:pPr>
        <w:rPr>
          <w:noProof/>
          <w:szCs w:val="24"/>
        </w:rPr>
      </w:pPr>
    </w:p>
    <w:p>
      <w:pPr>
        <w:rPr>
          <w:noProof/>
          <w:szCs w:val="24"/>
        </w:rPr>
      </w:pPr>
      <w:r>
        <w:rPr>
          <w:noProof/>
        </w:rPr>
        <w:t>az Európai Unió részéről</w:t>
      </w:r>
    </w:p>
    <w:p>
      <w:pPr>
        <w:rPr>
          <w:noProof/>
          <w:szCs w:val="24"/>
        </w:rPr>
      </w:pPr>
    </w:p>
    <w:p>
      <w:pPr>
        <w:rPr>
          <w:noProof/>
          <w:szCs w:val="24"/>
        </w:rPr>
      </w:pPr>
      <w:r>
        <w:rPr>
          <w:noProof/>
        </w:rPr>
        <w:t>Barbados részéről</w:t>
      </w:r>
    </w:p>
    <w:p>
      <w:pPr>
        <w:rPr>
          <w:noProof/>
        </w:rPr>
      </w:pPr>
      <w:r>
        <w:rPr>
          <w:noProof/>
        </w:rPr>
        <w:br w:type="page"/>
      </w:r>
    </w:p>
    <w:p>
      <w:pPr>
        <w:rPr>
          <w:b/>
          <w:noProof/>
          <w:szCs w:val="24"/>
        </w:rPr>
      </w:pPr>
      <w:r>
        <w:rPr>
          <w:b/>
          <w:noProof/>
        </w:rPr>
        <w:lastRenderedPageBreak/>
        <w:t>EGYÜTTES NYILATKOZAT IZLANDRÓL, NORVÉGIÁRÓL, SVÁJCRÓL ÉS LIECHTENSTEINRŐL</w:t>
      </w:r>
    </w:p>
    <w:p>
      <w:pPr>
        <w:rPr>
          <w:noProof/>
          <w:color w:val="000000"/>
          <w:szCs w:val="24"/>
        </w:rPr>
      </w:pPr>
      <w:r>
        <w:rPr>
          <w:noProof/>
        </w:rPr>
        <w:t>Kívánatos, hogy egyrészről Norvégia, Izland, Svájc és Liechtenstein, másrészről Barbados hatóságai a jelen megállapodásban foglalt feltételeknek megfelelően haladéktalanul módosítsák a rövid távú tartózkodásra vonatkozó vízumok alóli mentességről szóló, hatályos kétoldalú megállapodásokat.</w:t>
      </w:r>
    </w:p>
    <w:p>
      <w:pPr>
        <w:rPr>
          <w:b/>
          <w:caps/>
          <w:noProof/>
          <w:szCs w:val="24"/>
        </w:rPr>
      </w:pPr>
      <w:r>
        <w:rPr>
          <w:b/>
          <w:caps/>
          <w:noProof/>
        </w:rPr>
        <w:t>Együttes nyilatkozat a bármely 180 napos időszakban legfeljebb 90 nap értelmezéséről</w:t>
      </w:r>
    </w:p>
    <w:p>
      <w:pPr>
        <w:rPr>
          <w:noProof/>
        </w:rPr>
      </w:pPr>
      <w:r>
        <w:rPr>
          <w:noProof/>
        </w:rPr>
        <w:t>A Szerződő Felek egyetértenek abban, hogy a megállapodás 4. cikkében rögzített, bármely 180 napos időszakban legfeljebb 90 napos időtartam folyamatos tartózkodást vagy több egymást követő látogatást jelent, amelyek időtartama bármely 180 napos időszakban összességében nem haladja meg a 90 napot.</w:t>
      </w:r>
    </w:p>
    <w:p>
      <w:pPr>
        <w:pStyle w:val="Default"/>
        <w:jc w:val="both"/>
        <w:rPr>
          <w:noProof/>
        </w:rPr>
      </w:pPr>
      <w:r>
        <w:rPr>
          <w:noProof/>
        </w:rPr>
        <w:t>A „bármely” kifejezés folyamatosan aktualizált 180 napos referencia-időszak alkalmazására utal: a tartózkodás minden napján a megelőző 180 napos időszakra visszatekintve ellenőrzik, hogy továbbra is teljesül-e a bármely 180 napos időszakban 90 napra vonatkozó követelmény. Ez többek között azt jelenti, hogy egy megszakítás nélküli 90 napos távollét legfeljebb 90 napos új tartózkodást tesz lehetővé.</w:t>
      </w:r>
    </w:p>
    <w:p>
      <w:pPr>
        <w:jc w:val="center"/>
        <w:rPr>
          <w:b/>
          <w:noProof/>
          <w:szCs w:val="24"/>
        </w:rPr>
      </w:pPr>
      <w:r>
        <w:rPr>
          <w:b/>
          <w:noProof/>
        </w:rPr>
        <w:t>________</w:t>
      </w:r>
    </w:p>
    <w:p>
      <w:pPr>
        <w:spacing w:after="100" w:afterAutospacing="1"/>
        <w:ind w:left="-284"/>
        <w:rPr>
          <w:noProof/>
        </w:rPr>
      </w:pPr>
    </w:p>
    <w:p>
      <w:pPr>
        <w:rPr>
          <w:noProof/>
        </w:rPr>
      </w:pP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288E190"/>
    <w:lvl w:ilvl="0">
      <w:start w:val="1"/>
      <w:numFmt w:val="decimal"/>
      <w:pStyle w:val="ListNumber3"/>
      <w:lvlText w:val="%1."/>
      <w:lvlJc w:val="left"/>
      <w:pPr>
        <w:tabs>
          <w:tab w:val="num" w:pos="926"/>
        </w:tabs>
        <w:ind w:left="926" w:hanging="360"/>
      </w:pPr>
    </w:lvl>
  </w:abstractNum>
  <w:abstractNum w:abstractNumId="1">
    <w:nsid w:val="FFFFFF7F"/>
    <w:multiLevelType w:val="singleLevel"/>
    <w:tmpl w:val="C36823CA"/>
    <w:lvl w:ilvl="0">
      <w:start w:val="1"/>
      <w:numFmt w:val="decimal"/>
      <w:pStyle w:val="ListNumber2"/>
      <w:lvlText w:val="%1."/>
      <w:lvlJc w:val="left"/>
      <w:pPr>
        <w:tabs>
          <w:tab w:val="num" w:pos="643"/>
        </w:tabs>
        <w:ind w:left="643" w:hanging="360"/>
      </w:pPr>
    </w:lvl>
  </w:abstractNum>
  <w:abstractNum w:abstractNumId="2">
    <w:nsid w:val="FFFFFF81"/>
    <w:multiLevelType w:val="singleLevel"/>
    <w:tmpl w:val="534CE0E8"/>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EB1AC42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4AAC2084"/>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304AD8AA"/>
    <w:lvl w:ilvl="0">
      <w:start w:val="1"/>
      <w:numFmt w:val="decimal"/>
      <w:pStyle w:val="ListNumber"/>
      <w:lvlText w:val="%1."/>
      <w:lvlJc w:val="left"/>
      <w:pPr>
        <w:tabs>
          <w:tab w:val="num" w:pos="360"/>
        </w:tabs>
        <w:ind w:left="360" w:hanging="360"/>
      </w:pPr>
    </w:lvl>
  </w:abstractNum>
  <w:abstractNum w:abstractNumId="6">
    <w:nsid w:val="FFFFFF89"/>
    <w:multiLevelType w:val="singleLevel"/>
    <w:tmpl w:val="F31619C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14"/>
  </w:num>
  <w:num w:numId="6">
    <w:abstractNumId w:val="15"/>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0"/>
  </w:num>
  <w:num w:numId="12">
    <w:abstractNumId w:val="19"/>
  </w:num>
  <w:num w:numId="13">
    <w:abstractNumId w:val="11"/>
  </w:num>
  <w:num w:numId="14">
    <w:abstractNumId w:val="21"/>
  </w:num>
  <w:num w:numId="15">
    <w:abstractNumId w:val="10"/>
  </w:num>
  <w:num w:numId="16">
    <w:abstractNumId w:val="12"/>
  </w:num>
  <w:num w:numId="17">
    <w:abstractNumId w:val="8"/>
  </w:num>
  <w:num w:numId="18">
    <w:abstractNumId w:val="20"/>
  </w:num>
  <w:num w:numId="19">
    <w:abstractNumId w:val="7"/>
  </w:num>
  <w:num w:numId="20">
    <w:abstractNumId w:val="13"/>
  </w:num>
  <w:num w:numId="21">
    <w:abstractNumId w:val="17"/>
  </w:num>
  <w:num w:numId="22">
    <w:abstractNumId w:val="18"/>
  </w:num>
  <w:num w:numId="23">
    <w:abstractNumId w:val="9"/>
  </w:num>
  <w:num w:numId="24">
    <w:abstractNumId w:val="1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7-26 16:49:0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3"/>
    <w:docVar w:name="DQCStatus" w:val="Green"/>
    <w:docVar w:name="DQCVersion" w:val="3"/>
    <w:docVar w:name="DQCWithWarnings" w:val="0"/>
    <w:docVar w:name="LW_ACCOMPAGNANT.CP" w:val="a következ\u337?höz:"/>
    <w:docVar w:name="LW_ANNEX_NBR_FIRST" w:val="1"/>
    <w:docVar w:name="LW_ANNEX_NBR_LAST" w:val="1"/>
    <w:docVar w:name="LW_CONFIDENCE" w:val=" "/>
    <w:docVar w:name="LW_CONST_RESTREINT_UE" w:val="RESTREINT UE"/>
    <w:docVar w:name="LW_CORRIGENDUM" w:val="&lt;UNUSED&gt;"/>
    <w:docVar w:name="LW_COVERPAGE_GUID" w:val="996417402B2D4AE4B55C8EC0444C4681"/>
    <w:docVar w:name="LW_CROSSREFERENCE" w:val="&lt;UNUSED&gt;"/>
    <w:docVar w:name="LW_DocType" w:val="ANNEX"/>
    <w:docVar w:name="LW_EMISSION" w:val="2017.7.27."/>
    <w:docVar w:name="LW_EMISSION_ISODATE" w:val="2017-07-27"/>
    <w:docVar w:name="LW_EMISSION_LOCATION" w:val="BRX"/>
    <w:docVar w:name="LW_EMISSION_PREFIX" w:val="Brüsszel, "/>
    <w:docVar w:name="LW_EMISSION_SUFFIX" w:val=" "/>
    <w:docVar w:name="LW_ID_DOCSTRUCTURE" w:val="COM/ANNEX"/>
    <w:docVar w:name="LW_ID_DOCTYPE" w:val="SG-017"/>
    <w:docVar w:name="LW_LANGUE" w:val="HU"/>
    <w:docVar w:name="LW_MARKING" w:val="&lt;UNUSED&gt;"/>
    <w:docVar w:name="LW_NOM.INST" w:val="EURÓPAI BIZOTTSÁG"/>
    <w:docVar w:name="LW_NOM.INST_JOINTDOC" w:val="&lt;EMPTY&gt;"/>
    <w:docVar w:name="LW_OBJETACTEPRINCIPAL.CP" w:val="az Európai Unió és Barbados közötti, az Európai Közösség és Barbados közötti, a rövid távú tartózkodásra jogosító vízumok alóli mentességr\u337?l szóló megállapodást módosító megállapodás megkötésér\u337?l"/>
    <w:docVar w:name="LW_PART_NBR" w:val="1"/>
    <w:docVar w:name="LW_PART_NBR_TOTAL" w:val="1"/>
    <w:docVar w:name="LW_REF.INST.NEW" w:val="COM"/>
    <w:docVar w:name="LW_REF.INST.NEW_ADOPTED" w:val="final"/>
    <w:docVar w:name="LW_REF.INST.NEW_TEXT" w:val="(2017) 402"/>
    <w:docVar w:name="LW_REF.INTERNE" w:val="&lt;UNUSED&gt;"/>
    <w:docVar w:name="LW_SUPERTITRE" w:val="&lt;UNUSED&gt;"/>
    <w:docVar w:name="LW_TITRE.OBJ.CP" w:val="&lt;UNUSED&gt;"/>
    <w:docVar w:name="LW_TYPE.DOC.CP" w:val="MELLÉKLET"/>
    <w:docVar w:name="LW_TYPEACTEPRINCIPAL.CP" w:val="Javaslat_x000b_A TANÁCS HATÁROZATA"/>
  </w:docVar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Text4"/>
    <w:pPr>
      <w:numPr>
        <w:numId w:val="6"/>
      </w:numPr>
      <w:spacing w:before="0" w:after="240"/>
    </w:pPr>
    <w:rPr>
      <w:rFonts w:eastAsia="Times New Roman"/>
      <w:szCs w:val="20"/>
    </w:rPr>
  </w:style>
  <w:style w:type="paragraph" w:customStyle="1" w:styleId="ListNumber1">
    <w:name w:val="List Number 1"/>
    <w:basedOn w:val="Text1"/>
    <w:pPr>
      <w:numPr>
        <w:numId w:val="5"/>
      </w:numPr>
      <w:spacing w:before="0" w:after="240"/>
    </w:pPr>
    <w:rPr>
      <w:rFonts w:eastAsia="Times New Roman"/>
      <w:szCs w:val="20"/>
    </w:rPr>
  </w:style>
  <w:style w:type="paragraph" w:customStyle="1" w:styleId="ListNumber1Level2">
    <w:name w:val="List Number 1 (Level 2)"/>
    <w:basedOn w:val="Text1"/>
    <w:pPr>
      <w:numPr>
        <w:ilvl w:val="1"/>
        <w:numId w:val="5"/>
      </w:numPr>
      <w:spacing w:before="0" w:after="240"/>
    </w:pPr>
    <w:rPr>
      <w:rFonts w:eastAsia="Times New Roman"/>
      <w:szCs w:val="20"/>
    </w:rPr>
  </w:style>
  <w:style w:type="paragraph" w:customStyle="1" w:styleId="ListNumber1Level3">
    <w:name w:val="List Number 1 (Level 3)"/>
    <w:basedOn w:val="Text1"/>
    <w:pPr>
      <w:numPr>
        <w:ilvl w:val="2"/>
        <w:numId w:val="5"/>
      </w:numPr>
      <w:spacing w:before="0" w:after="240"/>
    </w:pPr>
    <w:rPr>
      <w:rFonts w:eastAsia="Times New Roman"/>
      <w:szCs w:val="20"/>
    </w:rPr>
  </w:style>
  <w:style w:type="paragraph" w:customStyle="1" w:styleId="ListNumber1Level4">
    <w:name w:val="List Number 1 (Level 4)"/>
    <w:basedOn w:val="Text1"/>
    <w:pPr>
      <w:numPr>
        <w:ilvl w:val="3"/>
        <w:numId w:val="5"/>
      </w:numPr>
      <w:spacing w:before="0" w:after="240"/>
    </w:pPr>
    <w:rPr>
      <w:rFonts w:eastAsia="Times New Roman"/>
      <w:szCs w:val="20"/>
    </w:rPr>
  </w:style>
  <w:style w:type="paragraph" w:customStyle="1" w:styleId="ListNumber4Level2">
    <w:name w:val="List Number 4 (Level 2)"/>
    <w:basedOn w:val="Text4"/>
    <w:pPr>
      <w:numPr>
        <w:ilvl w:val="1"/>
        <w:numId w:val="6"/>
      </w:numPr>
      <w:spacing w:before="0" w:after="240"/>
    </w:pPr>
    <w:rPr>
      <w:rFonts w:eastAsia="Times New Roman"/>
      <w:szCs w:val="20"/>
    </w:rPr>
  </w:style>
  <w:style w:type="paragraph" w:customStyle="1" w:styleId="ListNumber4Level3">
    <w:name w:val="List Number 4 (Level 3)"/>
    <w:basedOn w:val="Text4"/>
    <w:pPr>
      <w:numPr>
        <w:ilvl w:val="2"/>
        <w:numId w:val="6"/>
      </w:numPr>
      <w:spacing w:before="0" w:after="240"/>
    </w:pPr>
    <w:rPr>
      <w:rFonts w:eastAsia="Times New Roman"/>
      <w:szCs w:val="20"/>
    </w:rPr>
  </w:style>
  <w:style w:type="paragraph" w:customStyle="1" w:styleId="ListNumber4Level4">
    <w:name w:val="List Number 4 (Level 4)"/>
    <w:basedOn w:val="Text4"/>
    <w:pPr>
      <w:numPr>
        <w:ilvl w:val="3"/>
        <w:numId w:val="6"/>
      </w:numPr>
      <w:spacing w:before="0" w:after="240"/>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4">
    <w:name w:val="List Number 4"/>
    <w:basedOn w:val="Text4"/>
    <w:pPr>
      <w:numPr>
        <w:numId w:val="6"/>
      </w:numPr>
      <w:spacing w:before="0" w:after="240"/>
    </w:pPr>
    <w:rPr>
      <w:rFonts w:eastAsia="Times New Roman"/>
      <w:szCs w:val="20"/>
    </w:rPr>
  </w:style>
  <w:style w:type="paragraph" w:customStyle="1" w:styleId="ListNumber1">
    <w:name w:val="List Number 1"/>
    <w:basedOn w:val="Text1"/>
    <w:pPr>
      <w:numPr>
        <w:numId w:val="5"/>
      </w:numPr>
      <w:spacing w:before="0" w:after="240"/>
    </w:pPr>
    <w:rPr>
      <w:rFonts w:eastAsia="Times New Roman"/>
      <w:szCs w:val="20"/>
    </w:rPr>
  </w:style>
  <w:style w:type="paragraph" w:customStyle="1" w:styleId="ListNumber1Level2">
    <w:name w:val="List Number 1 (Level 2)"/>
    <w:basedOn w:val="Text1"/>
    <w:pPr>
      <w:numPr>
        <w:ilvl w:val="1"/>
        <w:numId w:val="5"/>
      </w:numPr>
      <w:spacing w:before="0" w:after="240"/>
    </w:pPr>
    <w:rPr>
      <w:rFonts w:eastAsia="Times New Roman"/>
      <w:szCs w:val="20"/>
    </w:rPr>
  </w:style>
  <w:style w:type="paragraph" w:customStyle="1" w:styleId="ListNumber1Level3">
    <w:name w:val="List Number 1 (Level 3)"/>
    <w:basedOn w:val="Text1"/>
    <w:pPr>
      <w:numPr>
        <w:ilvl w:val="2"/>
        <w:numId w:val="5"/>
      </w:numPr>
      <w:spacing w:before="0" w:after="240"/>
    </w:pPr>
    <w:rPr>
      <w:rFonts w:eastAsia="Times New Roman"/>
      <w:szCs w:val="20"/>
    </w:rPr>
  </w:style>
  <w:style w:type="paragraph" w:customStyle="1" w:styleId="ListNumber1Level4">
    <w:name w:val="List Number 1 (Level 4)"/>
    <w:basedOn w:val="Text1"/>
    <w:pPr>
      <w:numPr>
        <w:ilvl w:val="3"/>
        <w:numId w:val="5"/>
      </w:numPr>
      <w:spacing w:before="0" w:after="240"/>
    </w:pPr>
    <w:rPr>
      <w:rFonts w:eastAsia="Times New Roman"/>
      <w:szCs w:val="20"/>
    </w:rPr>
  </w:style>
  <w:style w:type="paragraph" w:customStyle="1" w:styleId="ListNumber4Level2">
    <w:name w:val="List Number 4 (Level 2)"/>
    <w:basedOn w:val="Text4"/>
    <w:pPr>
      <w:numPr>
        <w:ilvl w:val="1"/>
        <w:numId w:val="6"/>
      </w:numPr>
      <w:spacing w:before="0" w:after="240"/>
    </w:pPr>
    <w:rPr>
      <w:rFonts w:eastAsia="Times New Roman"/>
      <w:szCs w:val="20"/>
    </w:rPr>
  </w:style>
  <w:style w:type="paragraph" w:customStyle="1" w:styleId="ListNumber4Level3">
    <w:name w:val="List Number 4 (Level 3)"/>
    <w:basedOn w:val="Text4"/>
    <w:pPr>
      <w:numPr>
        <w:ilvl w:val="2"/>
        <w:numId w:val="6"/>
      </w:numPr>
      <w:spacing w:before="0" w:after="240"/>
    </w:pPr>
    <w:rPr>
      <w:rFonts w:eastAsia="Times New Roman"/>
      <w:szCs w:val="20"/>
    </w:rPr>
  </w:style>
  <w:style w:type="paragraph" w:customStyle="1" w:styleId="ListNumber4Level4">
    <w:name w:val="List Number 4 (Level 4)"/>
    <w:basedOn w:val="Text4"/>
    <w:pPr>
      <w:numPr>
        <w:ilvl w:val="3"/>
        <w:numId w:val="6"/>
      </w:numPr>
      <w:spacing w:before="0" w:after="240"/>
    </w:pPr>
    <w:rPr>
      <w:rFonts w:eastAsia="Times New Roman"/>
      <w:szCs w:val="20"/>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u-HU"/>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hu-HU"/>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5</Pages>
  <Words>778</Words>
  <Characters>5213</Characters>
  <Application>Microsoft Office Word</Application>
  <DocSecurity>0</DocSecurity>
  <Lines>106</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BRUINSMA Floor (HOME)</dc:creator>
  <cp:lastModifiedBy>DIGIT/A3</cp:lastModifiedBy>
  <cp:revision>7</cp:revision>
  <dcterms:created xsi:type="dcterms:W3CDTF">2017-07-10T09:34:00Z</dcterms:created>
  <dcterms:modified xsi:type="dcterms:W3CDTF">2017-07-26T14:49:00Z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Green (DQC version 03)</vt:lpwstr>
  </property>
</Properties>
</file>