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897A863DE884BAFB6803F18C0C30B6D" style="width:450.45pt;height:37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autoSpaceDE w:val="0"/>
        <w:autoSpaceDN w:val="0"/>
        <w:adjustRightInd w:val="0"/>
        <w:spacing w:before="0" w:after="0"/>
        <w:rPr>
          <w:rFonts w:ascii="Arial" w:hAnsi="Arial" w:cs="Arial"/>
          <w:noProof/>
          <w:sz w:val="21"/>
          <w:szCs w:val="21"/>
        </w:rPr>
      </w:pPr>
      <w:r>
        <w:rPr>
          <w:noProof/>
        </w:rPr>
        <w:t xml:space="preserve">Neuvosto valtuutti komission 30. toukokuuta 2017 aloittamaan unionin puolesta neuvottelut Algerian demokraattisen kansantasavallan, jäljempänä ”Algeria”, kanssa unionin ja Algerian välisestä kansainvälisestä sopimuksesta, jossa vahvistetaan ehdot ja edellytykset Algerian osallistumiselle Välimeren alueen tutkimus- ja innovointikumppanuuteen, jäljempänä ”PRIMA”.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 xml:space="preserve">Valtuutusta koskevassa neuvoston päätöksessä säädettyjen ehtojen mukaisesti neuvottelut voitiin aloittaa vasta sen jälkeen, kun unionin osallistumisesta useiden jäsenvaltioiden yhdessä käynnistämään Välimeren alueen tutkimus- ja innovointikumppanuuteen (PRIMA) annettu Euroopan parlamentin ja neuvoston päätös oli hyväksytty.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Neuvottelut aloitettiin 26. kesäkuuta 2017, ja ne saatiin menestyksellisesti päätökseen 11. heinäkuuta 2017, jolloin molempien tulevien osapuolten edustajat parafoivat sopimusluonnoksen tekstin. Tähän ehdotukseen liitetty sopimusluonnos on neuvoston antamien neuvotteluohjeiden mukainen. Siinä vahvistetaan erityisesti, että Algerian osallistumista PRIMAan koskevat ehdot ja edellytykset ovat samat kuin päätöksessä (EU) 2017/1324</w:t>
      </w:r>
      <w:r>
        <w:rPr>
          <w:rStyle w:val="FootnoteReference"/>
          <w:noProof/>
        </w:rPr>
        <w:footnoteReference w:id="1"/>
      </w:r>
      <w:r>
        <w:rPr>
          <w:noProof/>
        </w:rPr>
        <w:t>, johon siinä viitataan suoraan.</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Jotta voidaan suojata unionin taloudelliset edut ja varsinkin komission, Euroopan petostentorjuntaviraston, Euroopan tilintarkastustuomioistuimen ja PRIMAn täytäntöönpanorakenteen, jäljempänä ’PRIMA-IS”, valtuudet tehdä tarkastuksia ja tutkimuksia sovellettavan unionin lainsäädännön mukaisesti, sopimuksessa viitataan nimenomaisesti päätöksen (EU) 2017/1324 asiaankuuluviin säännöksiin ja velvoitetaan osapuolet antamaan kaikki tarvittava apu niiden täytäntöönpanemiseksi. Lisäksi sopimuksessa määrätään, että osapuolten on sovittava apua koskevista yksityiskohtaisista järjestelyistä, jotka ovat välttämättömiä niiden tämän sopimuksen mukaiselle yhteistyölle.</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Kuten PRIMAsta laaditussa vaikutustenarviointiraportissa</w:t>
      </w:r>
      <w:r>
        <w:rPr>
          <w:rStyle w:val="FootnoteReference"/>
          <w:noProof/>
        </w:rPr>
        <w:footnoteReference w:id="2"/>
      </w:r>
      <w:r>
        <w:rPr>
          <w:noProof/>
        </w:rPr>
        <w:t xml:space="preserve"> todetaan, PRIMAn avoimuus kolmansien maiden, kuten Algerian, osallistumiselle on sopusoinnussa kansainvälistä tutkimus- ja innovointiyhteistyötä koskevien tavoitteiden kanssa. Nämä tavoitteet vahvistetaan vuoden 2012 komission tiedonannossa ”EU:n kansainvälisen tutkimus- ja innovaatioyhteistyön vahvistaminen ja keskittäminen: strateginen lähestymistapa”</w:t>
      </w:r>
      <w:r>
        <w:rPr>
          <w:rStyle w:val="FootnoteReference"/>
          <w:noProof/>
        </w:rPr>
        <w:footnoteReference w:id="3"/>
      </w:r>
      <w:r>
        <w:rPr>
          <w:noProof/>
        </w:rPr>
        <w:t xml:space="preserve"> sekä Horisontti 2020 -puiteohjelmassa, jolla edistetään yhteistyötä kolmansien maiden kanssa tieteen, teknologian ja innovoinnin aloilla maailmanlaajuisiin yhteiskunnallisiin haasteisiin puuttumiseksi sekä unionin ulkoasioiden tukemiseksi. Tämä sopimus on myös yhdenmukainen Euroopan yhteisön ja sen jäsenvaltioiden sekä Algerian demokraattisen kansantasavallan Euro–Välimeri-assosiaatiosopimuksen</w:t>
      </w:r>
      <w:r>
        <w:rPr>
          <w:rStyle w:val="FootnoteReference"/>
          <w:noProof/>
        </w:rPr>
        <w:footnoteReference w:id="4"/>
      </w:r>
      <w:r>
        <w:rPr>
          <w:noProof/>
        </w:rPr>
        <w:t xml:space="preserve"> sekä tieteellisestä ja teknologisesta yhteistyöstä tehdyn Euroopan yhteisön ja Algerian demokraattisen kansantasavallan välisen sopimuksen</w:t>
      </w:r>
      <w:r>
        <w:rPr>
          <w:rStyle w:val="FootnoteReference"/>
          <w:noProof/>
        </w:rPr>
        <w:footnoteReference w:id="5"/>
      </w:r>
      <w:r>
        <w:rPr>
          <w:noProof/>
        </w:rPr>
        <w:t xml:space="preserve"> kanssa. Näissä kahdessa sopimuksessa määrätään unionin ja Algerian välisestä yhteistyöstä tutkimuksen ja teknologisen kehittämisen alalla ja kannustetaan tutkimus- ja kehittämistoimintaa yhteisen edun mukaisilla aloilla. </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Tiiviissä yhteistyössä kolmansien maiden, kuten Algerian, kanssa tapahtuva PRIMAn täytäntöönpano on myös yhdenmukainen muuttoliike-, kehitysyhteistyö- ja naapuruuspolitiikan kaltaisten muiden unionin politiikkojen kanssa ja vaikuttaa niihin.</w:t>
      </w:r>
    </w:p>
    <w:p>
      <w:pPr>
        <w:pStyle w:val="ManualHeading1"/>
        <w:rPr>
          <w:noProof/>
        </w:rPr>
      </w:pPr>
      <w:r>
        <w:rPr>
          <w:noProof/>
        </w:rPr>
        <w:t>2.</w:t>
      </w:r>
      <w:r>
        <w:rPr>
          <w:noProof/>
        </w:rPr>
        <w:tab/>
        <w:t>Ehdotuksen oikeudellinen sisältö</w:t>
      </w:r>
    </w:p>
    <w:p>
      <w:pPr>
        <w:pBdr>
          <w:top w:val="nil"/>
          <w:left w:val="nil"/>
          <w:bottom w:val="nil"/>
          <w:right w:val="nil"/>
          <w:between w:val="nil"/>
          <w:bar w:val="nil"/>
        </w:pBdr>
        <w:spacing w:before="0" w:after="240"/>
        <w:rPr>
          <w:rFonts w:eastAsia="Arial Unicode MS"/>
          <w:noProof/>
        </w:rPr>
      </w:pPr>
      <w:r>
        <w:rPr>
          <w:noProof/>
        </w:rPr>
        <w:t>Ehdotus neuvoston päätökseksi perustuu Euroopan unionin toiminnasta tehdyn sopimuksen 186 artiklaan ja 218 artiklan 6 kohdan a alakohtaan.</w:t>
      </w:r>
    </w:p>
    <w:p>
      <w:pPr>
        <w:rPr>
          <w:noProof/>
        </w:rPr>
      </w:pPr>
    </w:p>
    <w:p>
      <w:pPr>
        <w:rPr>
          <w:noProof/>
        </w:rPr>
      </w:pPr>
      <w:r>
        <w:rPr>
          <w:noProof/>
        </w:rPr>
        <w:t>Edellä esitetyn perusteella komissio ehdottaa, että neuvosto tekee sopimuksen Euroopan unionin puolesta.</w:t>
      </w:r>
    </w:p>
    <w:p>
      <w:pPr>
        <w:rPr>
          <w:noProof/>
        </w:rPr>
      </w:pP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2017/0197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Algerian demokraattisen kansantasavallan osallistumista Välimeren alueen tutkimus- ja innovointikumppanuuteen (PRIMA) koskevat ehdot ja edellytykset vahvistavan Euroopan unionin ja Algerian demokraattisen kansantasavallan välistä tieteellistä ja teknologista yhteistyötä koskevan sopimuksen tekemisestä</w:t>
      </w:r>
    </w:p>
    <w:p>
      <w:pPr>
        <w:pStyle w:val="Institutionquiagit"/>
        <w:rPr>
          <w:noProof/>
        </w:rPr>
      </w:pPr>
      <w:r>
        <w:rPr>
          <w:noProof/>
        </w:rPr>
        <w:t>EUROOPAN UNIONIN NEUVOSTO, joka</w:t>
      </w:r>
    </w:p>
    <w:p>
      <w:pPr>
        <w:rPr>
          <w:rFonts w:eastAsia="Calibri"/>
          <w:noProof/>
        </w:rPr>
      </w:pPr>
      <w:r>
        <w:rPr>
          <w:noProof/>
        </w:rPr>
        <w:t>ottaa huomioon Euroopan unionin toiminnasta tehdyn sopimuksen ja erityisesti sen 186 artiklan yhdessä sen 218 artiklan 6 kohdan a alakohdan kanssa,</w:t>
      </w:r>
    </w:p>
    <w:p>
      <w:pPr>
        <w:rPr>
          <w:noProof/>
        </w:rPr>
      </w:pPr>
      <w:r>
        <w:rPr>
          <w:noProof/>
        </w:rPr>
        <w:t>ottaa huomioon Euroopan komission ehdotuksen,</w:t>
      </w:r>
    </w:p>
    <w:p>
      <w:pPr>
        <w:rPr>
          <w:noProof/>
        </w:rPr>
      </w:pPr>
      <w:r>
        <w:rPr>
          <w:noProof/>
        </w:rPr>
        <w:t xml:space="preserve">ottaa huomioon Euroopan parlamentin hyväksynnän, </w:t>
      </w:r>
    </w:p>
    <w:p>
      <w:pPr>
        <w:rPr>
          <w:noProof/>
        </w:rPr>
      </w:pPr>
      <w:r>
        <w:rPr>
          <w:noProof/>
        </w:rPr>
        <w:t>sekä katsoo seuraavaa:</w:t>
      </w:r>
    </w:p>
    <w:p>
      <w:pPr>
        <w:pStyle w:val="ManualConsidrant"/>
        <w:rPr>
          <w:noProof/>
        </w:rPr>
      </w:pPr>
      <w:r>
        <w:t>(1)</w:t>
      </w:r>
      <w:r>
        <w:tab/>
      </w:r>
      <w:r>
        <w:rPr>
          <w:noProof/>
        </w:rPr>
        <w:t>Euroopan parlamentin ja neuvoston päätöksessä (EU) 2017/1324</w:t>
      </w:r>
      <w:r>
        <w:rPr>
          <w:rStyle w:val="FootnoteReference"/>
          <w:noProof/>
        </w:rPr>
        <w:footnoteReference w:id="6"/>
      </w:r>
      <w:r>
        <w:rPr>
          <w:noProof/>
        </w:rPr>
        <w:t xml:space="preserve"> säädetään unionin osallistumisesta useiden jäsenvaltioiden yhdessä käynnistämään Välimeren alueen tutkimus- ja innovointikumppanuuteen, jäljempänä ’PRIMA’.</w:t>
      </w:r>
    </w:p>
    <w:p>
      <w:pPr>
        <w:pStyle w:val="ManualConsidrant"/>
        <w:rPr>
          <w:noProof/>
        </w:rPr>
      </w:pPr>
      <w:r>
        <w:t>(2)</w:t>
      </w:r>
      <w:r>
        <w:tab/>
      </w:r>
      <w:r>
        <w:rPr>
          <w:noProof/>
        </w:rPr>
        <w:t>Algerian demokraattinen kansantasavalta, jäljempänä ’Algeria’, on ilmaissut halukkuutensa liittyä PRIMAan osallistujavaltiona ja tasavertaisesti PRIMAan osallistuvien jäsenvaltioiden ja Horisontti 2020 -puiteohjelmaan assosioituneiden maiden kanssa.</w:t>
      </w:r>
    </w:p>
    <w:p>
      <w:pPr>
        <w:pStyle w:val="ManualConsidrant"/>
        <w:rPr>
          <w:noProof/>
        </w:rPr>
      </w:pPr>
      <w:r>
        <w:t>(3)</w:t>
      </w:r>
      <w:r>
        <w:tab/>
      </w:r>
      <w:r>
        <w:rPr>
          <w:noProof/>
        </w:rPr>
        <w:t>Päätöksen (EU) 2017/1324 1 artiklan 2 kohdan mukaisesti Algeriasta tulee PRIMAn osallistujavaltio edellyttäen, että Algeria tekee unionin kanssa tieteellistä ja teknologista yhteistyötä koskevan kansainvälisen sopimuksen, jossa vahvistetaan sen osallistumista PRIMAan koskevat ehdot ja edellytykset.</w:t>
      </w:r>
    </w:p>
    <w:p>
      <w:pPr>
        <w:pStyle w:val="ManualConsidrant"/>
        <w:rPr>
          <w:noProof/>
        </w:rPr>
      </w:pPr>
      <w:r>
        <w:t>(4)</w:t>
      </w:r>
      <w:r>
        <w:tab/>
      </w:r>
      <w:r>
        <w:rPr>
          <w:noProof/>
        </w:rPr>
        <w:t>Neuvoston päätöksen &lt;XXX&gt;</w:t>
      </w:r>
      <w:r>
        <w:rPr>
          <w:rStyle w:val="FootnoteReference"/>
          <w:noProof/>
        </w:rPr>
        <w:footnoteReference w:id="7"/>
      </w:r>
      <w:r>
        <w:rPr>
          <w:noProof/>
        </w:rPr>
        <w:t xml:space="preserve"> mukaisesti Algerian demokraattisen kansantasavallan osallistumista Välimeren alueen tutkimus- ja innovointikumppanuuteen (PRIMA) koskevat ehdot ja edellytykset vahvistava Euroopan unionin ja Algerian demokraattisen kansantasavallan välistä tieteellistä ja teknologista yhteistyötä koskeva sopimus allekirjoitettiin unionin puolesta XX, 20XX sillä varauksella, että sopimuksen tekeminen saatetaan myöhemmin päätökseen.</w:t>
      </w:r>
    </w:p>
    <w:p>
      <w:pPr>
        <w:pStyle w:val="ManualConsidrant"/>
        <w:rPr>
          <w:noProof/>
        </w:rPr>
      </w:pPr>
      <w:r>
        <w:t>(5)</w:t>
      </w:r>
      <w:r>
        <w:tab/>
      </w:r>
      <w:r>
        <w:rPr>
          <w:noProof/>
        </w:rPr>
        <w:t>Sopimus olisi hyväksyttävä unionin puolesta,</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Hyväksytään unionin puolesta Algerian demokraattisen kansantasavallan osallistumista Välimeren alueen tutkimus- ja innovointikumppanuuteen (PRIMA) koskevat ehdot ja edellytykset vahvistava Euroopan unionin ja Algerian demokraattisen kansantasavallan välistä tieteellistä ja teknologista yhteistyötä koskeva sopimus.</w:t>
      </w:r>
    </w:p>
    <w:p>
      <w:pPr>
        <w:rPr>
          <w:noProof/>
          <w:szCs w:val="24"/>
        </w:rPr>
      </w:pPr>
      <w:r>
        <w:rPr>
          <w:noProof/>
        </w:rPr>
        <w:t>Sopimuksen teksti on liitetty tähän päätökseen.</w:t>
      </w:r>
    </w:p>
    <w:p>
      <w:pPr>
        <w:pStyle w:val="Titrearticle"/>
        <w:rPr>
          <w:noProof/>
        </w:rPr>
      </w:pPr>
      <w:r>
        <w:rPr>
          <w:noProof/>
        </w:rPr>
        <w:t>2 artikla</w:t>
      </w:r>
    </w:p>
    <w:p>
      <w:pPr>
        <w:rPr>
          <w:noProof/>
        </w:rPr>
      </w:pPr>
      <w:r>
        <w:rPr>
          <w:noProof/>
        </w:rPr>
        <w:t>Neuvoston puheenjohtaja nimeää henkilön, jolla on valtuudet tehdä unionin puolesta sopimuksen 5 artiklan 2 kohdassa määrätty ilmoitus osoitukseksi siitä, että unioni suostuu sitoutumaan sopimukseen.</w:t>
      </w:r>
    </w:p>
    <w:p>
      <w:pPr>
        <w:pStyle w:val="Titrearticle"/>
        <w:rPr>
          <w:noProof/>
        </w:rPr>
      </w:pPr>
      <w:r>
        <w:rPr>
          <w:noProof/>
        </w:rPr>
        <w:t>3 artikla</w:t>
      </w:r>
    </w:p>
    <w:p>
      <w:pPr>
        <w:keepLines/>
        <w:rPr>
          <w:noProof/>
        </w:rPr>
      </w:pPr>
      <w:r>
        <w:rPr>
          <w:noProof/>
        </w:rPr>
        <w:t>Tämä päätös tulee voimaan [päivänä, jona se hyväksytään].</w:t>
      </w:r>
    </w:p>
    <w:p>
      <w:pPr>
        <w:pStyle w:val="Fait"/>
        <w:rPr>
          <w:noProof/>
        </w:rPr>
      </w:pPr>
      <w:r>
        <w:rPr>
          <w:noProof/>
        </w:rP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päätös (EU) 2017/1324, annettu 4 päivänä heinäkuuta 2017, unionin osallistumisesta useiden jäsenvaltioiden yhdessä käynnistämään Välimeren alueen tutkimus- ja innovointikumppanuuteen (PRIMA) (EUVL L 185, 18.7.2017, s. 1).</w:t>
      </w:r>
    </w:p>
  </w:footnote>
  <w:footnote w:id="2">
    <w:p>
      <w:pPr>
        <w:pStyle w:val="FootnoteText"/>
        <w:rPr>
          <w:lang w:val="pt-PT"/>
        </w:rPr>
      </w:pPr>
      <w:r>
        <w:rPr>
          <w:rStyle w:val="FootnoteReference"/>
        </w:rPr>
        <w:footnoteRef/>
      </w:r>
      <w:r>
        <w:rPr>
          <w:lang w:val="pt-PT"/>
        </w:rPr>
        <w:tab/>
        <w:t>SWD(2016)332 final, 18.10.2016.</w:t>
      </w:r>
    </w:p>
  </w:footnote>
  <w:footnote w:id="3">
    <w:p>
      <w:pPr>
        <w:pStyle w:val="FootnoteText"/>
        <w:rPr>
          <w:lang w:val="pt-PT"/>
        </w:rPr>
      </w:pPr>
      <w:r>
        <w:rPr>
          <w:rStyle w:val="FootnoteReference"/>
        </w:rPr>
        <w:footnoteRef/>
      </w:r>
      <w:r>
        <w:rPr>
          <w:lang w:val="pt-PT"/>
        </w:rPr>
        <w:tab/>
        <w:t>KOM(2012) 497 final.</w:t>
      </w:r>
    </w:p>
  </w:footnote>
  <w:footnote w:id="4">
    <w:p>
      <w:pPr>
        <w:pStyle w:val="FootnoteText"/>
        <w:rPr>
          <w:lang w:val="pt-PT"/>
        </w:rPr>
      </w:pPr>
      <w:r>
        <w:rPr>
          <w:rStyle w:val="FootnoteReference"/>
        </w:rPr>
        <w:footnoteRef/>
      </w:r>
      <w:r>
        <w:rPr>
          <w:lang w:val="pt-PT"/>
        </w:rPr>
        <w:tab/>
        <w:t>EUVL L 265, 10.10.2005, s. 2.</w:t>
      </w:r>
    </w:p>
  </w:footnote>
  <w:footnote w:id="5">
    <w:p>
      <w:pPr>
        <w:pStyle w:val="FootnoteText"/>
      </w:pPr>
      <w:r>
        <w:rPr>
          <w:rStyle w:val="FootnoteReference"/>
        </w:rPr>
        <w:footnoteRef/>
      </w:r>
      <w:r>
        <w:tab/>
        <w:t>EUVL L 99, 5.4.2012, s. 1–8.</w:t>
      </w:r>
    </w:p>
  </w:footnote>
  <w:footnote w:id="6">
    <w:p>
      <w:pPr>
        <w:pStyle w:val="FootnoteText"/>
      </w:pPr>
      <w:r>
        <w:rPr>
          <w:rStyle w:val="FootnoteReference"/>
        </w:rPr>
        <w:footnoteRef/>
      </w:r>
      <w:r>
        <w:tab/>
        <w:t>Euroopan parlamentin ja neuvoston päätös (EU) 2017/1324, annettu 4 päivänä heinäkuuta 2017, unionin osallistumisesta useiden jäsenvaltioiden yhdessä käynnistämään Välimeren alueen tutkimus- ja innovointikumppanuuteen (PRIMA) (EUVL L 185, 18.7.2017, s. 1).</w:t>
      </w:r>
    </w:p>
  </w:footnote>
  <w:footnote w:id="7">
    <w:p>
      <w:pPr>
        <w:pStyle w:val="FootnoteText"/>
        <w:rPr>
          <w:lang w:val="pt-PT"/>
        </w:rPr>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DC2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6C84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9416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9E50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A6E4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304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7CFC6ED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16"/>
  </w:num>
  <w:num w:numId="7">
    <w:abstractNumId w:val="15"/>
  </w:num>
  <w:num w:numId="8">
    <w:abstractNumId w:val="23"/>
  </w:num>
  <w:num w:numId="9">
    <w:abstractNumId w:val="24"/>
    <w:lvlOverride w:ilvl="0">
      <w:startOverride w:val="1"/>
    </w:lvlOverride>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29 10:10: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897A863DE884BAFB6803F18C0C30B6D"/>
    <w:docVar w:name="LW_CROSSREFERENCE" w:val="&lt;UNUSED&gt;"/>
    <w:docVar w:name="LW_DocType" w:val="COM"/>
    <w:docVar w:name="LW_EMISSION" w:val="11.8.2017"/>
    <w:docVar w:name="LW_EMISSION_ISODATE" w:val="2017-08-11"/>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NLE"/>
    <w:docVar w:name="LW_REF.II.NEW.CP_NUMBER" w:val="0197"/>
    <w:docVar w:name="LW_REF.II.NEW.CP_YEAR" w:val="2017"/>
    <w:docVar w:name="LW_REF.INST.NEW" w:val="COM"/>
    <w:docVar w:name="LW_REF.INST.NEW_ADOPTED" w:val="final"/>
    <w:docVar w:name="LW_REF.INST.NEW_TEXT" w:val="(2017) 431"/>
    <w:docVar w:name="LW_REF.INTERNE" w:val="&lt;UNUSED&gt;"/>
    <w:docVar w:name="LW_SOUS.TITRE.OBJ.CP" w:val="&lt;UNUSED&gt;"/>
    <w:docVar w:name="LW_STATUT.CP" w:val="Ehdotus"/>
    <w:docVar w:name="LW_SUPERTITRE" w:val="&lt;UNUSED&gt;"/>
    <w:docVar w:name="LW_TITRE.OBJ.CP" w:val="Algerian demokraattisen kansantasavallan osallistumista Välimeren alueen tutkimus- ja innovointikumppanuuteen (PRIMA) koskevat ehdot ja edellytykset vahvistavan Euroopan unionin ja Algerian demokraattisen kansantasavallan välistä tieteellistä ja teknologista yhteistyötä koskevan sopimuksen tekemisestä"/>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Number">
    <w:name w:val="List Number"/>
    <w:basedOn w:val="Normal"/>
    <w:pPr>
      <w:numPr>
        <w:numId w:val="8"/>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1">
    <w:name w:val="List Dash 1"/>
    <w:basedOn w:val="Normal"/>
    <w:pPr>
      <w:numPr>
        <w:numId w:val="6"/>
      </w:numPr>
    </w:pPr>
    <w:rPr>
      <w:rFonts w:eastAsia="Times New Roman"/>
    </w:rPr>
  </w:style>
  <w:style w:type="paragraph" w:customStyle="1" w:styleId="ListDash2">
    <w:name w:val="List Dash 2"/>
    <w:basedOn w:val="Normal"/>
    <w:pPr>
      <w:numPr>
        <w:numId w:val="7"/>
      </w:numPr>
    </w:pPr>
    <w:rPr>
      <w:rFonts w:eastAsia="Times New Roman"/>
    </w:rPr>
  </w:style>
  <w:style w:type="paragraph" w:customStyle="1" w:styleId="ListNumberLevel2">
    <w:name w:val="List Number (Level 2)"/>
    <w:basedOn w:val="Normal"/>
    <w:pPr>
      <w:numPr>
        <w:ilvl w:val="1"/>
        <w:numId w:val="8"/>
      </w:numPr>
    </w:pPr>
    <w:rPr>
      <w:rFonts w:eastAsia="Times New Roman"/>
    </w:rPr>
  </w:style>
  <w:style w:type="paragraph" w:customStyle="1" w:styleId="ListNumberLevel3">
    <w:name w:val="List Number (Level 3)"/>
    <w:basedOn w:val="Normal"/>
    <w:pPr>
      <w:numPr>
        <w:ilvl w:val="2"/>
        <w:numId w:val="8"/>
      </w:numPr>
    </w:pPr>
    <w:rPr>
      <w:rFonts w:eastAsia="Times New Roman"/>
    </w:rPr>
  </w:style>
  <w:style w:type="paragraph" w:customStyle="1" w:styleId="ListNumberLevel4">
    <w:name w:val="List Number (Level 4)"/>
    <w:basedOn w:val="Normal"/>
    <w:pPr>
      <w:numPr>
        <w:ilvl w:val="3"/>
        <w:numId w:val="8"/>
      </w:numPr>
    </w:pPr>
    <w:rPr>
      <w:rFonts w:eastAsia="Times New Roman"/>
    </w:rPr>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Number">
    <w:name w:val="List Number"/>
    <w:basedOn w:val="Normal"/>
    <w:pPr>
      <w:numPr>
        <w:numId w:val="8"/>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1">
    <w:name w:val="List Dash 1"/>
    <w:basedOn w:val="Normal"/>
    <w:pPr>
      <w:numPr>
        <w:numId w:val="6"/>
      </w:numPr>
    </w:pPr>
    <w:rPr>
      <w:rFonts w:eastAsia="Times New Roman"/>
    </w:rPr>
  </w:style>
  <w:style w:type="paragraph" w:customStyle="1" w:styleId="ListDash2">
    <w:name w:val="List Dash 2"/>
    <w:basedOn w:val="Normal"/>
    <w:pPr>
      <w:numPr>
        <w:numId w:val="7"/>
      </w:numPr>
    </w:pPr>
    <w:rPr>
      <w:rFonts w:eastAsia="Times New Roman"/>
    </w:rPr>
  </w:style>
  <w:style w:type="paragraph" w:customStyle="1" w:styleId="ListNumberLevel2">
    <w:name w:val="List Number (Level 2)"/>
    <w:basedOn w:val="Normal"/>
    <w:pPr>
      <w:numPr>
        <w:ilvl w:val="1"/>
        <w:numId w:val="8"/>
      </w:numPr>
    </w:pPr>
    <w:rPr>
      <w:rFonts w:eastAsia="Times New Roman"/>
    </w:rPr>
  </w:style>
  <w:style w:type="paragraph" w:customStyle="1" w:styleId="ListNumberLevel3">
    <w:name w:val="List Number (Level 3)"/>
    <w:basedOn w:val="Normal"/>
    <w:pPr>
      <w:numPr>
        <w:ilvl w:val="2"/>
        <w:numId w:val="8"/>
      </w:numPr>
    </w:pPr>
    <w:rPr>
      <w:rFonts w:eastAsia="Times New Roman"/>
    </w:rPr>
  </w:style>
  <w:style w:type="paragraph" w:customStyle="1" w:styleId="ListNumberLevel4">
    <w:name w:val="List Number (Level 4)"/>
    <w:basedOn w:val="Normal"/>
    <w:pPr>
      <w:numPr>
        <w:ilvl w:val="3"/>
        <w:numId w:val="8"/>
      </w:numPr>
    </w:pPr>
    <w:rPr>
      <w:rFonts w:eastAsia="Times New Roman"/>
    </w:rPr>
  </w:style>
  <w:style w:type="character" w:styleId="Hyperlink">
    <w:name w:val="Hyperlink"/>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2EFD-44A5-49B7-8441-AA9247F2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670</Words>
  <Characters>5708</Characters>
  <Application>Microsoft Office Word</Application>
  <DocSecurity>0</DocSecurity>
  <Lines>107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2017-07-11T12:03:00Z</cp:lastPrinted>
  <dcterms:created xsi:type="dcterms:W3CDTF">2017-08-25T12:51:00Z</dcterms:created>
  <dcterms:modified xsi:type="dcterms:W3CDTF">2017-08-29T08:10:00Z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