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F31D0E331314D33859A645986B10496"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Standard"/>
        <w:jc w:val="both"/>
        <w:rPr>
          <w:b/>
          <w:noProof/>
        </w:rPr>
      </w:pPr>
      <w:bookmarkStart w:id="0" w:name="_GoBack"/>
      <w:bookmarkEnd w:id="0"/>
      <w:r>
        <w:rPr>
          <w:b/>
          <w:noProof/>
        </w:rPr>
        <w:t>Euroopa Liidu ja Alžeeria Demokraatliku Rahvavabariigi vaheline teadus- ja tehnoloogiakoostöö leping, millega sätestatakse Alžeeria Demokraatliku Rahvavabariigi osalemise tingimused partnerluses Vahemere piirkonna riikidega teadusuuringute ja innovatsiooni valdkonnas (PRIMA)</w:t>
      </w:r>
    </w:p>
    <w:p>
      <w:pPr>
        <w:pStyle w:val="Standard"/>
        <w:rPr>
          <w:noProof/>
        </w:rPr>
      </w:pPr>
    </w:p>
    <w:p>
      <w:pPr>
        <w:pStyle w:val="Standard"/>
        <w:rPr>
          <w:noProof/>
        </w:rPr>
      </w:pPr>
    </w:p>
    <w:p>
      <w:pPr>
        <w:pStyle w:val="Standard"/>
        <w:rPr>
          <w:noProof/>
        </w:rPr>
      </w:pPr>
      <w:r>
        <w:rPr>
          <w:noProof/>
        </w:rPr>
        <w:t>Euroopa Liit (edaspidi „liit“)</w:t>
      </w:r>
    </w:p>
    <w:p>
      <w:pPr>
        <w:pStyle w:val="Standard"/>
        <w:rPr>
          <w:noProof/>
        </w:rPr>
      </w:pPr>
      <w:r>
        <w:rPr>
          <w:noProof/>
        </w:rPr>
        <w:t>ühelt poolt</w:t>
      </w:r>
    </w:p>
    <w:p>
      <w:pPr>
        <w:pStyle w:val="Standard"/>
        <w:rPr>
          <w:noProof/>
        </w:rPr>
      </w:pPr>
      <w:r>
        <w:rPr>
          <w:noProof/>
        </w:rPr>
        <w:t>ning</w:t>
      </w:r>
    </w:p>
    <w:p>
      <w:pPr>
        <w:pStyle w:val="Standard"/>
        <w:rPr>
          <w:noProof/>
        </w:rPr>
      </w:pPr>
      <w:r>
        <w:rPr>
          <w:noProof/>
        </w:rPr>
        <w:t>Alžeeria Demokraatlik Rahvavabariik (edaspidi „Alžeeria“)</w:t>
      </w:r>
    </w:p>
    <w:p>
      <w:pPr>
        <w:pStyle w:val="Standard"/>
        <w:rPr>
          <w:noProof/>
        </w:rPr>
      </w:pPr>
      <w:r>
        <w:rPr>
          <w:noProof/>
        </w:rPr>
        <w:t>teiselt poolt</w:t>
      </w:r>
    </w:p>
    <w:p>
      <w:pPr>
        <w:pStyle w:val="Standard"/>
        <w:rPr>
          <w:noProof/>
        </w:rPr>
      </w:pPr>
      <w:r>
        <w:rPr>
          <w:noProof/>
        </w:rPr>
        <w:t>(edaspidi „lepinguosalised“),</w:t>
      </w:r>
    </w:p>
    <w:p>
      <w:pPr>
        <w:pStyle w:val="Standard"/>
        <w:rPr>
          <w:noProof/>
        </w:rPr>
      </w:pPr>
    </w:p>
    <w:p>
      <w:pPr>
        <w:pStyle w:val="Standard"/>
        <w:jc w:val="both"/>
        <w:rPr>
          <w:noProof/>
        </w:rPr>
      </w:pPr>
      <w:r>
        <w:rPr>
          <w:noProof/>
        </w:rPr>
        <w:t>arvestades, et 1. septembril 2005 jõustunud Euroopa – Vahemere piirkonna lepinguga assotsiatsiooni loomiseks ühelt poolt Euroopa Ühenduse ja selle liikmesriikide ning teiselt poolt Alžeeria Demokraatliku Rahvavabariigi vahel nähakse ette teadus-, tehnika- ja tehnoloogiaalane koostöö;</w:t>
      </w:r>
    </w:p>
    <w:p>
      <w:pPr>
        <w:pStyle w:val="Standard"/>
        <w:jc w:val="both"/>
        <w:rPr>
          <w:noProof/>
        </w:rPr>
      </w:pPr>
    </w:p>
    <w:p>
      <w:pPr>
        <w:pStyle w:val="Standard"/>
        <w:jc w:val="both"/>
        <w:rPr>
          <w:noProof/>
        </w:rPr>
      </w:pPr>
      <w:r>
        <w:rPr>
          <w:noProof/>
        </w:rPr>
        <w:t>arvestades, et 11. juunil 2013 jõustunud Euroopa Liidu ja Alžeeria Demokraatliku Rahvavabariigi vahelise teadus- ja tehnoloogiakoostöö lepinguga nähakse ette lepinguosaliste teadus- ja tehnoloogiaalase koostöö ametlik raamistik;</w:t>
      </w:r>
    </w:p>
    <w:p>
      <w:pPr>
        <w:pStyle w:val="Standard"/>
        <w:rPr>
          <w:noProof/>
          <w:shd w:val="clear" w:color="auto" w:fill="FFFF00"/>
        </w:rPr>
      </w:pPr>
    </w:p>
    <w:p>
      <w:pPr>
        <w:pStyle w:val="Standard"/>
        <w:jc w:val="both"/>
        <w:rPr>
          <w:noProof/>
        </w:rPr>
      </w:pPr>
      <w:r>
        <w:rPr>
          <w:noProof/>
        </w:rPr>
        <w:t>arvestades, et Euroopa Parlamendi ja nõukogu otsus (EL) 2017/1324, mis käsitleb liidu osalemist mitme liikmesriigi ühiselt algatatud partnerluses Vahemere piirkonna riikidega teadusuuringute ja innovatsiooni valdkonnas (PRIMA), reguleerib algatuses osalevate ELi liikmesriikide ja programmiga „Horisont 2020” liitunud riikide osalemistingimusi, eelkõige nende rahalisi kohustusi ja algatuse juhtimisstruktuurides osalemist;</w:t>
      </w:r>
    </w:p>
    <w:p>
      <w:pPr>
        <w:pStyle w:val="Standard"/>
        <w:jc w:val="both"/>
        <w:rPr>
          <w:noProof/>
        </w:rPr>
      </w:pPr>
    </w:p>
    <w:p>
      <w:pPr>
        <w:pStyle w:val="Standard"/>
        <w:jc w:val="both"/>
        <w:rPr>
          <w:noProof/>
        </w:rPr>
      </w:pPr>
      <w:r>
        <w:rPr>
          <w:noProof/>
        </w:rPr>
        <w:t>arvestades, et otsuse (EL) 2017/1324 sätete kohaselt saab Alžeeria PRIMAs osalevaks riigiks, kui ta sõlmib liiduga teadus- ja tehnoloogiakoostööd käsitleva rahvusvahelise lepingu, milles sätestatakse Alžeeria PRIMAs osalemise tingimused;</w:t>
      </w:r>
    </w:p>
    <w:p>
      <w:pPr>
        <w:pStyle w:val="Standard"/>
        <w:jc w:val="both"/>
        <w:rPr>
          <w:noProof/>
        </w:rPr>
      </w:pPr>
      <w:r>
        <w:rPr>
          <w:noProof/>
        </w:rPr>
        <w:t xml:space="preserve"> </w:t>
      </w:r>
    </w:p>
    <w:p>
      <w:pPr>
        <w:pStyle w:val="Standard"/>
        <w:jc w:val="both"/>
        <w:rPr>
          <w:noProof/>
        </w:rPr>
      </w:pPr>
      <w:r>
        <w:rPr>
          <w:noProof/>
        </w:rPr>
        <w:t>arvestades, et Alžeeria väljendas soovi ühineda PRIMAga osaleva riigina võrdsel alusel ELi liikmesriikidega ja PRIMAs osalevate riikidega, kes on assotsieerunud programmiga „Horisont 2020“;</w:t>
      </w:r>
    </w:p>
    <w:p>
      <w:pPr>
        <w:pStyle w:val="Standard"/>
        <w:rPr>
          <w:noProof/>
        </w:rPr>
      </w:pPr>
    </w:p>
    <w:p>
      <w:pPr>
        <w:pStyle w:val="Standard"/>
        <w:jc w:val="both"/>
        <w:rPr>
          <w:noProof/>
        </w:rPr>
      </w:pPr>
      <w:r>
        <w:rPr>
          <w:noProof/>
        </w:rPr>
        <w:t>arvestades, et Alžeeria kui PRIMAs osaleva riigi õiguste ja kohustuste reguleerimiseks on vaja sõlmida liidu ja Alžeeria vaheline rahvusvaheline leping,</w:t>
      </w:r>
    </w:p>
    <w:p>
      <w:pPr>
        <w:pStyle w:val="Standard"/>
        <w:rPr>
          <w:noProof/>
        </w:rPr>
      </w:pPr>
    </w:p>
    <w:p>
      <w:pPr>
        <w:pStyle w:val="Standard"/>
        <w:rPr>
          <w:noProof/>
        </w:rPr>
      </w:pPr>
    </w:p>
    <w:p>
      <w:pPr>
        <w:pStyle w:val="Standard"/>
        <w:rPr>
          <w:noProof/>
        </w:rPr>
      </w:pPr>
      <w:r>
        <w:rPr>
          <w:noProof/>
        </w:rPr>
        <w:t>ON KOKKU LEPPINUD JÄRGMISES:</w:t>
      </w:r>
    </w:p>
    <w:p>
      <w:pPr>
        <w:pStyle w:val="Standard"/>
        <w:rPr>
          <w:noProof/>
        </w:rPr>
      </w:pPr>
    </w:p>
    <w:p>
      <w:pPr>
        <w:pStyle w:val="Standard"/>
        <w:rPr>
          <w:noProof/>
        </w:rPr>
      </w:pPr>
    </w:p>
    <w:p>
      <w:pPr>
        <w:pStyle w:val="Standard"/>
        <w:jc w:val="center"/>
        <w:rPr>
          <w:b/>
          <w:noProof/>
        </w:rPr>
      </w:pPr>
      <w:r>
        <w:rPr>
          <w:b/>
          <w:noProof/>
        </w:rPr>
        <w:t>Artikkel 1</w:t>
      </w:r>
    </w:p>
    <w:p>
      <w:pPr>
        <w:pStyle w:val="Standard"/>
        <w:jc w:val="center"/>
        <w:rPr>
          <w:noProof/>
        </w:rPr>
      </w:pPr>
    </w:p>
    <w:p>
      <w:pPr>
        <w:pStyle w:val="Standard"/>
        <w:jc w:val="center"/>
        <w:rPr>
          <w:noProof/>
        </w:rPr>
      </w:pPr>
      <w:r>
        <w:rPr>
          <w:noProof/>
        </w:rPr>
        <w:t>Lepingu objekt ja eesmärk</w:t>
      </w:r>
    </w:p>
    <w:p>
      <w:pPr>
        <w:pStyle w:val="Standard"/>
        <w:jc w:val="both"/>
        <w:rPr>
          <w:noProof/>
        </w:rPr>
      </w:pPr>
    </w:p>
    <w:p>
      <w:pPr>
        <w:pStyle w:val="Standard"/>
        <w:jc w:val="both"/>
        <w:rPr>
          <w:noProof/>
        </w:rPr>
      </w:pPr>
      <w:r>
        <w:rPr>
          <w:noProof/>
        </w:rPr>
        <w:t>Käesoleva lepingu eesmärk on sätestada Alžeeria osalemise tingimused partnerluses Vahemere piirkonna riikidega teadusuuringute ja innovatsiooni valdkonnas (PRIMA).</w:t>
      </w:r>
    </w:p>
    <w:p>
      <w:pPr>
        <w:pStyle w:val="Standard"/>
        <w:rPr>
          <w:noProof/>
        </w:rPr>
      </w:pPr>
    </w:p>
    <w:p>
      <w:pPr>
        <w:pStyle w:val="Standard"/>
        <w:jc w:val="center"/>
        <w:rPr>
          <w:b/>
          <w:noProof/>
        </w:rPr>
      </w:pPr>
      <w:r>
        <w:rPr>
          <w:b/>
          <w:noProof/>
        </w:rPr>
        <w:t>Artikkel 2</w:t>
      </w:r>
    </w:p>
    <w:p>
      <w:pPr>
        <w:pStyle w:val="Standard"/>
        <w:jc w:val="both"/>
        <w:rPr>
          <w:noProof/>
        </w:rPr>
      </w:pPr>
    </w:p>
    <w:p>
      <w:pPr>
        <w:pStyle w:val="Standard"/>
        <w:jc w:val="center"/>
        <w:rPr>
          <w:noProof/>
        </w:rPr>
      </w:pPr>
      <w:r>
        <w:rPr>
          <w:noProof/>
        </w:rPr>
        <w:t>Alžeeria PRIMAs osalemise tingimused</w:t>
      </w:r>
    </w:p>
    <w:p>
      <w:pPr>
        <w:pStyle w:val="Standard"/>
        <w:jc w:val="both"/>
        <w:rPr>
          <w:noProof/>
        </w:rPr>
      </w:pPr>
    </w:p>
    <w:p>
      <w:pPr>
        <w:pStyle w:val="Standard"/>
        <w:jc w:val="both"/>
        <w:rPr>
          <w:iCs/>
          <w:noProof/>
        </w:rPr>
      </w:pPr>
      <w:r>
        <w:rPr>
          <w:noProof/>
        </w:rPr>
        <w:t>Alžeeria PRIMAs osalemise tingimused on needsamad, mis on sätestatud Euroopa Parlamendi ja nõukogu otsusega (EL) 2017/1324, mis käsitleb liidu osalemist mitme liikmesriigi ühiselt algatatud partnerluses Vahemere piirkonna riikidega teadusuuringute ja innovatsiooni valdkonnas (PRIMA).</w:t>
      </w:r>
      <w:r>
        <w:rPr>
          <w:rFonts w:asciiTheme="minorHAnsi" w:eastAsiaTheme="minorHAnsi" w:hAnsiTheme="minorHAnsi" w:cstheme="minorBidi"/>
          <w:noProof/>
          <w:kern w:val="0"/>
          <w:sz w:val="22"/>
        </w:rPr>
        <w:t xml:space="preserve"> </w:t>
      </w:r>
      <w:r>
        <w:rPr>
          <w:noProof/>
        </w:rPr>
        <w:t>Lepinguosalised täidavad kõnealuse otsusega ette nähtud kohustusi ja võtavad asjakohaseid meetmeid, eelkõige andes igasugust vajalikku abi kõnealuse otsuse artikli 10 lõike 2 ning artikli 11 lõigete 3 ja 4 kohaldamise tagamiseks. Lepinguosalised lepivad kokku abi andmise üksikasjaliku korra, sest selline kord on nende käesoleva lepingu raames tehtava koostöö seisukohast oluline.</w:t>
      </w:r>
    </w:p>
    <w:p>
      <w:pPr>
        <w:pStyle w:val="Standard"/>
        <w:jc w:val="both"/>
        <w:rPr>
          <w:noProof/>
        </w:rPr>
      </w:pPr>
    </w:p>
    <w:p>
      <w:pPr>
        <w:pStyle w:val="Standard"/>
        <w:jc w:val="center"/>
        <w:rPr>
          <w:b/>
          <w:noProof/>
        </w:rPr>
      </w:pPr>
    </w:p>
    <w:p>
      <w:pPr>
        <w:pStyle w:val="Standard"/>
        <w:jc w:val="center"/>
        <w:rPr>
          <w:b/>
          <w:noProof/>
        </w:rPr>
      </w:pPr>
      <w:r>
        <w:rPr>
          <w:b/>
          <w:noProof/>
        </w:rPr>
        <w:t>Artikkel 3</w:t>
      </w:r>
    </w:p>
    <w:p>
      <w:pPr>
        <w:pStyle w:val="Standard"/>
        <w:jc w:val="center"/>
        <w:rPr>
          <w:noProof/>
        </w:rPr>
      </w:pPr>
    </w:p>
    <w:p>
      <w:pPr>
        <w:pStyle w:val="Standard"/>
        <w:jc w:val="center"/>
        <w:rPr>
          <w:noProof/>
        </w:rPr>
      </w:pPr>
      <w:r>
        <w:rPr>
          <w:noProof/>
        </w:rPr>
        <w:t>Territoriaalne kohaldamisala</w:t>
      </w:r>
    </w:p>
    <w:p>
      <w:pPr>
        <w:pStyle w:val="Standard"/>
        <w:jc w:val="both"/>
        <w:rPr>
          <w:noProof/>
        </w:rPr>
      </w:pPr>
    </w:p>
    <w:p>
      <w:pPr>
        <w:pStyle w:val="Standard"/>
        <w:jc w:val="both"/>
        <w:rPr>
          <w:noProof/>
        </w:rPr>
      </w:pPr>
      <w:r>
        <w:rPr>
          <w:noProof/>
        </w:rPr>
        <w:t>Käesolevat lepingut kohaldatakse ühelt poolt nende territooriumide suhtes, kus kohaldatakse Euroopa Liidu toimimise lepingut ja Euroopa Liidu lepingut, ning teiselt poolt Alžeeria territooriumi suhtes.</w:t>
      </w:r>
    </w:p>
    <w:p>
      <w:pPr>
        <w:pStyle w:val="Standard"/>
        <w:rPr>
          <w:noProof/>
        </w:rPr>
      </w:pPr>
    </w:p>
    <w:p>
      <w:pPr>
        <w:pStyle w:val="Standard"/>
        <w:rPr>
          <w:noProof/>
        </w:rPr>
      </w:pPr>
    </w:p>
    <w:p>
      <w:pPr>
        <w:pStyle w:val="Standard"/>
        <w:jc w:val="center"/>
        <w:rPr>
          <w:b/>
          <w:noProof/>
        </w:rPr>
      </w:pPr>
      <w:r>
        <w:rPr>
          <w:b/>
          <w:noProof/>
        </w:rPr>
        <w:t>Artikkel 4</w:t>
      </w:r>
    </w:p>
    <w:p>
      <w:pPr>
        <w:pStyle w:val="Standard"/>
        <w:jc w:val="center"/>
        <w:rPr>
          <w:noProof/>
        </w:rPr>
      </w:pPr>
    </w:p>
    <w:p>
      <w:pPr>
        <w:pStyle w:val="Standard"/>
        <w:jc w:val="center"/>
        <w:rPr>
          <w:noProof/>
        </w:rPr>
      </w:pPr>
      <w:r>
        <w:rPr>
          <w:noProof/>
        </w:rPr>
        <w:t>Allkirjastamine ja ajutine kohaldamine</w:t>
      </w:r>
    </w:p>
    <w:p>
      <w:pPr>
        <w:pStyle w:val="Standard"/>
        <w:jc w:val="both"/>
        <w:rPr>
          <w:noProof/>
        </w:rPr>
      </w:pPr>
    </w:p>
    <w:p>
      <w:pPr>
        <w:pStyle w:val="Standard"/>
        <w:jc w:val="both"/>
        <w:rPr>
          <w:noProof/>
        </w:rPr>
      </w:pPr>
      <w:r>
        <w:rPr>
          <w:noProof/>
        </w:rPr>
        <w:t>Käesolevat lepingut kohaldatakse ajutiselt alates selle allkirjastamise kuupäevast.</w:t>
      </w:r>
    </w:p>
    <w:p>
      <w:pPr>
        <w:pStyle w:val="Standard"/>
        <w:jc w:val="center"/>
        <w:rPr>
          <w:noProof/>
        </w:rPr>
      </w:pPr>
    </w:p>
    <w:p>
      <w:pPr>
        <w:pStyle w:val="Standard"/>
        <w:jc w:val="center"/>
        <w:rPr>
          <w:b/>
          <w:noProof/>
        </w:rPr>
      </w:pPr>
      <w:r>
        <w:rPr>
          <w:b/>
          <w:noProof/>
        </w:rPr>
        <w:t>Artikkel 5</w:t>
      </w:r>
    </w:p>
    <w:p>
      <w:pPr>
        <w:pStyle w:val="Standard"/>
        <w:jc w:val="center"/>
        <w:rPr>
          <w:noProof/>
        </w:rPr>
      </w:pPr>
    </w:p>
    <w:p>
      <w:pPr>
        <w:pStyle w:val="Standard"/>
        <w:jc w:val="center"/>
        <w:rPr>
          <w:noProof/>
        </w:rPr>
      </w:pPr>
      <w:r>
        <w:rPr>
          <w:noProof/>
        </w:rPr>
        <w:t>Jõustumine ja kestus</w:t>
      </w:r>
    </w:p>
    <w:p>
      <w:pPr>
        <w:pStyle w:val="Standard"/>
        <w:jc w:val="both"/>
        <w:rPr>
          <w:noProof/>
        </w:rPr>
      </w:pPr>
    </w:p>
    <w:p>
      <w:pPr>
        <w:pStyle w:val="Standard"/>
        <w:jc w:val="both"/>
        <w:rPr>
          <w:noProof/>
        </w:rPr>
      </w:pPr>
      <w:r>
        <w:rPr>
          <w:noProof/>
        </w:rPr>
        <w:t xml:space="preserve">1. Lepinguosalised kiidavad käesoleva lepingu heaks oma menetluste kohaselt. </w:t>
      </w:r>
    </w:p>
    <w:p>
      <w:pPr>
        <w:pStyle w:val="Standard"/>
        <w:jc w:val="both"/>
        <w:rPr>
          <w:noProof/>
        </w:rPr>
      </w:pPr>
    </w:p>
    <w:p>
      <w:pPr>
        <w:pStyle w:val="Standard"/>
        <w:jc w:val="both"/>
        <w:rPr>
          <w:noProof/>
        </w:rPr>
      </w:pPr>
      <w:r>
        <w:rPr>
          <w:noProof/>
        </w:rPr>
        <w:t>2. Käesolev leping jõustub päeval, mil mõlemad lepinguosalised teineteisele diplomaatiliste kanalite kaudu teatavad, et esimeses lõikes osutatud menetlused on lõpule viidud.</w:t>
      </w:r>
    </w:p>
    <w:p>
      <w:pPr>
        <w:pStyle w:val="Standard"/>
        <w:jc w:val="both"/>
        <w:rPr>
          <w:noProof/>
        </w:rPr>
      </w:pPr>
    </w:p>
    <w:p>
      <w:pPr>
        <w:pStyle w:val="Standard"/>
        <w:jc w:val="both"/>
        <w:rPr>
          <w:noProof/>
        </w:rPr>
      </w:pPr>
      <w:r>
        <w:rPr>
          <w:noProof/>
        </w:rPr>
        <w:t>3. Käesolev leping jääb jõusse seni, kuni kehtib otsus (EL) 2017/1324, juhul kui kumbki lepinguosaline ei lõpeta seda artikli 6 kohaselt.</w:t>
      </w:r>
    </w:p>
    <w:p>
      <w:pPr>
        <w:pStyle w:val="Standard"/>
        <w:jc w:val="both"/>
        <w:rPr>
          <w:noProof/>
        </w:rPr>
      </w:pPr>
    </w:p>
    <w:p>
      <w:pPr>
        <w:pStyle w:val="Standard"/>
        <w:jc w:val="both"/>
        <w:rPr>
          <w:noProof/>
        </w:rPr>
      </w:pPr>
    </w:p>
    <w:p>
      <w:pPr>
        <w:pStyle w:val="Standard"/>
        <w:jc w:val="center"/>
        <w:rPr>
          <w:b/>
          <w:noProof/>
        </w:rPr>
      </w:pPr>
      <w:r>
        <w:rPr>
          <w:b/>
          <w:noProof/>
        </w:rPr>
        <w:t>Artikkel 6</w:t>
      </w:r>
    </w:p>
    <w:p>
      <w:pPr>
        <w:pStyle w:val="Standard"/>
        <w:jc w:val="center"/>
        <w:rPr>
          <w:noProof/>
        </w:rPr>
      </w:pPr>
    </w:p>
    <w:p>
      <w:pPr>
        <w:pStyle w:val="Standard"/>
        <w:jc w:val="center"/>
        <w:rPr>
          <w:noProof/>
        </w:rPr>
      </w:pPr>
      <w:r>
        <w:rPr>
          <w:noProof/>
        </w:rPr>
        <w:t>Lepingu lõpetamine</w:t>
      </w:r>
    </w:p>
    <w:p>
      <w:pPr>
        <w:pStyle w:val="Standard"/>
        <w:jc w:val="both"/>
        <w:rPr>
          <w:noProof/>
        </w:rPr>
      </w:pPr>
    </w:p>
    <w:p>
      <w:pPr>
        <w:pStyle w:val="Standard"/>
        <w:jc w:val="both"/>
        <w:rPr>
          <w:noProof/>
        </w:rPr>
      </w:pPr>
      <w:r>
        <w:rPr>
          <w:noProof/>
        </w:rPr>
        <w:t xml:space="preserve">1. Kumbki lepinguosaline võib käesoleva lepingu mis tahes ajal lõpetada, esitades teisele lepinguosalisele kirjaliku teate oma kavatsuse kohta leping lõpetada. </w:t>
      </w:r>
    </w:p>
    <w:p>
      <w:pPr>
        <w:pStyle w:val="Standard"/>
        <w:jc w:val="both"/>
        <w:rPr>
          <w:noProof/>
        </w:rPr>
      </w:pPr>
    </w:p>
    <w:p>
      <w:pPr>
        <w:pStyle w:val="Standard"/>
        <w:jc w:val="both"/>
        <w:rPr>
          <w:noProof/>
        </w:rPr>
      </w:pPr>
      <w:r>
        <w:rPr>
          <w:noProof/>
        </w:rPr>
        <w:t>Lõpetamine jõustub kuue kuu möödumisel kuupäevast, mil kõnealune kirjalik teade on jõudnud adressaadini.</w:t>
      </w:r>
    </w:p>
    <w:p>
      <w:pPr>
        <w:pStyle w:val="Standard"/>
        <w:jc w:val="both"/>
        <w:rPr>
          <w:noProof/>
        </w:rPr>
      </w:pPr>
    </w:p>
    <w:p>
      <w:pPr>
        <w:pStyle w:val="Standard"/>
        <w:jc w:val="both"/>
        <w:rPr>
          <w:noProof/>
        </w:rPr>
      </w:pPr>
      <w:r>
        <w:rPr>
          <w:noProof/>
        </w:rPr>
        <w:t>2. Käesoleva lepingu lõpetamise ajal pooleli olevaid projekte ja tegevust jätkatakse kuni nende lõpuleviimiseni käesolevas lepingus sätestatud tingimustel.</w:t>
      </w:r>
    </w:p>
    <w:p>
      <w:pPr>
        <w:pStyle w:val="Standard"/>
        <w:jc w:val="both"/>
        <w:rPr>
          <w:noProof/>
        </w:rPr>
      </w:pPr>
    </w:p>
    <w:p>
      <w:pPr>
        <w:pStyle w:val="Standard"/>
        <w:jc w:val="both"/>
        <w:rPr>
          <w:noProof/>
        </w:rPr>
      </w:pPr>
      <w:r>
        <w:rPr>
          <w:noProof/>
        </w:rPr>
        <w:t>3. Lepinguosalised lepivad vastastikku kokku kõigi muude lepingu lõpetamise tagajärgede suhtes.</w:t>
      </w:r>
    </w:p>
    <w:p>
      <w:pPr>
        <w:pStyle w:val="Standard"/>
        <w:jc w:val="both"/>
        <w:rPr>
          <w:noProof/>
        </w:rPr>
      </w:pPr>
    </w:p>
    <w:p>
      <w:pPr>
        <w:pStyle w:val="Standard"/>
        <w:jc w:val="both"/>
        <w:rPr>
          <w:noProof/>
        </w:rPr>
      </w:pPr>
    </w:p>
    <w:p>
      <w:pPr>
        <w:pStyle w:val="Standard"/>
        <w:jc w:val="center"/>
        <w:rPr>
          <w:b/>
          <w:noProof/>
        </w:rPr>
      </w:pPr>
      <w:r>
        <w:rPr>
          <w:b/>
          <w:noProof/>
        </w:rPr>
        <w:t>Artikkel 7</w:t>
      </w:r>
    </w:p>
    <w:p>
      <w:pPr>
        <w:pStyle w:val="Standard"/>
        <w:jc w:val="center"/>
        <w:rPr>
          <w:b/>
          <w:noProof/>
        </w:rPr>
      </w:pPr>
    </w:p>
    <w:p>
      <w:pPr>
        <w:pStyle w:val="Standard"/>
        <w:jc w:val="center"/>
        <w:rPr>
          <w:noProof/>
        </w:rPr>
      </w:pPr>
      <w:r>
        <w:rPr>
          <w:noProof/>
        </w:rPr>
        <w:t>Vaidluste lahendamine</w:t>
      </w:r>
    </w:p>
    <w:p>
      <w:pPr>
        <w:pStyle w:val="Standard"/>
        <w:rPr>
          <w:noProof/>
        </w:rPr>
      </w:pPr>
    </w:p>
    <w:p>
      <w:pPr>
        <w:pStyle w:val="Standard"/>
        <w:jc w:val="both"/>
        <w:rPr>
          <w:iCs/>
          <w:noProof/>
        </w:rPr>
      </w:pPr>
      <w:r>
        <w:rPr>
          <w:noProof/>
        </w:rPr>
        <w:t>Euroopa – Vahemere piirkonna lepingu (assotsiatsiooni loomiseks ühelt poolt Euroopa Ühenduse ja selle liikmesriikide ning teiselt poolt Alžeeria Demokraatliku Rahvavabariigi vahel) artiklis 100 sätestatud vaidluste lahendamise menetlust kohaldatakse kõigi vaidluste suhtes, mis on seotud käesoleva lepingu kohaldamise või tõlgendamisega.</w:t>
      </w:r>
    </w:p>
    <w:p>
      <w:pPr>
        <w:pStyle w:val="Standard"/>
        <w:jc w:val="both"/>
        <w:rPr>
          <w:iCs/>
          <w:noProof/>
        </w:rPr>
      </w:pPr>
    </w:p>
    <w:p>
      <w:pPr>
        <w:pStyle w:val="Standard"/>
        <w:jc w:val="both"/>
        <w:rPr>
          <w:i/>
          <w:iCs/>
          <w:noProof/>
        </w:rPr>
      </w:pPr>
    </w:p>
    <w:p>
      <w:pPr>
        <w:pStyle w:val="Standard"/>
        <w:jc w:val="both"/>
        <w:rPr>
          <w:iCs/>
          <w:noProof/>
        </w:rPr>
      </w:pPr>
      <w:r>
        <w:rPr>
          <w:noProof/>
        </w:rPr>
        <w:t>Käesolev leping koostatakse kahes eksemplaris bulgaaria, eesti, hispaania, hollandi, horvaadi, inglise, itaalia, kreeka, leedu, läti, malta, poola, portugali, prantsuse, rootsi, rumeenia, saksa, slovaki, sloveeni, soome, taani, tšehhi, ungari ja araabia keeles, kusjuures kõik tekstid on võrdselt autentsed.</w:t>
      </w:r>
    </w:p>
    <w:p>
      <w:pPr>
        <w:pStyle w:val="Standard"/>
        <w:jc w:val="both"/>
        <w:rPr>
          <w:iCs/>
          <w:noProof/>
        </w:rPr>
      </w:pPr>
    </w:p>
    <w:p>
      <w:pPr>
        <w:pStyle w:val="Standard"/>
        <w:rPr>
          <w:noProof/>
        </w:rPr>
      </w:pPr>
      <w:r>
        <w:rPr>
          <w:noProof/>
        </w:rPr>
        <w:t>[EL: allkiri]                                                                       [Alžeeria: allkiri]</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AA1C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220C6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5AE5C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9E6B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3CA0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10B8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7622F92"/>
    <w:lvl w:ilvl="0">
      <w:start w:val="1"/>
      <w:numFmt w:val="decimal"/>
      <w:pStyle w:val="ListNumber"/>
      <w:lvlText w:val="%1."/>
      <w:lvlJc w:val="left"/>
      <w:pPr>
        <w:tabs>
          <w:tab w:val="num" w:pos="360"/>
        </w:tabs>
        <w:ind w:left="360" w:hanging="360"/>
      </w:pPr>
    </w:lvl>
  </w:abstractNum>
  <w:abstractNum w:abstractNumId="7">
    <w:nsid w:val="FFFFFF89"/>
    <w:multiLevelType w:val="singleLevel"/>
    <w:tmpl w:val="7F00B3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7"/>
  </w:num>
  <w:num w:numId="16">
    <w:abstractNumId w:val="5"/>
  </w:num>
  <w:num w:numId="17">
    <w:abstractNumId w:val="4"/>
  </w:num>
  <w:num w:numId="18">
    <w:abstractNumId w:val="3"/>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6"/>
  </w:num>
  <w:num w:numId="34">
    <w:abstractNumId w:val="2"/>
  </w:num>
  <w:num w:numId="35">
    <w:abstractNumId w:val="1"/>
  </w:num>
  <w:num w:numId="36">
    <w:abstractNumId w:val="0"/>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29 10:11: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86"/>
    <w:docVar w:name="DQCStatus" w:val="Green"/>
    <w:docVar w:name="DQCVersion" w:val="3"/>
    <w:docVar w:name="DQCWithWarnings" w:val="0"/>
    <w:docVar w:name="LW_ACCOMPAGNANT.CP" w:val="järgmise dokumendi juurde:"/>
    <w:docVar w:name="LW_ANNEX_NBR_FIRST" w:val="1"/>
    <w:docVar w:name="LW_ANNEX_NBR_LAST" w:val="1"/>
    <w:docVar w:name="LW_CONFIDENCE" w:val=" "/>
    <w:docVar w:name="LW_CONST_RESTREINT_UE" w:val="RESTREINT UE"/>
    <w:docVar w:name="LW_CORRIGENDUM" w:val="&lt;UNUSED&gt;"/>
    <w:docVar w:name="LW_COVERPAGE_GUID" w:val="1F31D0E331314D33859A645986B10496"/>
    <w:docVar w:name="LW_CROSSREFERENCE" w:val="&lt;UNUSED&gt;"/>
    <w:docVar w:name="LW_DocType" w:val="ANNEX"/>
    <w:docVar w:name="LW_EMISSION" w:val="11.8.2017"/>
    <w:docVar w:name="LW_EMISSION_ISODATE" w:val="2017-08-11"/>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sõlmida Euroopa Liidu ja Al\u382?eeria Demokraatliku Rahvavabariigi vaheline teadus- ja tehnoloogiakoostöö leping, millega sätestatakse Al\u382?eeria Demokraatliku Rahvavabariigi osalemise tingimused partnerluses Vahemere piirkonna riikidega teadusuuringute ja innovatsiooni valdkonnas (PRIMA)"/>
    <w:docVar w:name="LW_PART_NBR" w:val="1"/>
    <w:docVar w:name="LW_PART_NBR_TOTAL" w:val="1"/>
    <w:docVar w:name="LW_REF.INST.NEW" w:val="COM"/>
    <w:docVar w:name="LW_REF.INST.NEW_ADOPTED" w:val="final"/>
    <w:docVar w:name="LW_REF.INST.NEW_TEXT" w:val="(2017) 431"/>
    <w:docVar w:name="LW_REF.INTERNE" w:val="&lt;UNUSED&gt;"/>
    <w:docVar w:name="LW_SUPERTITRE" w:val="&lt;UNUSED&gt;"/>
    <w:docVar w:name="LW_TITRE.OBJ.CP" w:val="&lt;UNUSED&gt;"/>
    <w:docVar w:name="LW_TYPE.DOC.CP" w:val="LISA"/>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596</Words>
  <Characters>4472</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VIRVILI Vasiliki (RTD)</dc:creator>
  <cp:lastModifiedBy>DIGIT/A3</cp:lastModifiedBy>
  <cp:revision>7</cp:revision>
  <dcterms:created xsi:type="dcterms:W3CDTF">2017-08-25T07:26:00Z</dcterms:created>
  <dcterms:modified xsi:type="dcterms:W3CDTF">2017-08-29T08:11:00Z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