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A479E97EEE143598E486E5EB6D09828"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autoSpaceDE w:val="0"/>
        <w:autoSpaceDN w:val="0"/>
        <w:adjustRightInd w:val="0"/>
        <w:spacing w:after="0"/>
        <w:rPr>
          <w:bCs/>
          <w:noProof/>
          <w:szCs w:val="24"/>
        </w:rPr>
      </w:pPr>
      <w:r>
        <w:rPr>
          <w:noProof/>
        </w:rPr>
        <w:t>Η δημοκρατία είναι μία από τις αξίες στις οποίες έχει θεμελιωθεί η Ευρωπαϊκή Ένωση. Με γνώμονα τη διασφάλιση της λειτουργία της αντιπροσωπευτικής δημοκρατίας σε ευρωπαϊκό επίπεδο, οι Συνθήκες ορίζουν ότι οι πολίτες της Ευρωπαϊκής Ένωσης εκπροσωπούνται άμεσα στο Ευρωπαϊκό Κοινοβούλιο.</w:t>
      </w:r>
    </w:p>
    <w:p>
      <w:pPr>
        <w:autoSpaceDE w:val="0"/>
        <w:autoSpaceDN w:val="0"/>
        <w:adjustRightInd w:val="0"/>
        <w:spacing w:after="0"/>
        <w:rPr>
          <w:bCs/>
          <w:noProof/>
          <w:szCs w:val="24"/>
        </w:rPr>
      </w:pPr>
      <w:r>
        <w:rPr>
          <w:noProof/>
        </w:rPr>
        <w:t>Το δικαίωμα στην ελευθερία του συνεταιρίζεσθαι και το δικαίωμα στην ελευθερία έκφρασης αποτελούν θεμελιώδη δικαιώματα κάθε πολίτη της Ένωσης.</w:t>
      </w:r>
    </w:p>
    <w:p>
      <w:pPr>
        <w:autoSpaceDE w:val="0"/>
        <w:autoSpaceDN w:val="0"/>
        <w:adjustRightInd w:val="0"/>
        <w:spacing w:after="0"/>
        <w:rPr>
          <w:bCs/>
          <w:noProof/>
          <w:szCs w:val="24"/>
        </w:rPr>
      </w:pPr>
      <w:r>
        <w:rPr>
          <w:noProof/>
        </w:rPr>
        <w:t>Τα πολιτικά κόμματα επιτελούν ουσιώδη ρόλο στην αντιπροσωπευτική δημοκρατία, καθώς δημιουργούν άμεσο συνδετικό κρίκο μεταξύ των πολιτών και του πολιτικού συστήματος και κατ’ αυτόν τον τρόπο ενισχύουν τη νομιμότητα του συστήματος. Το ίδιο συμβαίνει και σε ευρωπαϊκό επίπεδο: σύμφωνα με το άρθρο 10 της Συνθήκης για την Ευρωπαϊκή Ένωση, «</w:t>
      </w:r>
      <w:r>
        <w:rPr>
          <w:i/>
          <w:noProof/>
        </w:rPr>
        <w:t>τα πολιτικά κόμματα, σε ευρωπαϊκό επίπεδο, συμβάλλουν στην διαμόρφωση της ευρωπαϊκής πολιτικής συνείδησης και στην έκφραση της βούλησης των πολιτών της Ένωσης</w:t>
      </w:r>
      <w:r>
        <w:rPr>
          <w:noProof/>
        </w:rPr>
        <w:t>». Στο άρθρο 12 παράγραφος 2 του Χάρτη των Θεμελιωδών Δικαιωμάτων της Ευρωπαϊκής Ένωσης διατυπώνεται η ίδια αρχή.</w:t>
      </w:r>
    </w:p>
    <w:p>
      <w:pPr>
        <w:spacing w:after="240"/>
        <w:rPr>
          <w:noProof/>
          <w:szCs w:val="24"/>
        </w:rPr>
      </w:pPr>
      <w:r>
        <w:rPr>
          <w:noProof/>
        </w:rPr>
        <w:t xml:space="preserve">Η προώθηση του πολιτικού διαλόγου σε όλη την Ευρώπη επί ζητημάτων ευρωπαϊκού ενδιαφέροντος μέσα από δυναμικά ευρωπαϊκά πολιτικά κόμματα αποτελεί από μακρού στόχο της Επιτροπής. </w:t>
      </w:r>
    </w:p>
    <w:p>
      <w:pPr>
        <w:spacing w:after="240"/>
        <w:rPr>
          <w:noProof/>
          <w:szCs w:val="24"/>
        </w:rPr>
      </w:pPr>
      <w:r>
        <w:rPr>
          <w:noProof/>
        </w:rPr>
        <w:t>Στο πλαίσιο των ευρωπαϊκών εκλογών του 2014 η Επιτροπή εξέδωσε σύσταση</w:t>
      </w:r>
      <w:r>
        <w:rPr>
          <w:rStyle w:val="FootnoteReference"/>
          <w:noProof/>
        </w:rPr>
        <w:footnoteReference w:id="2"/>
      </w:r>
      <w:r>
        <w:rPr>
          <w:noProof/>
        </w:rPr>
        <w:t xml:space="preserve"> με την οποία καλούσε τα ευρωπαϊκά και τα εθνικά πολιτικά κόμματα, συνεπικουρούμενα από τα θεσμικά όργανα και τα κράτη μέλη, να λάβουν σειρά μέτρων για να ενισχύσουν τον ρόλο των ευρωπαϊκών πολιτικών κομμάτων όσον αφορά τη συμβολή τους στη διαμόρφωση της ευρωπαϊκής πολιτικής συνείδησης και στην έκφραση της βούλησης των πολιτών της Ένωσης. Ένα από αυτά τα μέτρα ήταν η διαδικασία Spitzenkandidat (υποψηφίου επικεφαλής ψηφοδελτίου).</w:t>
      </w:r>
    </w:p>
    <w:p>
      <w:pPr>
        <w:spacing w:after="240"/>
        <w:rPr>
          <w:noProof/>
          <w:szCs w:val="24"/>
        </w:rPr>
      </w:pPr>
      <w:r>
        <w:rPr>
          <w:noProof/>
        </w:rPr>
        <w:t>Τα ευρωπαϊκά πολιτικά κόμματα ανταποκρίθηκαν στην πρόσκληση της Επιτροπής και οι εκλογές του 2014 για το Ευρωπαϊκό Κοινοβούλιο διέφεραν θεμελιωδώς από προηγούμενες. Για πρώτη φορά εδραίωσαν σαφή σύνδεση μεταξύ των αποτελεσμάτων των εκλογών και της επιλογής του σημερινού προέδρου της Ευρωπαϊκής Επιτροπής Jean-Claude Juncker. «Spitzenkandidaten», δηλαδή υποψήφιοι για την προεδρία της Ευρωπαϊκής Επιτροπής, με διαφορετικά πολιτικά προγράμματα έδωσαν τη δυνατότητα στους ψηφοφόρους να προβούν σε τεκμηριωμένη επιλογή μεταξύ των εναλλακτικών πολιτικών πλατφορμών για την Ευρώπη, αντί η επιλογή τους να βασιστεί αποκλειστικά σε εθνικά πολιτικά ζητήματα, προσδίδοντας κατ’ αυτόν τον τρόπο «ευρωπαϊκό» χαρακτήρα στις εκλογές.</w:t>
      </w:r>
    </w:p>
    <w:p>
      <w:pPr>
        <w:spacing w:after="240"/>
        <w:rPr>
          <w:noProof/>
          <w:szCs w:val="24"/>
        </w:rPr>
      </w:pPr>
      <w:r>
        <w:rPr>
          <w:noProof/>
        </w:rPr>
        <w:t xml:space="preserve">Ο κανονισμός αριθ. 1141/2014 του Ευρωπαϊκού Κοινοβουλίου και του Συμβουλίου, της 22ας Οκτωβρίου 2014, σχετικά με το καθεστώς και τη χρηματοδότηση των ευρωπαϊκών πολιτικών </w:t>
      </w:r>
      <w:r>
        <w:rPr>
          <w:noProof/>
        </w:rPr>
        <w:lastRenderedPageBreak/>
        <w:t>κομμάτων και των ευρωπαϊκών πολιτικών ιδρυμάτων</w:t>
      </w:r>
      <w:r>
        <w:rPr>
          <w:rStyle w:val="FootnoteReference"/>
          <w:noProof/>
        </w:rPr>
        <w:footnoteReference w:id="3"/>
      </w:r>
      <w:r>
        <w:rPr>
          <w:noProof/>
        </w:rPr>
        <w:t xml:space="preserve"> θεσπίστηκε με σκοπό να ενισχυθεί η προβολή, η αναγνώριση, η αποτελεσματικότητα, η διαφάνεια και η λογοδοσία των ευρωπαϊκών πολιτικών κομμάτων και των ευρωπαϊκών πολιτικών ιδρυμάτων που συνδέονται με αυτά. </w:t>
      </w:r>
    </w:p>
    <w:p>
      <w:pPr>
        <w:spacing w:after="240"/>
        <w:rPr>
          <w:noProof/>
          <w:szCs w:val="24"/>
        </w:rPr>
      </w:pPr>
      <w:r>
        <w:rPr>
          <w:noProof/>
        </w:rPr>
        <w:t xml:space="preserve">Στα πολιτικά κόμματα και τα πολιτικά ιδρύματα που πληρούσαν μια σειρά προϋποθέσεων δόθηκε η δυνατότητα να γίνουν ευρωπαϊκές νομικές οντότητες μέσω της καταχώρισής τους σε ευρωπαϊκό επίπεδο και να αυξηθεί με τον τρόπο αυτό η πρόσβασή τους σε ευρωπαϊκή οικονομική στήριξη. Μεταξύ των προϋποθέσεων αυτών είναι ότι πρέπει να αντιπροσωπεύονται σε αρκετά μεγάλο αριθμό κρατών μελών της ΕΕ και να σέβονται, τόσο στο πλαίσιο του προγράμματος όσο και των δραστηριοτήτων τους, τις αξίες επί των οποίων ερείδεται η ΕΕ —του σεβασμού της ανθρώπινης αξιοπρέπειας, της ελευθερίας, της δημοκρατίας, της ισότητας, του κράτους δικαίου, καθώς και του σεβασμού των ανθρώπινων δικαιωμάτων, συμπεριλαμβανόμενων των δικαιωμάτων των ατόμων που ανήκουν σε μειονότητες. </w:t>
      </w:r>
    </w:p>
    <w:p>
      <w:pPr>
        <w:spacing w:after="240"/>
        <w:rPr>
          <w:noProof/>
          <w:szCs w:val="24"/>
        </w:rPr>
      </w:pPr>
      <w:r>
        <w:rPr>
          <w:noProof/>
        </w:rPr>
        <w:t>Δημιουργήθηκε ανεξάρτητη αρχή για τα ευρωπαϊκά πολιτικά κόμματα και τα ευρωπαϊκά πολιτικά ιδρύματα («η Αρχή») με σκοπό την καταχώριση, τον έλεγχο και, εν ανάγκη, την επιβολή κυρώσεων στα ευρωπαϊκά πολιτικά κόμματα και τα ευρωπαϊκά πολιτικά ιδρύματα, όπως μεταξύ άλλων προκειμένου να εξετάζονται περιπτώσεις στις οποίες εικάζεται ότι οι εν λόγω οντότητες δεν σέβονται αυτές τις θεμελιώδεις ευρωπαϊκές αρχές. Σε περίπτωση που εγείρονται αμφιβολίες όσον αφορά την έμπρακτη συμμόρφωση ενός κόμματος ή ιδρύματος με την εν λόγω απαίτηση, το Ευρωπαϊκό Κοινοβούλιο, το Συμβούλιο ή η Επιτροπή μπορούν να υποβάλλουν αίτηση στην Αρχή για τα ευρωπαϊκά πολιτικά κόμματα και τα ευρωπαϊκά πολιτικά ιδρύματα προκειμένου να αξιολογηθεί η κατάσταση. Η Αρχή, προτού λάβει απόφαση για τη διαγραφή (από το Μητρώο) ευρωπαϊκού πολιτικού κόμματος ή ευρωπαϊκού πολιτικού ιδρύματος, οφείλει να διαβουλεύεται με επιτροπή ανεξάρτητων διακεκριμένων προσωπικοτήτων.</w:t>
      </w:r>
    </w:p>
    <w:p>
      <w:pPr>
        <w:spacing w:after="240"/>
        <w:rPr>
          <w:noProof/>
          <w:szCs w:val="24"/>
        </w:rPr>
      </w:pPr>
      <w:r>
        <w:rPr>
          <w:noProof/>
        </w:rPr>
        <w:t>Εντούτοις, στην έκθεσή της σχετικά με τις εκλογές του Ευρωπαϊκού Κοινοβουλίου 2014</w:t>
      </w:r>
      <w:r>
        <w:rPr>
          <w:rStyle w:val="FootnoteReference"/>
          <w:noProof/>
        </w:rPr>
        <w:footnoteReference w:id="4"/>
      </w:r>
      <w:r>
        <w:rPr>
          <w:noProof/>
        </w:rPr>
        <w:t xml:space="preserve"> η Επιτροπή διαπίστωσε ότι απαιτούνται ακόμη σημαντικές προσπάθειες για την αύξηση της συμμετοχής των πολιτών και την άρση των αποκλεισμών από την εκλογική διαδικασία, την ενίσχυση της ευρωπαϊκής διάστασης του πολιτικού διαλόγου, την αντιστροφή της τάσης των χαμηλών ποσοστών προσέλευσης στις κάλπες, την περαιτέρω ενίσχυση της δημοκρατικής νομιμότητας της διαδικασίας λήψης αποφάσεων της ΕΕ, την ανάδειξη των σχέσεων μεταξύ εθνικών και ευρωπαϊκών κομμάτων και την προαγωγή της πολιτικής λογοδοσίας.</w:t>
      </w:r>
    </w:p>
    <w:p>
      <w:pPr>
        <w:spacing w:after="240"/>
        <w:rPr>
          <w:noProof/>
          <w:szCs w:val="24"/>
        </w:rPr>
      </w:pPr>
      <w:r>
        <w:rPr>
          <w:noProof/>
        </w:rPr>
        <w:t>Επιπλέον, παρά την πρόοδο που σημειώθηκε με τον κανονισμό αριθ. 1141/2014, οι υφιστάμενοι κανόνες έχουν κενά που πρέπει να καλυφθούν.</w:t>
      </w:r>
    </w:p>
    <w:p>
      <w:pPr>
        <w:spacing w:after="240"/>
        <w:rPr>
          <w:noProof/>
          <w:szCs w:val="24"/>
        </w:rPr>
      </w:pPr>
      <w:r>
        <w:rPr>
          <w:noProof/>
        </w:rPr>
        <w:t xml:space="preserve">Το Ευρωπαϊκό Κοινοβούλιο, καθώς και ορισμένα ευρωπαϊκά πολιτικά κόμματα, έχουν ζητήσει βελτίωση και διόρθωση των κανόνων αυτών. Οι υπηρεσίες του Ευρωπαϊκού Κοινοβουλίου που είναι υπεύθυνες για τη διοικητική διαχείριση του εν λόγω κανονισμού </w:t>
      </w:r>
      <w:r>
        <w:rPr>
          <w:noProof/>
        </w:rPr>
        <w:lastRenderedPageBreak/>
        <w:t xml:space="preserve">ασχολήθηκαν με σειρά υποθέσεων που υπήρξαν αποτέλεσμα ακατάλληλης χρήσης της χρηματοδότησης. </w:t>
      </w:r>
    </w:p>
    <w:p>
      <w:pPr>
        <w:spacing w:after="240"/>
        <w:rPr>
          <w:noProof/>
          <w:szCs w:val="24"/>
        </w:rPr>
      </w:pPr>
      <w:r>
        <w:rPr>
          <w:noProof/>
        </w:rPr>
        <w:t xml:space="preserve">Τον Μάρτιο του 2017 το Κοινοβούλιο διεξήγαγε συζήτηση στην ολομέλεια και εξέδωσε ερώτηση με αίτημα προφορικής απάντησης από την Επιτροπή όσον αφορά αφενός τον χρονισμό των όποιων αλλαγών και αφετέρου ορισμένες συγκεκριμένες αλλαγές αναφορικά με το επίπεδο της συγχρηματοδότησης, τη δυνατότητα των βουλευτών του Ευρωπαϊκού Κοινοβουλίου να συμμετέχουν σε περισσότερα κόμματα, τον αριθμό των βουλευτών που απαιτούνται για να δοθεί χρηματοδότηση, τη χρηματοδότηση εκστρατειών για δημοψηφίσματα, τη θέσπιση κριτηρίου οικονομικής επάρκειας και την παραχώρηση άδειας για δημιουργία αποθεματικού. </w:t>
      </w:r>
    </w:p>
    <w:p>
      <w:pPr>
        <w:spacing w:after="240"/>
        <w:rPr>
          <w:noProof/>
          <w:szCs w:val="24"/>
        </w:rPr>
      </w:pPr>
      <w:r>
        <w:rPr>
          <w:noProof/>
        </w:rPr>
        <w:t>Στο πλαίσιο της συζήτησης η Επιτροπή εξέφρασε τη βούλησή της να συμμετάσχει με το Ευρωπαϊκό Κοινοβούλιο, και το Συμβούλιο, στην παρακολούθηση των πρώτων σταδίων εφαρμογής των νέων κανόνων. Στις 15 Ιουνίου 2017 το Κοινοβούλιο εξέδωσε ψήφισμα</w:t>
      </w:r>
      <w:r>
        <w:rPr>
          <w:rStyle w:val="FootnoteReference"/>
          <w:noProof/>
        </w:rPr>
        <w:footnoteReference w:id="5"/>
      </w:r>
      <w:r>
        <w:rPr>
          <w:noProof/>
        </w:rPr>
        <w:t xml:space="preserve"> με το οποίο καλεί την Επιτροπή να προτείνει την αναθεώρηση του ισχύοντος νομικού πλαισίου το συντομότερο δυνατόν προκειμένου να αντιμετωπιστούν οι ελλείψεις του, ιδίως σε ό,τι αφορά το επίπεδο της συγχρηματοδότησης που ζητείται, αλλά και τη δυνατότητα των βουλευτών του Ευρωπαϊκού Κοινοβουλίου να συμμετέχουν σε περισσότερα κόμματα. </w:t>
      </w:r>
    </w:p>
    <w:p>
      <w:pPr>
        <w:spacing w:after="240"/>
        <w:rPr>
          <w:noProof/>
          <w:szCs w:val="24"/>
        </w:rPr>
      </w:pPr>
      <w:r>
        <w:rPr>
          <w:noProof/>
        </w:rPr>
        <w:t xml:space="preserve">Το Ευρωπαϊκό Κοινοβούλιο και τα πολιτικά κόμματα που το απαρτίζουν επανέλαβαν γραπτώς στην Επιτροπή το αίτημά τους για αλλαγές· το αίτημα αυτό διατυπώθηκε σε εμπεριστατωμένης έκθεση που υποβλήθηκε στην Επιτροπή.  </w:t>
      </w:r>
    </w:p>
    <w:p>
      <w:pPr>
        <w:spacing w:after="240"/>
        <w:rPr>
          <w:noProof/>
          <w:szCs w:val="24"/>
        </w:rPr>
      </w:pPr>
      <w:r>
        <w:rPr>
          <w:noProof/>
        </w:rPr>
        <w:t xml:space="preserve">Λαμβανομένων υπόψη των ανωτέρω και με βάση τις εκτενείς πληροφορίες που λήφθηκαν από διάφορους ενδιαφερομένους φορείς (βλ. τμήμα 3), η Επιτροπή αποφάσισε ως εκ τούτου να προτείνει περιορισμένο αριθμό στοχευμένων τροποποιήσεων του υπό εξέταση κανονισμού. Οι τροποποιήσεις αυτές έχουν ως στόχο να καλυφθούν τα κενά και να βελτιωθεί η διαφάνεια, ώστε να εξασφαλιστεί η σωστή κατανομή και ανάλωση των περιορισμένων πόρων από τον προϋπολογισμό της ΕΕ και, με τον τρόπο αυτό, να ενισχυθεί η γνήσια εκλογική εκπροσώπηση των ευρωπαίων πολιτών από τα ευρωπαϊκά πολιτικά κόμματα. Οι τροποποιήσεις θα εξασφαλίσουν ότι οι ισχύοντες κανόνες δεν καταστρατηγούνται, ούτε γίνεται κατάχρηση των διατάξεών του. </w:t>
      </w:r>
    </w:p>
    <w:p>
      <w:pPr>
        <w:spacing w:after="240"/>
        <w:rPr>
          <w:noProof/>
          <w:szCs w:val="24"/>
        </w:rPr>
      </w:pPr>
      <w:r>
        <w:rPr>
          <w:noProof/>
        </w:rPr>
        <w:t>Οι στοχευμένες αλλαγές αναμένεται να επέλθουν πριν από τις ευρωπαϊκές εκλογές του 2019. Θα συμβάλουν στην αντιμετώπιση των προκλήσεων που διαπίστωσε η Επιτροπή σε σχέση με τις ευρωπαϊκές εκλογές του 2014, ιδίως δε όσον αφορά τις σχέσεις μεταξύ εθνικών και ευρωπαϊκών κομμάτων και την προαγωγή της πολιτικής λογοδοσίας.</w:t>
      </w:r>
    </w:p>
    <w:p>
      <w:pPr>
        <w:pStyle w:val="ManualHeading2"/>
        <w:rPr>
          <w:noProof/>
        </w:rPr>
      </w:pPr>
      <w:r>
        <w:rPr>
          <w:noProof/>
          <w:color w:val="000000"/>
          <w:u w:color="000000"/>
          <w:bdr w:val="nil"/>
        </w:rPr>
        <w:t>•</w:t>
      </w:r>
      <w:r>
        <w:rPr>
          <w:noProof/>
        </w:rPr>
        <w:tab/>
      </w:r>
      <w:r>
        <w:rPr>
          <w:noProof/>
          <w:color w:val="000000"/>
          <w:u w:color="000000"/>
          <w:bdr w:val="nil"/>
        </w:rPr>
        <w:t>• Ειδικά θέματα</w:t>
      </w:r>
    </w:p>
    <w:p>
      <w:pPr>
        <w:pBdr>
          <w:top w:val="nil"/>
          <w:left w:val="nil"/>
          <w:bottom w:val="nil"/>
          <w:right w:val="nil"/>
          <w:between w:val="nil"/>
          <w:bar w:val="nil"/>
        </w:pBdr>
        <w:spacing w:before="0" w:after="240"/>
        <w:rPr>
          <w:rFonts w:eastAsia="Arial Unicode MS"/>
          <w:noProof/>
        </w:rPr>
      </w:pPr>
      <w:r>
        <w:rPr>
          <w:noProof/>
        </w:rPr>
        <w:t xml:space="preserve">Αρχικά, οι ισχύοντες κανόνες αφήνουν περιθώρια κατάχρησης σε ό, τι αφορά το ζήτημα του ποιος μπορεί να υποστηρίξει την καταχώριση ενός ευρωπαϊκού πολιτικού κόμματος, επειδή επιτρέπουν την εκπλήρωση της απαίτησης σχετικά με το απαιτούμενο επίπεδο εκπροσώπησης (δηλαδή σε επτά κράτη μέλη) είτε i) με την υποστήριξη κομμάτων μελών που εκπροσωπούνται σε περιφερειακά κοινοβούλια, εθνικά κοινοβούλια ή στο Ευρωπαϊκό </w:t>
      </w:r>
      <w:r>
        <w:rPr>
          <w:noProof/>
        </w:rPr>
        <w:lastRenderedPageBreak/>
        <w:t xml:space="preserve">Κοινοβούλιο· ii) με την υποστήριξη μεμονωμένων μελών των εν λόγω κοινοβουλίων ή iii) είτε με συνδυασμό των δύο. </w:t>
      </w:r>
    </w:p>
    <w:p>
      <w:pPr>
        <w:pBdr>
          <w:top w:val="nil"/>
          <w:left w:val="nil"/>
          <w:bottom w:val="nil"/>
          <w:right w:val="nil"/>
          <w:between w:val="nil"/>
          <w:bar w:val="nil"/>
        </w:pBdr>
        <w:spacing w:before="0" w:after="240"/>
        <w:rPr>
          <w:rFonts w:eastAsia="Arial Unicode MS"/>
          <w:noProof/>
        </w:rPr>
      </w:pPr>
      <w:r>
        <w:rPr>
          <w:noProof/>
        </w:rPr>
        <w:t>Τα πρώτα έτη μετά τη θέσπιση της χρηματοδότησης των ευρωπαϊκών πολιτικών κομμάτων, οι περισσότεροι δικαιούχοι είχαν συγκροτηθεί ως συνασπισμοί εθνικών κομμάτων που προέρχονταν από την ίδια πολιτική οικογένεια. Ωστόσο, αρκετά ευρωπαϊκά πολιτικά κόμματα που δημιουργήθηκαν τα τελευταία χρόνια αποτελούνται κυρίως από μεμονωμένους πολιτικούς ή/και κυριαρχούνται σε μεγάλο βαθμό από ένα ή δύο εθνικά πολιτικά κόμματα. Υπάρχουν αρκετές περιπτώσεις διαφορετικών μελών του ιδίου εθνικού κόμματος τα οποία παρείχαν στήριξη σε περισσότερα του ενός ευρωπαϊκά πολιτικά κόμματα· σε κάποιες ακραίες περιπτώσεις, το ίδιο μέλος υποστήριζε περισσότερα από ένα κόμματα.</w:t>
      </w:r>
    </w:p>
    <w:p>
      <w:pPr>
        <w:pBdr>
          <w:top w:val="nil"/>
          <w:left w:val="nil"/>
          <w:bottom w:val="nil"/>
          <w:right w:val="nil"/>
          <w:between w:val="nil"/>
          <w:bar w:val="nil"/>
        </w:pBdr>
        <w:spacing w:before="0" w:after="240"/>
        <w:rPr>
          <w:rFonts w:eastAsia="Arial Unicode MS"/>
          <w:noProof/>
        </w:rPr>
      </w:pPr>
      <w:r>
        <w:rPr>
          <w:noProof/>
        </w:rPr>
        <w:t>Η Αρχή έχει έρθει επίσης αντιμέτωπη με πρακτικά προβλήματα που συνδέονται με τη συμμετοχή σε περισσότερα κόμματα. Συχνά δεν είναι σαφές πώς μπορεί να αποφευχθεί η διπλή καταμέτρηση για τους σκοπούς της εκπροσώπησης, πώς να ληφθούν υπόψη οι προηγούμενες συμμετοχές και πώς να συνδεθεί η εκπροσώπηση με τα κριτήρια χρηματοδότησης - συμπεριλαμβανομένης της περίπτωσης ένας βουλευτής του Ευρωπαϊκού Κοινοβουλίου να προσμετράται σε διαφορετικά ευρωπαϊκά πολιτικά κόμματα για τους σκοπούς, αφενός, της καταχώρισης και, αφετέρου, της χρηματοδότησης.</w:t>
      </w: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 xml:space="preserve">Το δεύτερο ζήτημα αφορά την </w:t>
      </w:r>
      <w:r>
        <w:rPr>
          <w:rFonts w:ascii="Times New Roman" w:hAnsi="Times New Roman"/>
          <w:b/>
          <w:noProof/>
          <w:sz w:val="24"/>
        </w:rPr>
        <w:t>αναλογικότητα της ενωσιακής χρηματοδότησης</w:t>
      </w:r>
      <w:r>
        <w:rPr>
          <w:rFonts w:ascii="Times New Roman" w:hAnsi="Times New Roman"/>
          <w:noProof/>
          <w:sz w:val="24"/>
        </w:rPr>
        <w:t xml:space="preserve"> της εκπροσώπησης στο Ευρωπαϊκό Κοινοβούλιο. Σήμερα τα ευρωπαϊκά πολιτικά κόμματα μπορούν να υποβάλλουν αίτηση χρηματοδότησης αν εκπροσωπούνται στο Ευρωπαϊκό Κοινοβούλιο με έναν τουλάχιστον βουλευτή. Ορισμένα ευρωπαϊκά πολιτικά κόμματα καθώς και η διοίκηση του Ευρωπαϊκού Κοινοβουλίου, έχουν ζητήσει να αυξηθεί το κατώτατο όριο εκπροσώπησης σε τρία μέλη, ώστε να αποτραπεί η κατάχρηση της δημόσιας χρηματοδότησης μέσω των «μονοπρόσωπων κομμάτων».</w:t>
      </w:r>
    </w:p>
    <w:p>
      <w:pPr>
        <w:pStyle w:val="ListParagraph"/>
        <w:spacing w:after="240" w:line="240" w:lineRule="auto"/>
        <w:ind w:left="0"/>
        <w:jc w:val="both"/>
        <w:rPr>
          <w:rFonts w:ascii="Times New Roman" w:eastAsia="Times New Roman" w:hAnsi="Times New Roman" w:cs="Times New Roman"/>
          <w:noProof/>
          <w:sz w:val="24"/>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Ωστόσο, μια τέτοια αλλαγή θα είχε ελάχιστες επιπτώσεις στην πράξη, καθώς ακόμη και τα ευρωπαϊκά πολιτικά κόμματα με τη μικρότερη αριθμητική εκπροσώπηση στο Ευρωπαϊκό Κοινοβούλιο που είναι επιλέξιμα για χρηματοδότηση αριθμούν σήμερα 3 βουλευτές</w:t>
      </w:r>
      <w:r>
        <w:rPr>
          <w:rStyle w:val="FootnoteReference"/>
          <w:rFonts w:ascii="Times New Roman" w:hAnsi="Times New Roman"/>
          <w:noProof/>
          <w:sz w:val="24"/>
        </w:rPr>
        <w:footnoteReference w:id="6"/>
      </w:r>
      <w:r>
        <w:rPr>
          <w:rFonts w:ascii="Times New Roman" w:hAnsi="Times New Roman"/>
          <w:noProof/>
          <w:sz w:val="24"/>
        </w:rPr>
        <w:t xml:space="preserve"> (βλέπε διάγραμμα). Ακόμα πιο σημαντικό είναι ότι μια τέτοια αλλαγή θα γεννούσε νομικές επιφυλάξεις αναφορικά με τα θεμελιώδη δικαιώματα της ελευθερίας του συνεταιρίζεσθαι και των ίσων ευκαιριών για τα κόμματα που κατεβάζουν υποψηφίους για τις εκλογές και θα περιόριζε αδικαιολόγητα τον πλουραλιστικό χαρακτήρα του ευρωπαϊκού πολιτικού γίγνεσθαι.</w:t>
      </w: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cs="Times New Roman"/>
          <w:noProof/>
          <w:lang w:val="en-US" w:eastAsia="en-US" w:bidi="ar-SA"/>
        </w:rPr>
        <w:lastRenderedPageBreak/>
        <w:drawing>
          <wp:inline distT="0" distB="0" distL="0" distR="0">
            <wp:extent cx="4857750" cy="279082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860390" cy="2792342"/>
                    </a:xfrm>
                    <a:prstGeom prst="rect">
                      <a:avLst/>
                    </a:prstGeom>
                  </pic:spPr>
                </pic:pic>
              </a:graphicData>
            </a:graphic>
          </wp:inline>
        </w:drawing>
      </w:r>
    </w:p>
    <w:p>
      <w:pPr>
        <w:rPr>
          <w:rFonts w:eastAsia="Times New Roman"/>
          <w:noProof/>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Υπάρχει ένας άλλος τρόπος για την αντιμετώπιση αυτού του ζητήματος με την τροποποίηση της κλείδας κατανομής για τη χρηματοδότηση των επιλέξιμων ευρωπαϊκών πολιτικών κομμάτων και των ευρωπαϊκών πολιτικών ιδρυμάτων. Σήμερα, το 15% του συνολικού ποσού που διατίθεται κατανέμεται ισομερώς σε όλα τα κόμματα που καλύπτουν το κατώτατο όριο του ενός βουλευτή στο Ευρωπαϊκό Κοινοβούλιο, και τα υπόλοιπο 85% κατανέμεται αναλογικά προς το ποσοστό των εκλεγμένων βουλευτών του κάθε κόμματος στο Ευρωπαϊκό Κοινοβούλιο (η ίδια κλείδα κατανομής χρησιμοποιείται και για τα ιδρύματα). Αυτό οδηγεί σε μια μάλλον ανακριβή εικόνα της εκλογικής εκπροσώπησης στο Κοινοβούλιο. Οι κατωτέρω πίνακες</w:t>
      </w:r>
      <w:r>
        <w:rPr>
          <w:rStyle w:val="FootnoteReference"/>
          <w:rFonts w:ascii="Times New Roman" w:hAnsi="Times New Roman"/>
          <w:noProof/>
          <w:sz w:val="24"/>
        </w:rPr>
        <w:footnoteReference w:id="7"/>
      </w:r>
      <w:r>
        <w:rPr>
          <w:rFonts w:ascii="Times New Roman" w:hAnsi="Times New Roman"/>
          <w:noProof/>
          <w:sz w:val="24"/>
        </w:rPr>
        <w:t xml:space="preserve">, τους οποίους παρείχε η διοίκηση του Ευρωπαϊκού Κοινοβουλίου, δείχνουν την επίδραση της μεταβολής της σταθερής συνιστώσας της χρηματοδότησης σε σύγκριση με τη συνιστώσα που σχετίζεται με το επίπεδο της εκπροσώπησης στο Ευρωπαϊκό Κοινοβούλιο. Η μείωση του διατιθέμενου ποσού σε 5 % θα μπορούσε να συμβάλλει στην αποκατάσταση μιας πιο ενδεδειγμένης ισορροπίας και, ως εκ τούτου, να οδηγήσει σε μια πιο δίκαιη και καλύτερη αποτύπωση της εκλογικής εκπροσώπησης στο Κοινοβούλιο. </w:t>
      </w:r>
    </w:p>
    <w:p>
      <w:pPr>
        <w:pStyle w:val="ListParagraph"/>
        <w:spacing w:after="240" w:line="240" w:lineRule="auto"/>
        <w:ind w:left="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eastAsia="en-US" w:bidi="ar-SA"/>
        </w:rPr>
        <w:lastRenderedPageBreak/>
        <w:drawing>
          <wp:inline distT="0" distB="0" distL="0" distR="0">
            <wp:extent cx="5705856" cy="50335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C5902.tmp"/>
                    <pic:cNvPicPr/>
                  </pic:nvPicPr>
                  <pic:blipFill>
                    <a:blip r:embed="rId12">
                      <a:extLst>
                        <a:ext uri="{28A0092B-C50C-407E-A947-70E740481C1C}">
                          <a14:useLocalDpi xmlns:a14="http://schemas.microsoft.com/office/drawing/2010/main" val="0"/>
                        </a:ext>
                      </a:extLst>
                    </a:blip>
                    <a:stretch>
                      <a:fillRect/>
                    </a:stretch>
                  </pic:blipFill>
                  <pic:spPr>
                    <a:xfrm>
                      <a:off x="0" y="0"/>
                      <a:ext cx="5704146" cy="5032071"/>
                    </a:xfrm>
                    <a:prstGeom prst="rect">
                      <a:avLst/>
                    </a:prstGeom>
                  </pic:spPr>
                </pic:pic>
              </a:graphicData>
            </a:graphic>
          </wp:inline>
        </w:drawing>
      </w:r>
    </w:p>
    <w:p>
      <w:pPr>
        <w:pStyle w:val="ListParagraph"/>
        <w:spacing w:after="240" w:line="240" w:lineRule="auto"/>
        <w:ind w:left="0"/>
        <w:jc w:val="center"/>
        <w:rPr>
          <w:rFonts w:ascii="Times New Roman" w:eastAsia="Times New Roman" w:hAnsi="Times New Roman" w:cs="Times New Roman"/>
          <w:noProof/>
          <w:sz w:val="24"/>
          <w:szCs w:val="24"/>
        </w:rPr>
      </w:pPr>
      <w:r>
        <w:rPr>
          <w:rFonts w:ascii="Times New Roman" w:hAnsi="Times New Roman" w:cs="Times New Roman"/>
          <w:noProof/>
          <w:lang w:val="en-US" w:eastAsia="en-US" w:bidi="ar-SA"/>
        </w:rPr>
        <w:lastRenderedPageBreak/>
        <w:drawing>
          <wp:inline distT="0" distB="0" distL="0" distR="0">
            <wp:extent cx="5761355" cy="5043137"/>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5043137"/>
                    </a:xfrm>
                    <a:prstGeom prst="rect">
                      <a:avLst/>
                    </a:prstGeom>
                    <a:noFill/>
                    <a:ln>
                      <a:noFill/>
                    </a:ln>
                  </pic:spPr>
                </pic:pic>
              </a:graphicData>
            </a:graphic>
          </wp:inline>
        </w:drawing>
      </w:r>
    </w:p>
    <w:p>
      <w:pPr>
        <w:rPr>
          <w:rFonts w:eastAsia="Times New Roman"/>
          <w:noProof/>
          <w:szCs w:val="24"/>
        </w:rPr>
      </w:pPr>
      <w:r>
        <w:rPr>
          <w:noProof/>
        </w:rPr>
        <w:t xml:space="preserve">Τρίτον, παράλληλα με τα ζητήματα σχετικά με την κατάχρηση και την αναλογικότητα, τα ευρωπαϊκά πολιτικά κόμματα και — σε μεγαλύτερο βαθμό — τα πολιτικά ιδρύματα δυσκολεύονται να ανταποκριθούν στο τρέχον </w:t>
      </w:r>
      <w:r>
        <w:rPr>
          <w:b/>
          <w:noProof/>
        </w:rPr>
        <w:t>κατώτατο όριο συγχρηματοδότησης</w:t>
      </w:r>
      <w:r>
        <w:rPr>
          <w:noProof/>
        </w:rPr>
        <w:t xml:space="preserve"> του 15 %. Οι υπηρεσίες του Ευρωπαϊκού Κοινοβουλίου βρέθηκαν επίσης αντιμέτωπες με αμφιβόλου χαρακτήρα πρακτικές στο θέμα αυτό, όπως στην περίπτωση ορισμένων κομμάτων τα οποία επιχειρούν να συμμορφωθούν με το γράμμα της απαίτησης συγχρηματοδότησης μέσω κυκλικών χρηματοροών. Όσον αφορά την οικονομική επάρκεια, κατά το οικονομικό έτος 2015 ο εξωτερικός ελεγκτής του Ευρωπαϊκού Κοινοβουλίου διατύπωσε επιφυλάξεις σε 8 από τις 28 εκθέσεις. Από το στοιχείο αυτό προκύπτει ότι οι ίδιοι πόροι των δικαιούχων δεν είναι επαρκείς.</w:t>
      </w:r>
    </w:p>
    <w:p>
      <w:pPr>
        <w:rPr>
          <w:noProof/>
        </w:rPr>
      </w:pPr>
      <w:r>
        <w:rPr>
          <w:noProof/>
        </w:rPr>
        <w:t xml:space="preserve">Σε πολλές περιπτώσεις, το έλλειμμα στους ίδιους πόρους από συνεισφορές μελών και δωρεές μπορεί μόνο να ισοσκελιστεί από τη χρήση εισφορών σε είδος. Το 2015 δόθηκαν εισφορές σε είδος ύψους 238 009 EUR σε κόμματα και 283 649 EUR σε ιδρύματα. Η αντικειμενική αποτίμηση των εισφορών αυτών είναι ιδιαίτερα προβληματική. Σε αρκετές περιπτώσεις, η διοίκηση του Ευρωπαϊκού Κοινοβουλίου δεν ήταν σε θέση να επαληθεύσει αναλυτικά αυτή την αποτίμηση και να εξακριβώσει κατά πόσο οι εισφορές ήταν πράγματι αναγκαίες για τη δηλωθείσα δραστηριότητα και σχετίζονταν άμεσα με αυτή ούτε να αποφανθεί κατά πόσο οι υποκείμενες δραστηριότητες εξυπηρετούσαν αποκλειστικά το συμφέρον του ευρωπαϊκού </w:t>
      </w:r>
      <w:r>
        <w:rPr>
          <w:noProof/>
        </w:rPr>
        <w:lastRenderedPageBreak/>
        <w:t xml:space="preserve">κόμματος ή μέσω αυτών εξυπηρετούνταν ενδεχομένως και τα συμφέροντα συνεργαζόμενου οργανισμού. </w:t>
      </w:r>
    </w:p>
    <w:p>
      <w:pPr>
        <w:spacing w:after="240"/>
        <w:rPr>
          <w:noProof/>
          <w:szCs w:val="24"/>
        </w:rPr>
      </w:pPr>
      <w:r>
        <w:rPr>
          <w:noProof/>
        </w:rPr>
        <w:t xml:space="preserve">Τέταρτον, υπάρχει έλλειψη σαφήνειας και διαφάνειας στους υφιστάμενους κανόνες σχετικά με τα μέτρα που πρέπει να ληφθούν στις περιπτώσεις στις οποίες ένα κόμμα ή ίδρυμα </w:t>
      </w:r>
      <w:r>
        <w:rPr>
          <w:b/>
          <w:noProof/>
        </w:rPr>
        <w:t>παύει να πληροί τα κριτήρια καταχώρισης</w:t>
      </w:r>
      <w:r>
        <w:rPr>
          <w:noProof/>
        </w:rPr>
        <w:t xml:space="preserve"> ή διαπιστώνεται ότι έχει καταχωριστεί με βάση ανακριβείς πληροφορίες.</w:t>
      </w:r>
    </w:p>
    <w:p>
      <w:pPr>
        <w:spacing w:after="240"/>
        <w:rPr>
          <w:noProof/>
        </w:rPr>
      </w:pPr>
      <w:r>
        <w:rPr>
          <w:noProof/>
        </w:rPr>
        <w:t xml:space="preserve">Πέμπτον, με βάση την εμπειρία της διοίκησης του Κοινοβουλίου, είναι αναγκαίο να διευρυνθεί το πεδίο εφαρμογής των πιθανών μέτρων για την </w:t>
      </w:r>
      <w:r>
        <w:rPr>
          <w:b/>
          <w:noProof/>
        </w:rPr>
        <w:t>ανάκτηση παρατύπως δαπανηθέντων κεφαλαίων</w:t>
      </w:r>
      <w:r>
        <w:rPr>
          <w:noProof/>
        </w:rPr>
        <w:t xml:space="preserve"> από κόμματα και ιδρύματα.</w:t>
      </w:r>
    </w:p>
    <w:p>
      <w:pPr>
        <w:spacing w:after="240"/>
        <w:rPr>
          <w:noProof/>
          <w:szCs w:val="24"/>
        </w:rPr>
      </w:pPr>
    </w:p>
    <w:p>
      <w:pPr>
        <w:pStyle w:val="ManualHeading2"/>
        <w:rPr>
          <w:noProof/>
        </w:rPr>
      </w:pPr>
      <w:r>
        <w:rPr>
          <w:noProof/>
          <w:color w:val="000000"/>
          <w:u w:color="000000"/>
          <w:bdr w:val="nil"/>
        </w:rPr>
        <w:t>•</w:t>
      </w:r>
      <w:r>
        <w:rPr>
          <w:noProof/>
        </w:rPr>
        <w:tab/>
        <w:t>Συνοχή με άλλες πολιτικές της Ένωσης</w:t>
      </w:r>
    </w:p>
    <w:p>
      <w:pPr>
        <w:pBdr>
          <w:top w:val="nil"/>
          <w:left w:val="nil"/>
          <w:bottom w:val="nil"/>
          <w:right w:val="nil"/>
          <w:between w:val="nil"/>
          <w:bar w:val="nil"/>
        </w:pBdr>
        <w:spacing w:before="0" w:after="240"/>
        <w:rPr>
          <w:noProof/>
        </w:rPr>
      </w:pPr>
      <w:r>
        <w:rPr>
          <w:noProof/>
        </w:rPr>
        <w:t>Η Επιτροπή, στην Έκθεση 2017 για τα δικαιώματα που απορρέουν από την ιθαγένεια της ΕΕ</w:t>
      </w:r>
      <w:r>
        <w:rPr>
          <w:rStyle w:val="FootnoteReference"/>
          <w:noProof/>
        </w:rPr>
        <w:footnoteReference w:id="8"/>
      </w:r>
      <w:r>
        <w:rPr>
          <w:noProof/>
        </w:rPr>
        <w:t>, αναγνωρίζει ότι η λειτουργία της ΕΕ θεμελιώνεται στην αντιπροσωπευτική δημοκρατία. Στο πλαίσιο αυτό απαιτείται διαφάνεια και μια προσβάσιμη, υπεύθυνη πολιτική κουλτούρα/παιδεία, η οποία πρέπει να υποστηρίζεται από ένα αποτελεσματικό εκλογικό σύστημα και ένα ενημερωμένο και ενεργό εκλογικό σώμα. Προς τούτο, η Επιτροπή δεσμεύθηκε να εντείνει τους διαλόγους με τους πολίτες και να αναλάβει περαιτέρω δράση προκειμένου να εξηγήσει τις πολιτικές της στους πολίτες, όπως επισήμανε ο πρόεδρος της Επιτροπής Jean-Claude Juncker στην ομιλία του για την κατάσταση της Ένωσης το 2016, να διεξάγει, ενόψει των εκλογών του 2019, μια εκστρατεία ενημέρωσης και ευαισθητοποίησης σε ολόκληρη την ΕΕ σχετικά με τα δικαιώματα που απορρέουν από την ιθαγένεια της ΕΕ, μεταξύ άλλων σχετικά με τα εκλογικά δικαιώματα· να οργανώσει το 2018 μια εκδήλωση υψηλού επιπέδου για τη δημοκρατική συμμετοχή με έμφαση στην ενθάρρυνση βέλτιστων πρακτικών για την αύξηση της συμμετοχής των νέων και των ευάλωτων ατόμων, καθώς και των υποεκπροσωπούμενων ομάδων· και να προωθήσει βέλτιστες πρακτικές οι οποίες βοηθούν τους πολίτες να ψηφίζουν και να θέτουν υποψηφιότητα στις εκλογές της ΕΕ, μεταξύ άλλων και πρακτικές που επιτρέπουν στους πολίτες να διατηρούν το δικαίωμα ψήφου όταν εγκαθίστανται σε άλλο κράτος μέλος, που διευκολύνουν τη διασυνοριακή πρόσβαση σε πολιτική ειδησεογραφία, υποστηρίζουν την προσέλευση στις κάλπες και την ευρεία δημοκρατική συμμετοχή ενόψει των ευρωπαϊκών εκλογών του 2019</w:t>
      </w:r>
      <w:r>
        <w:rPr>
          <w:rStyle w:val="FootnoteReference"/>
          <w:noProof/>
        </w:rPr>
        <w:footnoteReference w:id="9"/>
      </w:r>
      <w:r>
        <w:rPr>
          <w:noProof/>
        </w:rPr>
        <w:t xml:space="preserve">. Η παρούσα πρόταση συμπληρώνει και εναρμονίζεται με τις προτεραιότητες αυτές και, πέραν των θεμάτων που αναφέρονται στο προηγούμενο τμήμα, περιλαμβάνει συνεπώς ορισμένες αλλαγές προκειμένου να ενισχυθεί η διαφάνεια της σχέσης μεταξύ των κομμάτων σε επίπεδο κράτους μέλους και των ευρωπαϊκών κομμάτων με τα οποία είναι συνδεδεμένα. </w:t>
      </w:r>
    </w:p>
    <w:p>
      <w:pPr>
        <w:autoSpaceDE w:val="0"/>
        <w:autoSpaceDN w:val="0"/>
        <w:adjustRightInd w:val="0"/>
        <w:spacing w:before="0" w:after="0"/>
        <w:rPr>
          <w:noProof/>
          <w:szCs w:val="24"/>
        </w:rPr>
      </w:pPr>
      <w:r>
        <w:rPr>
          <w:noProof/>
        </w:rPr>
        <w:t>Μια σειρά από πρωτοβουλίες σχετίζονται έμμεσα με την παρούσα αναθεώρηση, ιδιαίτερα η σύσταση της Επιτροπής</w:t>
      </w:r>
      <w:r>
        <w:rPr>
          <w:rStyle w:val="FootnoteReference"/>
          <w:noProof/>
        </w:rPr>
        <w:footnoteReference w:id="10"/>
      </w:r>
      <w:r>
        <w:rPr>
          <w:noProof/>
        </w:rPr>
        <w:t xml:space="preserve"> σχετικά με την ενίσχυση του δημοκρατικού και αποτελεσματικού τρόπου διεξαγωγής των εκλογών για το Ευρωπαϊκό Κοινοβούλιο</w:t>
      </w:r>
      <w:r>
        <w:rPr>
          <w:b/>
          <w:noProof/>
        </w:rPr>
        <w:t xml:space="preserve"> </w:t>
      </w:r>
      <w:r>
        <w:rPr>
          <w:noProof/>
        </w:rPr>
        <w:t>και</w:t>
      </w:r>
      <w:r>
        <w:rPr>
          <w:b/>
          <w:noProof/>
        </w:rPr>
        <w:t xml:space="preserve"> </w:t>
      </w:r>
      <w:r>
        <w:rPr>
          <w:noProof/>
        </w:rPr>
        <w:t xml:space="preserve">τη μεταρρύθμιση τόσο </w:t>
      </w:r>
      <w:r>
        <w:rPr>
          <w:noProof/>
        </w:rPr>
        <w:lastRenderedPageBreak/>
        <w:t>της Ευρωπαϊκής Εκλογικής Πράξης όσο και της απόφασης του Ευρωπαϊκού Συμβουλίου για τη σύνθεση του Ευρωπαϊκού Κοινοβουλίου</w:t>
      </w:r>
      <w:r>
        <w:rPr>
          <w:rStyle w:val="FootnoteReference"/>
          <w:noProof/>
        </w:rPr>
        <w:footnoteReference w:id="11"/>
      </w:r>
      <w:r>
        <w:rPr>
          <w:noProof/>
        </w:rPr>
        <w: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autoSpaceDE w:val="0"/>
        <w:autoSpaceDN w:val="0"/>
        <w:adjustRightInd w:val="0"/>
        <w:spacing w:after="0"/>
        <w:rPr>
          <w:bCs/>
          <w:noProof/>
          <w:szCs w:val="24"/>
        </w:rPr>
      </w:pPr>
      <w:r>
        <w:rPr>
          <w:noProof/>
        </w:rPr>
        <w:t>Η πρόταση βασίζεται στο άρθρο 224 της Συνθήκης για τη λειτουργία της Ευρωπαϊκής Ένωσης, στο οποίο ορίζεται ότι: «</w:t>
      </w:r>
      <w:r>
        <w:rPr>
          <w:i/>
          <w:noProof/>
        </w:rPr>
        <w:t>Το Ευρωπαϊκό Κοινοβούλιο και το Συμβούλιο, αποφασίζοντας μέσω κανονισμών, σύμφωνα με τη συνήθη νομοθετική διαδικασία, καθορίζουν το καθεστώς των πολιτικών κομμάτων σε ευρωπαϊκό επίπεδο, του άρθρου 10 παράγραφος 4 της Συνθήκης για την Ευρωπαϊκή Ένωση, και ιδίως τους κανόνες για τη χρηματοδότησή τους</w:t>
      </w:r>
      <w:r>
        <w:rPr>
          <w:noProof/>
        </w:rPr>
        <w:t>», καθώς και στο άρθρο 106α της Συνθήκης περί ιδρύσεως της Ευρωπαϊκής Κοινότητας Ατομικής Ενέργειας</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Επικουρικότητα</w:t>
      </w:r>
    </w:p>
    <w:p>
      <w:pPr>
        <w:autoSpaceDE w:val="0"/>
        <w:autoSpaceDN w:val="0"/>
        <w:adjustRightInd w:val="0"/>
        <w:spacing w:after="0"/>
        <w:rPr>
          <w:bCs/>
          <w:noProof/>
          <w:szCs w:val="24"/>
        </w:rPr>
      </w:pPr>
      <w:r>
        <w:rPr>
          <w:noProof/>
        </w:rPr>
        <w:t>Δεδομένου ότι ο ισχύων κανονισμός προβλέπει ένα σύστημα σε επίπεδο ΕΕ, συμπεριλαμβανομένης της ειδικής ευρωπαϊκής νομικής προσωπικότητας για κόμματα και ιδρύματα και χρηματοδότηση από τον προϋπολογισμό της ΕΕ, τυχόν αδυναμίες στο σύστημα αυτό μπορεί να αντιμετωπιστούν μόνο μέσω νομοθεσίας της ΕΕ. Η δράση από μέρους μόνον των κρατών μελών δεν αποτελεί, συνεπώς, συναφή επιλογή.</w:t>
      </w:r>
    </w:p>
    <w:p>
      <w:pPr>
        <w:autoSpaceDE w:val="0"/>
        <w:autoSpaceDN w:val="0"/>
        <w:adjustRightInd w:val="0"/>
        <w:spacing w:after="0"/>
        <w:rPr>
          <w:bCs/>
          <w:noProof/>
          <w:szCs w:val="24"/>
        </w:rPr>
      </w:pPr>
      <w:r>
        <w:rPr>
          <w:noProof/>
        </w:rPr>
        <w:t>Οι προτεινόμενες εστιασμένες αλλαγές, ως εκ τούτου, συνάδουν πλήρως με την αρχή της επικουρικότητας. Το επίπεδο της ΕΕ είναι το μόνο στο οποίο μπορούν να θεσπιστούν οι κανόνες που διέπουν το καθεστώς και τη χρηματοδότηση των ευρωπαϊκών πολιτικών κομμάτων και των ευρωπαϊκών πολιτικών ιδρυμάτων. Κατά τον καθορισμό ενδεχόμενων μεταρρυθμιστικών μέτρων, η Επιτροπή φρόντισε να αποτυπώνονται σε αυτά οι αρχές που περιέχονται στο Πρωτόκολλο αριθ. 2 των Συνθηκών.</w:t>
      </w:r>
    </w:p>
    <w:p>
      <w:pPr>
        <w:pStyle w:val="ManualHeading2"/>
        <w:rPr>
          <w:rFonts w:eastAsia="Arial Unicode MS"/>
          <w:noProof/>
          <w:u w:color="000000"/>
          <w:bdr w:val="nil"/>
        </w:rPr>
      </w:pPr>
      <w:r>
        <w:rPr>
          <w:noProof/>
        </w:rPr>
        <w:t>•</w:t>
      </w:r>
      <w:r>
        <w:rPr>
          <w:noProof/>
        </w:rPr>
        <w:tab/>
        <w:t>Αναλογικότητα</w:t>
      </w:r>
    </w:p>
    <w:p>
      <w:pPr>
        <w:autoSpaceDE w:val="0"/>
        <w:autoSpaceDN w:val="0"/>
        <w:adjustRightInd w:val="0"/>
        <w:spacing w:after="0"/>
        <w:rPr>
          <w:bCs/>
          <w:noProof/>
          <w:szCs w:val="24"/>
        </w:rPr>
      </w:pPr>
      <w:r>
        <w:rPr>
          <w:noProof/>
        </w:rPr>
        <w:t xml:space="preserve">Όπως εξηγήθηκε στο τμήμα 5, τα στοχευμένα μέτρα που προτείνονται δεν υπερβαίνουν τα αναγκαία για την επίτευξη του μακροπρόθεσμου στόχου της ανάπτυξης και της ισχυροποίησης της ευρωπαϊκής δημοκρατίας και της νομιμότητας των θεσμικών οργάνων της ΕΕ, μέσω της επιδίωξης να καταστούν τα ευρωπαϊκά πολιτικά κόμματα και τα ευρωπαϊκά πολιτικά ιδρύματα πιο αποτελεσματικοί και υπεύθυνοι δημοκρατικούς φορείς. Ειδικότερα, η πρόταση συνάδει ως εκ τούτου με την αρχή της αναλογικότητας. </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rFonts w:eastAsia="Arial Unicode MS"/>
          <w:noProof/>
        </w:rPr>
      </w:pPr>
      <w:r>
        <w:rPr>
          <w:noProof/>
        </w:rPr>
        <w:t>Η τροποποίηση υφιστάμενου κανονισμού είναι δυνατή μόνο μέσω κανονισμού.</w:t>
      </w:r>
    </w:p>
    <w:p>
      <w:pPr>
        <w:pStyle w:val="ManualHeading1"/>
        <w:rPr>
          <w:noProof/>
        </w:rPr>
      </w:pPr>
      <w:r>
        <w:rPr>
          <w:noProof/>
        </w:rPr>
        <w:lastRenderedPageBreak/>
        <w:t>3.</w:t>
      </w:r>
      <w:r>
        <w:rPr>
          <w:noProof/>
        </w:rPr>
        <w:tab/>
        <w:t>ΔΙΑΒΟΥΛΕΥΣΕΙΣ ΜΕ ΤΑ ΕΝΔΙΑΦΕΡΟΜΕΝΑ ΜΕΡΗ ΚΑΙ ΕΚΤΙΜΗΣΕΙΣ ΕΠΙΠΤΩΣΕΩΝ</w:t>
      </w:r>
    </w:p>
    <w:p>
      <w:pPr>
        <w:pStyle w:val="Text1"/>
        <w:rPr>
          <w:noProof/>
        </w:rPr>
      </w:pPr>
    </w:p>
    <w:p>
      <w:pPr>
        <w:pStyle w:val="ManualHeading2"/>
        <w:rPr>
          <w:rFonts w:eastAsia="Arial Unicode MS"/>
          <w:noProof/>
          <w:u w:color="000000"/>
          <w:bdr w:val="nil"/>
        </w:rPr>
      </w:pPr>
      <w:r>
        <w:rPr>
          <w:noProof/>
        </w:rPr>
        <w:t>•</w:t>
      </w:r>
      <w:r>
        <w:rPr>
          <w:noProof/>
        </w:rPr>
        <w:tab/>
        <w:t>Διαβουλεύσεις με τα ενδιαφερόμενα μέρη, συλλογή και χρήση εμπειρογνωσίας</w:t>
      </w:r>
    </w:p>
    <w:p>
      <w:pPr>
        <w:autoSpaceDE w:val="0"/>
        <w:autoSpaceDN w:val="0"/>
        <w:adjustRightInd w:val="0"/>
        <w:spacing w:after="0"/>
        <w:rPr>
          <w:bCs/>
          <w:noProof/>
          <w:szCs w:val="24"/>
        </w:rPr>
      </w:pPr>
      <w:r>
        <w:rPr>
          <w:noProof/>
        </w:rPr>
        <w:t>Κατά την εκπόνηση της παρούσας πρότασης η Επιτροπή βρισκόταν σε στενό διάλογο και διαβούλευση με τους ενδιαφερόμενους φορείς. Πραγματοποίησε αρκετές συναντήσεις με εκπροσώπους των πολιτικών κομμάτων σε ευρωπαϊκό επίπεδο, πολιτικές ομάδες του Ευρωπαϊκού Κοινοβουλίου, βουλευτές του Ευρωπαϊκού Κοινοβουλίου, υπηρεσίες του Ευρωπαϊκού Κοινοβουλίου, την Αρχή για τα ευρωπαϊκά πολιτικά κόμματα και τα ευρωπαϊκά πολιτικά ιδρύματα, καθώς και με εθνικούς εμπειρογνώμονες.</w:t>
      </w:r>
    </w:p>
    <w:p>
      <w:pPr>
        <w:autoSpaceDE w:val="0"/>
        <w:autoSpaceDN w:val="0"/>
        <w:adjustRightInd w:val="0"/>
        <w:spacing w:after="0"/>
        <w:rPr>
          <w:bCs/>
          <w:noProof/>
          <w:szCs w:val="24"/>
        </w:rPr>
      </w:pPr>
      <w:r>
        <w:rPr>
          <w:noProof/>
        </w:rPr>
        <w:t>Στις 12 Ιουλίου 2017 πραγματοποιήθηκε ακρόαση ενώπιον της Επιτροπής Συνταγματικών Υποθέσεων του Ευρωπαϊκού Κοινοβουλίου</w:t>
      </w:r>
      <w:r>
        <w:rPr>
          <w:rStyle w:val="FootnoteReference"/>
          <w:noProof/>
        </w:rPr>
        <w:footnoteReference w:id="13"/>
      </w:r>
      <w:r>
        <w:rPr>
          <w:noProof/>
        </w:rPr>
        <w:t xml:space="preserve">. Τα μέλη της εν λόγω επιτροπής, μαζί με τον διευθυντή της Αρχής, τον Γενικό Διευθυντή Οικονομικών του Ευρωπαϊκού Κοινοβουλίου και έναν εκπρόσωπο της Επιτροπής αντάλλαξαν απόψεις σχετικά με τις ενδεχόμενες αλλαγές στον ισχύοντα κανονισμό. Υπήρξε ευρεία συναίνεση ως προς την ανάγκη να καλυφθούν ορισμένα κενά του κανονισμού πριν από τις επερχόμενες εκλογές του Ευρωπαϊκού Κοινοβουλίου. Οι εστιασμένες αλλαγές αναμένεται να αυξήσουν το επίπεδο διαφάνειας και να συμβάλουν στην κάλυψη των κενών που επιτρέπουν την καταστρατήγηση των στόχων ή την κατάχρηση των διατάξεων του ισχύοντος κανονισμού. </w:t>
      </w:r>
    </w:p>
    <w:p>
      <w:pPr>
        <w:pStyle w:val="Text1"/>
        <w:ind w:left="0"/>
        <w:rPr>
          <w:noProof/>
        </w:rPr>
      </w:pPr>
      <w:r>
        <w:rPr>
          <w:noProof/>
        </w:rPr>
        <w:t>Τα ευρωπαϊκά πολιτικά κόμματα και τα ευρωπαϊκά πολιτικά ιδρύματα, οι υπηρεσίες του Κοινοβουλίου αλλά και η Αρχή διαπίστωσαν επίσης και άλλες ενδεχόμενες ελλείψεις του ισχύοντος κανονισμού, οι οποίες ωστόσο θεωρήθηκαν λιγότερο επείγουσες.</w:t>
      </w:r>
    </w:p>
    <w:p>
      <w:pPr>
        <w:pBdr>
          <w:top w:val="nil"/>
          <w:left w:val="nil"/>
          <w:bottom w:val="nil"/>
          <w:right w:val="nil"/>
          <w:between w:val="nil"/>
          <w:bar w:val="nil"/>
        </w:pBdr>
        <w:spacing w:before="0" w:after="240"/>
        <w:rPr>
          <w:bCs/>
          <w:noProof/>
          <w:szCs w:val="24"/>
        </w:rPr>
      </w:pPr>
      <w:r>
        <w:rPr>
          <w:noProof/>
        </w:rPr>
        <w:t>Τα ενδιαφερόμενα μέρη κατέθεσαν τις απόψεις τους βάσει της πείρας και της εμπειρογνωσίας τους αναφορικά με τους ισχύοντες κανόνες που διέπουν τα πολιτικά κόμματα και τα πολιτικά ιδρύματα δυνάμει τόσο του κανονισμού (ΕΚ) αριθ. 1141/2014 όσο και του δημοσιονομικού κανονισμού.</w:t>
      </w:r>
    </w:p>
    <w:p>
      <w:pPr>
        <w:pStyle w:val="ManualHeading2"/>
        <w:rPr>
          <w:rFonts w:eastAsia="Arial Unicode MS"/>
          <w:noProof/>
          <w:u w:color="000000"/>
          <w:bdr w:val="nil"/>
        </w:rPr>
      </w:pPr>
      <w:r>
        <w:rPr>
          <w:noProof/>
        </w:rPr>
        <w:t>•</w:t>
      </w:r>
      <w:r>
        <w:rPr>
          <w:noProof/>
        </w:rPr>
        <w:tab/>
        <w:t>Εκτίμηση επιπτώσεων</w:t>
      </w:r>
    </w:p>
    <w:p>
      <w:pPr>
        <w:rPr>
          <w:noProof/>
        </w:rPr>
      </w:pPr>
      <w:r>
        <w:rPr>
          <w:noProof/>
        </w:rPr>
        <w:t xml:space="preserve">Η πρόταση αναμένεται να βελτιώσει την αποτελεσματικότητα με την οποία ο κανονισμός 1141/2014 επιτυγχάνει τους στόχους του, με την κάλυψη ορισμένων υφιστάμενων κενών. Βασίζεται στις εκτενείς πληροφορίες που λήφθηκαν από διάφορους ενδιαφερομένους όπως εκτίθεται ανωτέρω και την ανάλυση ενός περιορισμένου αριθμού στοχευμένων λύσεων. </w:t>
      </w:r>
    </w:p>
    <w:p>
      <w:pPr>
        <w:rPr>
          <w:noProof/>
        </w:rPr>
      </w:pPr>
      <w:r>
        <w:rPr>
          <w:noProof/>
        </w:rPr>
        <w:t xml:space="preserve">Η παρούσα πρόταση δεν συνοδεύεται από συγκεκριμένη εκτίμηση επιπτώσεων, δεδομένου ότι δεν αναμένεται να έχει ευρύτερες σημαντικές οικονομικές, κοινωνικές και περιβαλλοντικές επιπτώσεις. </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bCs/>
          <w:noProof/>
          <w:szCs w:val="24"/>
        </w:rPr>
      </w:pPr>
      <w:r>
        <w:rPr>
          <w:noProof/>
        </w:rPr>
        <w:t>Στο άρθρο 2 της Συνθήκης για την Ευρωπαϊκή Ένωση (ΣΕΕ) ορίζεται ότι: «</w:t>
      </w:r>
      <w:r>
        <w:rPr>
          <w:i/>
          <w:noProof/>
        </w:rPr>
        <w:t xml:space="preserve">Η Ένωση βασίζεται στις αξίες του σεβασμού της ανθρώπινης αξιοπρέπειας, της ελευθερίας, της δημοκρατίας, της ισότητας, του κράτους δικαίου, καθώς και του σεβασμού των ανθρώπινων </w:t>
      </w:r>
      <w:r>
        <w:rPr>
          <w:i/>
          <w:noProof/>
        </w:rPr>
        <w:lastRenderedPageBreak/>
        <w:t>δικαιωμάτων, συμπεριλαμβανόμενων των δικαιωμάτων των προσώπων που ανήκουν σε μειονότητες. Οι αξίες αυτές είναι κοινές στα κράτη μέλη εντός κοινωνίας που χαρακτηρίζεται από τον πλουραλισμό, την απαγόρευση των διακρίσεων, την ανοχή, τη δικαιοσύνη, την αλληλεγγύη και την ισότητα μεταξύ γυναικών και ανδρών.</w:t>
      </w:r>
      <w:r>
        <w:rPr>
          <w:noProof/>
        </w:rPr>
        <w:t>»</w:t>
      </w:r>
    </w:p>
    <w:p>
      <w:pPr>
        <w:pBdr>
          <w:top w:val="nil"/>
          <w:left w:val="nil"/>
          <w:bottom w:val="nil"/>
          <w:right w:val="nil"/>
          <w:between w:val="nil"/>
          <w:bar w:val="nil"/>
        </w:pBdr>
        <w:spacing w:before="0" w:after="240"/>
        <w:rPr>
          <w:bCs/>
          <w:noProof/>
          <w:szCs w:val="24"/>
        </w:rPr>
      </w:pPr>
      <w:r>
        <w:rPr>
          <w:noProof/>
        </w:rPr>
        <w:t>Στο άρθρο 10 παράγραφοι 1 και 2 της ΣΕΕ ορίζεται ότι «</w:t>
      </w:r>
      <w:r>
        <w:rPr>
          <w:i/>
          <w:noProof/>
        </w:rPr>
        <w:t>η λειτουργία της Ένωσης θεμελιώνεται στην αντιπροσωπευτική δημοκρατία</w:t>
      </w:r>
      <w:r>
        <w:rPr>
          <w:noProof/>
        </w:rPr>
        <w:t>» και ότι «</w:t>
      </w:r>
      <w:r>
        <w:rPr>
          <w:i/>
          <w:noProof/>
        </w:rPr>
        <w:t>οι πολίτες εκπροσωπούνται άμεσα στο επίπεδο της Ένωσης στο Ευρωπαϊκό Κοινοβούλιο</w:t>
      </w:r>
      <w:r>
        <w:rPr>
          <w:noProof/>
        </w:rPr>
        <w:t>». Στην παράγραφο 4 του ίδιου άρθρου ορίζεται ότι: «</w:t>
      </w:r>
      <w:r>
        <w:rPr>
          <w:i/>
          <w:noProof/>
        </w:rPr>
        <w:t>Τα πολιτικά κόμματα, σε ευρωπαϊκό επίπεδο, συμβάλλουν στην διαμόρφωση της ευρωπαϊκής πολιτικής συνείδησης και στην έκφραση της βούλησης των πολιτών της Ένωσης</w:t>
      </w:r>
      <w:r>
        <w:rPr>
          <w:noProof/>
        </w:rPr>
        <w:t>». Τα άρθρα 11 και 12 του Χάρτη των Θεμελιωδών Δικαιωμάτων της ΕΕ κατοχυρώνουν το δικαίωμα στην ελευθερία έκφρασης και στην ελευθερία του συνεταιρίζεσθαι. Ειδικότερα, το άρθρο 12 του Χάρτη των Θεμελιωδών Δικαιωμάτων της Ευρωπαϊκής Ένωσης προβλέπει ότι: «</w:t>
      </w:r>
      <w:r>
        <w:rPr>
          <w:i/>
          <w:noProof/>
        </w:rPr>
        <w:t>Κάθε πρόσωπο έχει δικαίωμα στην ελευθερία του συνέρχεσθαι ειρηνικώς και στην ελευθερία του συνεταιρίζεσθαι σε όλα τα επίπεδα, ιδίως στον πολιτικό και τον συνδικαλιστικό τομέα καθώς και στους τομείς που αναφέρονται στον πολίτη, πράγμα που συνεπάγεται το δικαίωμα κάθε προσώπου να ιδρύει με άλλους συνδικαλιστικές ενώσεις και να προσχωρεί σε αυτές για την υπεράσπιση των συμφερόντων του</w:t>
      </w:r>
      <w:r>
        <w:rPr>
          <w:noProof/>
        </w:rPr>
        <w:t xml:space="preserve">. </w:t>
      </w:r>
      <w:r>
        <w:rPr>
          <w:i/>
          <w:noProof/>
        </w:rPr>
        <w:t>Τα πολιτικά κόμματα, στο επίπεδο της Ένωσης, συμβάλλουν στην έκφραση της πολιτικής βούλησης των πολιτών της Ένωσης</w:t>
      </w:r>
      <w:r>
        <w:rPr>
          <w:noProof/>
        </w:rPr>
        <w:t>».</w:t>
      </w:r>
    </w:p>
    <w:p>
      <w:pPr>
        <w:pBdr>
          <w:top w:val="nil"/>
          <w:left w:val="nil"/>
          <w:bottom w:val="nil"/>
          <w:right w:val="nil"/>
          <w:between w:val="nil"/>
          <w:bar w:val="nil"/>
        </w:pBdr>
        <w:spacing w:before="0" w:after="240"/>
        <w:rPr>
          <w:rFonts w:eastAsia="Arial Unicode MS"/>
          <w:noProof/>
        </w:rPr>
      </w:pPr>
      <w:r>
        <w:rPr>
          <w:noProof/>
        </w:rPr>
        <w:t>Οι τροποποιήσεις που αποτελούν αντικείμενο της παρούσας πρότασης αποβλέπουν στην επίτευξη των στόχων των εν λόγω διατάξεων και ως εκ τούτου είναι συμβατές με τα θεμελιώδη δικαιώματα που κατοχυρώνονται στο άρθρο 12 του Χάρτη και προσδίδουν ισχύ στα δικαιώματα αυτά.</w:t>
      </w:r>
    </w:p>
    <w:p>
      <w:pPr>
        <w:pStyle w:val="ManualHeading1"/>
        <w:rPr>
          <w:noProof/>
        </w:rPr>
      </w:pPr>
      <w:r>
        <w:rPr>
          <w:noProof/>
        </w:rPr>
        <w:t>4.</w:t>
      </w:r>
      <w:r>
        <w:rPr>
          <w:noProof/>
        </w:rPr>
        <w:tab/>
        <w:t>ΔΗΜΟΣΙΟΝΟΜΙΚΕΣ ΕΠΙΠΤΩΣΕΙΣ</w:t>
      </w:r>
    </w:p>
    <w:p>
      <w:pPr>
        <w:autoSpaceDE w:val="0"/>
        <w:autoSpaceDN w:val="0"/>
        <w:adjustRightInd w:val="0"/>
        <w:spacing w:after="0"/>
        <w:rPr>
          <w:bCs/>
          <w:noProof/>
          <w:szCs w:val="24"/>
        </w:rPr>
      </w:pPr>
      <w:r>
        <w:rPr>
          <w:noProof/>
        </w:rPr>
        <w:t>Η χρηματοδότηση των ευρωπαϊκών πολιτικών κομμάτων και των ευρωπαϊκών πολιτικών ιδρυμάτων από την ΕΕ θα εξακολουθήσει να προέρχεται από τον προϋπολογισμό του Ευρωπαϊκού Κοινοβουλίου. Βάσει της παρούσας πρότασης δεν προτείνεται καμία αλλαγή στα ποσά που διατίθενται. Η παρούσα πρόταση δεν έχει καμία σημαντική επίπτωση στον προϋπολογισμό της ΕΕ.</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Ρυθμίσεις αξιολόγησης και υποβολής εκθέσεων</w:t>
      </w:r>
    </w:p>
    <w:p>
      <w:pPr>
        <w:autoSpaceDE w:val="0"/>
        <w:autoSpaceDN w:val="0"/>
        <w:adjustRightInd w:val="0"/>
        <w:spacing w:after="0"/>
        <w:rPr>
          <w:rFonts w:eastAsia="Arial Unicode MS"/>
          <w:noProof/>
          <w:u w:color="000000"/>
          <w:bdr w:val="nil"/>
        </w:rPr>
      </w:pPr>
      <w:r>
        <w:rPr>
          <w:noProof/>
        </w:rPr>
        <w:t>Η παρούσα πρόταση αποβλέπει στην περιορισμένη και στοχευμένη μεταρρύθμιση του υφιστάμενου κανονισμού, στον οποίο υπάρχει πρόβλεψη για πιο συνολική αξιολόγηση. Προτείνεται η αλλαγή του χρονοδιαγράμματος της εν λόγω αξιολόγησης ώστε να μπορέσει να διενεργηθεί στη βάση επαρκών στοιχείων όσον αφορά την αποτελεσματικότητα στην πράξη τόσο του υφιστάμενου κανονισμού όσο και των εδώ προτεινόμενων τροποποιήσεων.</w:t>
      </w:r>
    </w:p>
    <w:p>
      <w:pPr>
        <w:autoSpaceDE w:val="0"/>
        <w:autoSpaceDN w:val="0"/>
        <w:adjustRightInd w:val="0"/>
        <w:spacing w:after="0"/>
        <w:rPr>
          <w:rFonts w:eastAsia="Arial Unicode MS"/>
          <w:noProof/>
          <w:u w:color="000000"/>
          <w:bdr w:val="nil"/>
        </w:rPr>
      </w:pPr>
    </w:p>
    <w:p>
      <w:pPr>
        <w:pStyle w:val="ManualHeading2"/>
        <w:rPr>
          <w:rFonts w:eastAsia="Arial Unicode MS"/>
          <w:b w:val="0"/>
          <w:noProof/>
          <w:u w:color="000000"/>
          <w:bdr w:val="nil"/>
        </w:rPr>
      </w:pPr>
      <w:r>
        <w:rPr>
          <w:noProof/>
        </w:rPr>
        <w:t>•</w:t>
      </w:r>
      <w:r>
        <w:rPr>
          <w:noProof/>
        </w:rPr>
        <w:tab/>
        <w:t xml:space="preserve">Αναλυτική επεξήγηση των επιμέρους διατάξεων της πρότασης </w:t>
      </w:r>
    </w:p>
    <w:p>
      <w:pPr>
        <w:autoSpaceDE w:val="0"/>
        <w:autoSpaceDN w:val="0"/>
        <w:adjustRightInd w:val="0"/>
        <w:spacing w:after="0"/>
        <w:rPr>
          <w:bCs/>
          <w:noProof/>
          <w:szCs w:val="24"/>
        </w:rPr>
      </w:pPr>
      <w:r>
        <w:rPr>
          <w:noProof/>
        </w:rPr>
        <w:t xml:space="preserve">Η Επιτροπή, με στόχο να κατοχυρωθεί πιο αποτελεσματικά η γνήσια ευρωπαϊκή διάσταση των ευρωπαϊκών πολιτικών κομμάτων και να αυξηθεί η διαφάνεια, ενώ παράλληλα διασφαλίζεται η ορθή αξιοποίηση της ευρωπαϊκής χρηματοδότησης, προτείνει μια περιορισμένη δέσμη στοχευμένων τροποποιήσεων στον κανονισμό (ΕΚ) αριθ. 1141/2014, ώστε να καθοριστεί ποιος μπορεί να υποστηρίξει την καταχώριση ενός πολιτικού κόμματος, </w:t>
      </w:r>
      <w:r>
        <w:rPr>
          <w:noProof/>
        </w:rPr>
        <w:lastRenderedPageBreak/>
        <w:t xml:space="preserve">να εξασφαλιστεί μια πιο αναλογική κατανομή της χρηματοδότησης με βάση την αντιπροσωπευτικότητα των ευρωπαϊκών πολιτικών κομμάτων στο Ευρωπαϊκό Κοινοβούλιο και να υπερκεραστούν οι δυσκολίες που αντιμετωπίζουν τα ευρωπαϊκά πολιτικά κόμματα και τα ευρωπαϊκά πολιτικά ιδρύματα ως προς την κάλυψη του κατώτατου ορίου συγχρηματοδότησης. Οι αλλαγές αυτές θα καλύψουν τα κενά των υφιστάμενων κανόνων, τα οποία αφήνουν περιθώρια κατάχρησής τους. </w:t>
      </w:r>
    </w:p>
    <w:p>
      <w:pPr>
        <w:autoSpaceDE w:val="0"/>
        <w:autoSpaceDN w:val="0"/>
        <w:adjustRightInd w:val="0"/>
        <w:spacing w:after="0"/>
        <w:rPr>
          <w:bCs/>
          <w:noProof/>
          <w:szCs w:val="24"/>
        </w:rPr>
      </w:pPr>
    </w:p>
    <w:p>
      <w:pPr>
        <w:autoSpaceDE w:val="0"/>
        <w:autoSpaceDN w:val="0"/>
        <w:adjustRightInd w:val="0"/>
        <w:spacing w:after="0"/>
        <w:rPr>
          <w:bCs/>
          <w:noProof/>
          <w:szCs w:val="24"/>
        </w:rPr>
      </w:pPr>
      <w:r>
        <w:rPr>
          <w:noProof/>
        </w:rPr>
        <w:t xml:space="preserve">Για την αντιμετώπιση του προβλήματος της </w:t>
      </w:r>
      <w:r>
        <w:rPr>
          <w:b/>
          <w:noProof/>
        </w:rPr>
        <w:t>συμμετοχής σε περισσότερα κόμματα</w:t>
      </w:r>
      <w:r>
        <w:rPr>
          <w:noProof/>
        </w:rPr>
        <w:t xml:space="preserve"> εξετάστηκαν διάφορες εναλλακτικές επιλογές: (i) να μην επιτρέπεται σε βουλευτές του Ευρωπαϊκού Κοινοβουλίου από το ίδιο εθνικό κόμμα να υποστηρίζουν διαφορετικά ευρωπαϊκά κόμματα· (ii) να μην επιτρέπεται πλέον σε βουλευτές περιφερειακών κοινοβουλίων να υποστηρίζουν την καταχώριση και (iii) να επιτρέπεται μόνο σε εθνικά κόμματα να παρέχουν υποστήριξη. Το τελευταίο θεωρήθηκε ως η πλέον αποτελεσματική επιλογή καθώς επιτυγχάνει τον ίδιο στόχο όπως και η επιλογή i), αλλά με τρόπο περισσότερο αντικειμενικό, δίκαιο και ευκολότερο να εφαρμοστεί. </w:t>
      </w:r>
    </w:p>
    <w:p>
      <w:pPr>
        <w:autoSpaceDE w:val="0"/>
        <w:autoSpaceDN w:val="0"/>
        <w:adjustRightInd w:val="0"/>
        <w:spacing w:after="0"/>
        <w:rPr>
          <w:bCs/>
          <w:noProof/>
          <w:szCs w:val="24"/>
        </w:rPr>
      </w:pPr>
      <w:r>
        <w:rPr>
          <w:noProof/>
        </w:rPr>
        <w:t xml:space="preserve">Η Επιτροπή προτείνει, συνεπώς, την τροποποίηση του άρθρου 3 παράγραφος 1 στοιχείο β) ώστε να επιτρέπεται μόνο σε κόμματα, και όχι πλέον σε μεμονωμένα άτομα, να υποστηρίζουν τη δημιουργία ενός ευρωπαϊκού πολιτικού κόμματος. Θα καταστεί έτσι δυσκολότερο για τις οντότητες που δεν διαθέτουν σημαντική εκπροσώπηση σε επίπεδο κρατών μελών να ιδρύονται ως κόμματα σε ευρωπαϊκό επίπεδο και να λαμβάνουν ευρωπαϊκή χρηματοδότηση αφ΄ης στιγμής καλύψουν το κατώτατο όριο του ενός βουλευτή του Ευρωπαϊκού Κοινοβουλίου. </w:t>
      </w:r>
    </w:p>
    <w:p>
      <w:pPr>
        <w:autoSpaceDE w:val="0"/>
        <w:autoSpaceDN w:val="0"/>
        <w:adjustRightInd w:val="0"/>
        <w:spacing w:after="0"/>
        <w:rPr>
          <w:bCs/>
          <w:noProof/>
          <w:szCs w:val="24"/>
        </w:rPr>
      </w:pPr>
      <w:r>
        <w:rPr>
          <w:noProof/>
        </w:rPr>
        <w:t>Με την αλλαγή αυτή δεν απαγορεύεται στα ευρωπαϊκά κόμματα να επιτρέπουν τη συμμετοχή μεμονωμένων ατόμων σε αυτά, απλώς η εν λόγω συμμετοχή δεν θα λογίζεται πλέον για την κάλυψη των κριτηρίων καταχώρισης. Κατά συνέπεια δεν προτείνεται καμία αλλαγή στον ορισμό ενός πολιτικού κόμματος ή συνασπισμού.</w:t>
      </w:r>
    </w:p>
    <w:p>
      <w:pPr>
        <w:autoSpaceDE w:val="0"/>
        <w:autoSpaceDN w:val="0"/>
        <w:adjustRightInd w:val="0"/>
        <w:spacing w:after="0"/>
        <w:rPr>
          <w:bCs/>
          <w:noProof/>
          <w:szCs w:val="24"/>
        </w:rPr>
      </w:pPr>
      <w:r>
        <w:rPr>
          <w:noProof/>
        </w:rPr>
        <w:t xml:space="preserve">Για την αντιμετώπιση των δυσκολιών των ευρωπαϊκών πολιτικών κομμάτων και ιδρυμάτων ως προς τη συμμόρφωση με το ισχύον κατώτατο όριο </w:t>
      </w:r>
      <w:r>
        <w:rPr>
          <w:b/>
          <w:noProof/>
        </w:rPr>
        <w:t>συγχρηματοδότησης</w:t>
      </w:r>
      <w:r>
        <w:rPr>
          <w:noProof/>
        </w:rPr>
        <w:t xml:space="preserve"> του 15 %, το όριο αυτό θα πρέπει να μειωθεί ώστε να καταστεί δυνατό μεγαλύτερο μέρος της δημόσιας χρηματοδότησης που προορίζεται για τα ευρωπαϊκά πολιτικά κόμματα και ιδρύματα να διατίθεται καταλλήλως, όπως για παράδειγμα σε προεκλογικές εκστρατείες. Επίσης θα μείωνε τα κίνητρα για αμφίβολες πρακτικές.  Μετά την εξέταση αρκετών επιλογών, η Επιτροπή αποφάσισε να προτείνει να μειωθεί το ύψος της συγχρηματοδότησης που προβλέπεται στο άρθρο 17 παράγραφος 4 σε 10% για τα ευρωπαϊκά πολιτικά κόμματα και σε 5% για τα ευρωπαϊκά πολιτικά ιδρύματα.</w:t>
      </w:r>
    </w:p>
    <w:p>
      <w:pPr>
        <w:autoSpaceDE w:val="0"/>
        <w:autoSpaceDN w:val="0"/>
        <w:adjustRightInd w:val="0"/>
        <w:spacing w:after="0"/>
        <w:rPr>
          <w:bCs/>
          <w:noProof/>
          <w:szCs w:val="24"/>
        </w:rPr>
      </w:pPr>
      <w:r>
        <w:rPr>
          <w:noProof/>
        </w:rPr>
        <w:t xml:space="preserve">Για την Επιτροπή, το επίπεδο </w:t>
      </w:r>
      <w:r>
        <w:rPr>
          <w:b/>
          <w:noProof/>
        </w:rPr>
        <w:t>διαφάνειας</w:t>
      </w:r>
      <w:r>
        <w:rPr>
          <w:noProof/>
        </w:rPr>
        <w:t xml:space="preserve"> στις ευρωπαϊκές εκλογές αποτελούσε ανέκαθεν παράγοντα ζωτικής σημασίας. Καθιστώντας σαφέστερη τη σχέση μεταξύ εθνικών και ευρωπαϊκών πολιτικών κομμάτων είναι δυνατόν να ενισχυθούν η σαφήνεια και η διαφάνεια. Αυτό έχει ιδιαίτερη σημασία, δεδομένου ότι στόχος της παρούσας πρότασης είναι να επιτρέπεται μόνο σε κόμματα να υποστηρίζουν ευρωπαϊκά πολιτικά κόμματα. Οι πολίτες πρέπει να ενημερωθούν εγκαίρως και με σαφήνεια, μεταξύ άλλων όσον αφορά τις σχέσεις μεταξύ των κομμάτων, προκειμένου να κατανοηθεί ο αντίκτυπος των ψήφων τους σε επίπεδο ευρωπαϊκό κομμάτων. Προτείνεται να προβλεφθεί μία ακόμη προϋπόθεση για τη χορήγηση χρηματοδότησης στα ευρωπαϊκά πολιτικά κόμματα, μέσω της παρεμβολής μιας νέας παραγράφου 3α στο άρθρο 18, η οποία θα τα υποχρεώνει να υποβάλλουν στοιχεία σχετικά με τη δημοσίευση, στους δικτυακούς τόπους των κομμάτων-μελών τους, του πολιτικού </w:t>
      </w:r>
      <w:r>
        <w:rPr>
          <w:noProof/>
        </w:rPr>
        <w:lastRenderedPageBreak/>
        <w:t>προγράμματος και του λογοτύπου τους, καθώς και πληροφοριών για την εκπροσώπηση των φύλων μεταξύ των υποψηφίων στις προηγούμενες εκλογές για το Ευρωπαϊκό Κοινοβούλιο και των βουλευτών τους στο Ευρωπαϊκό Κοινοβούλιο.</w:t>
      </w:r>
    </w:p>
    <w:p>
      <w:pPr>
        <w:autoSpaceDE w:val="0"/>
        <w:autoSpaceDN w:val="0"/>
        <w:adjustRightInd w:val="0"/>
        <w:spacing w:after="0"/>
        <w:rPr>
          <w:bCs/>
          <w:noProof/>
          <w:szCs w:val="24"/>
        </w:rPr>
      </w:pPr>
      <w:r>
        <w:rPr>
          <w:noProof/>
        </w:rPr>
        <w:t xml:space="preserve">Προτείνεται να βελτιωθεί η </w:t>
      </w:r>
      <w:r>
        <w:rPr>
          <w:b/>
          <w:noProof/>
        </w:rPr>
        <w:t>αναλογικότητα της ενωσιακής χρηματοδότησης</w:t>
      </w:r>
      <w:r>
        <w:rPr>
          <w:noProof/>
        </w:rPr>
        <w:t xml:space="preserve"> καθιστώντας σαφέστερη τη σύνδεση με την εκπροσώπηση στο Ευρωπαϊκό Κοινοβούλιο, μέσω της τροποποίησης της κλείδας κατανομής που προβλέπεται στο άρθρο 19 παράγραφος 1. Προτείνεται να μειωθεί το σταθερό ποσό σε 5%, ώστε να αυξηθεί με τον τρόπο αυτό το μέρος που κατανέμεται αναλογικά προς το ποσοστό των εκλεγμένων βουλευτών στο Ευρωπαϊκό Κοινοβούλιο. Για τους λόγους που εκτίθενται ανωτέρω απορρίφθηκε η εναλλακτική επιλογή να αυξηθεί το κατώτατο όριο εκπροσώπησης που απαιτείται για την επιλεξιμότητα χρηματοδότησης.</w:t>
      </w:r>
    </w:p>
    <w:p>
      <w:pPr>
        <w:autoSpaceDE w:val="0"/>
        <w:autoSpaceDN w:val="0"/>
        <w:adjustRightInd w:val="0"/>
        <w:spacing w:after="0"/>
        <w:rPr>
          <w:bCs/>
          <w:noProof/>
          <w:szCs w:val="24"/>
        </w:rPr>
      </w:pPr>
      <w:r>
        <w:rPr>
          <w:noProof/>
        </w:rPr>
        <w:t xml:space="preserve">Όταν ένα ευρωπαϊκό κόμμα ή ένα ευρωπαϊκό πολιτικό ίδρυμα παύει </w:t>
      </w:r>
      <w:r>
        <w:rPr>
          <w:b/>
          <w:noProof/>
        </w:rPr>
        <w:t>να συμμορφώνεται με οποιοδήποτε από τα κριτήρια καταχώρισης</w:t>
      </w:r>
      <w:r>
        <w:rPr>
          <w:noProof/>
        </w:rPr>
        <w:t xml:space="preserve">, κυρίως δε με το κριτήριο της εκπροσώπησης και της συμμετοχής στις ευρωπαϊκές εκλογές, ή σε περίπτωση που η καταχώρισή του έγινε βάσει εσφαλμένων/παραπλανητικών πληροφοριών, η Αρχή θα πρέπει να έχει την εξουσία να το διαγράφει από το Μητρώο. Στη νομολογία του Δικαστηρίου της Ευρωπαϊκής Ένωσης γίνεται αποδεκτή η δυνατότητα αναδρομικής ανάκλησης ευμενούς διοικητικής πράξης εντός ευλόγου χρόνου και εφόσον γίνεται σεβαστή η θεμιτή προσδοκία του δικαιούχου του μέτρου, ο οποίος έδωσε πίστη στη νομιμότητα της πράξης αυτής. Οι αλλαγές που επέρχονται στο άρθρο 27 αποσαφηνίζουν το εν λόγω σημείο, ώστε η Αρχή να είναι σε θέση να επιβάλλει πιο αποτελεσματικά την εφαρμογή των κανόνων. </w:t>
      </w:r>
    </w:p>
    <w:p>
      <w:pPr>
        <w:autoSpaceDE w:val="0"/>
        <w:autoSpaceDN w:val="0"/>
        <w:adjustRightInd w:val="0"/>
        <w:spacing w:after="0"/>
        <w:rPr>
          <w:bCs/>
          <w:noProof/>
          <w:szCs w:val="24"/>
        </w:rPr>
      </w:pPr>
      <w:r>
        <w:rPr>
          <w:noProof/>
        </w:rPr>
        <w:t xml:space="preserve">Για την προστασία των οικονομικών συμφερόντων της ΕΕ και του κύρους της Ένωσης, ο διατάκτης του Ευρωπαϊκού Κοινοβουλίου θα πρέπει να έχει τη δυνατότητα </w:t>
      </w:r>
      <w:r>
        <w:rPr>
          <w:b/>
          <w:noProof/>
        </w:rPr>
        <w:t xml:space="preserve">να ανακτά </w:t>
      </w:r>
      <w:r>
        <w:rPr>
          <w:noProof/>
        </w:rPr>
        <w:t xml:space="preserve"> αδικαιολογήτως καταβληθέντα ποσά, από φυσικά πρόσωπα που έχουν τελέσει παράνομες δραστηριότητες εις βάρος των οικονομικών συμφερόντων της Ένωσης και για προσωπικό τους όφελος, ή προς όφελος άλλων οντοτήτων ή ατόμων. Η Επιτροπή εισάγει, ως εκ τούτου, αλλαγές στο άρθρο 30. </w:t>
      </w:r>
    </w:p>
    <w:p>
      <w:pPr>
        <w:pStyle w:val="Text1"/>
        <w:ind w:left="0"/>
        <w:rPr>
          <w:noProof/>
        </w:rPr>
      </w:pPr>
      <w:r>
        <w:rPr>
          <w:noProof/>
        </w:rPr>
        <w:t xml:space="preserve">Τέλος, παράλληλα με τα μεταβατικά μέτρα, η Επιτροπή προτείνει την προσαρμογή της ρήτρας αναθεώρησης που περιέχεται στον ισχύοντα κανονισμό ώστε να καταστεί δυνατή η δημοσίευση της έκθεσης αξιολόγησης στο πρώτο μέρος του 2022, καθώς και η αποτίμηση των τροποποιήσεων που προτείνονται με τον παρόντα κανονισμό.   </w:t>
      </w:r>
    </w:p>
    <w:p>
      <w:pPr>
        <w:autoSpaceDE w:val="0"/>
        <w:autoSpaceDN w:val="0"/>
        <w:adjustRightInd w:val="0"/>
        <w:spacing w:after="0"/>
        <w:rPr>
          <w:bCs/>
          <w:noProof/>
          <w:szCs w:val="24"/>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2017/0219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 xml:space="preserve">για την τροποποίηση του κανονισμού (EE, Ευρατόμ) αριθ. 1141/2014 του Ευρωπαϊκού Κοινοβουλίου και του Συμβουλίου, της 22ας Οκτωβρίου 2014, σχετικά με το καθεστώς και τη χρηματοδότηση των ευρωπαϊκών πολιτικών κομμάτων και των ευρωπαϊκών πολιτικών ιδρυμάτων </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224,</w:t>
      </w:r>
    </w:p>
    <w:p>
      <w:pPr>
        <w:rPr>
          <w:noProof/>
        </w:rPr>
      </w:pPr>
      <w:r>
        <w:rPr>
          <w:noProof/>
        </w:rPr>
        <w:t>Έχοντας υπόψη τη Συνθήκη για την ίδρυση της Ευρωπαϊκής Κοινότητας Ατομικής Ενέργειας, και ιδίως το άρθρο 106α,</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4"/>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5"/>
      </w:r>
      <w:r>
        <w:rPr>
          <w:noProof/>
        </w:rPr>
        <w:t>,</w:t>
      </w:r>
    </w:p>
    <w:p>
      <w:pPr>
        <w:rPr>
          <w:noProof/>
        </w:rPr>
      </w:pPr>
      <w:r>
        <w:rPr>
          <w:noProof/>
        </w:rPr>
        <w:t>Έχοντας υπόψη τη γνώμη του Ελεγκτικού Συνεδρίου</w:t>
      </w:r>
      <w:r>
        <w:rPr>
          <w:rStyle w:val="FootnoteReference"/>
          <w:noProof/>
        </w:rPr>
        <w:footnoteReference w:id="16"/>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 xml:space="preserve">Με τον κανονισμό (EE, Ευρατόμ) αριθ. 1141/2014 θεσπίζεται συγκεκριμένο ευρωπαϊκό νομικό καθεστώς επ’ ωφελεία των ευρωπαϊκών πολιτικών κομμάτων και των ευρωπαϊκών πολιτικών ιδρυμάτων και προβλέπεται η χρηματοδότησή τους από τον γενικό προϋπολογισμό της Ευρωπαϊκής Ένωσης. </w:t>
      </w:r>
    </w:p>
    <w:p>
      <w:pPr>
        <w:pStyle w:val="ManualConsidrant"/>
        <w:rPr>
          <w:noProof/>
        </w:rPr>
      </w:pPr>
      <w:r>
        <w:t>(2)</w:t>
      </w:r>
      <w:r>
        <w:tab/>
      </w:r>
      <w:r>
        <w:rPr>
          <w:noProof/>
        </w:rPr>
        <w:t>Διαπιστώθηκε η ανάγκη να τροποποιηθεί ο κανονισμός (EE, Ευρατόμ) αριθ. 1141/2014 προκειμένου να επιτευχθεί καλύτερα ο στόχος να ενθαρρύνονται και να βοηθούνται τα ευρωπαϊκά πολιτικά κόμματα και τα ευρωπαϊκά πολιτικά ιδρύματα που συνδέονται με αυτά στην προσπάθειά τους να διαμορφώσουν έναν ισχυρό σύνδεσμο μεταξύ της ευρωπαϊκής κοινωνίας των πολιτών και των θεσμικών οργάνων της Ένωσης, ιδίως του Ευρωπαϊκού Κοινοβουλίου.</w:t>
      </w:r>
    </w:p>
    <w:p>
      <w:pPr>
        <w:pStyle w:val="ManualConsidrant"/>
        <w:rPr>
          <w:noProof/>
        </w:rPr>
      </w:pPr>
      <w:r>
        <w:t>(3)</w:t>
      </w:r>
      <w:r>
        <w:tab/>
      </w:r>
      <w:r>
        <w:rPr>
          <w:noProof/>
        </w:rPr>
        <w:t xml:space="preserve">Είναι αναγκαίο να διασφαλίζεται πιο αποτελεσματικά η γνήσια διεθνική διάσταση των ευρωπαϊκών πολιτικών κομμάτων και των πολιτικών ιδρυμάτων όσον αφορά την απόκτηση του συγκεκριμένου ευρωπαϊκού νομικού καθεστώτος μέσω της </w:t>
      </w:r>
      <w:r>
        <w:rPr>
          <w:noProof/>
        </w:rPr>
        <w:lastRenderedPageBreak/>
        <w:t>καταχώρισης. Επίσης, προκειμένου να ισχυροποιηθεί ο σύνδεσμος μεταξύ των πολιτικών σε εθνικό και σε ενωσιακό επίπεδο και να μην επιτρέπεται στο ίδιο εθνικό κόμμα να δημιουργεί τεχνητά περισσότερα ευρωπαϊκά πολιτικά κόμματα που εκφράζουν παρεμφερείς ή ταυτόσημες πολιτικές τάσεις, θα πρέπει να αποκλειστεί η δυνατότητα μέλη του ίδιου πολιτικού κόμματος να συνυπολογίζονται σε σχέση με διαφορετικούς πολιτικούς συνασπισμούς στο πλαίσιο των απαιτήσεων ελάχιστης εκπροσώπησης που προβλέπονται για την καταχώριση των συνασπισμών αυτών ως ευρωπαϊκό κόμμα. Ως εκ τούτου, για την εκπλήρωση των εν λόγω απαιτήσεων ελάχιστης εκπροσώπησης θα πρέπει να λαμβάνονται υπόψη μόνο πολιτικά κόμματα και όχι πλέον μεμονωμένα άτομα.</w:t>
      </w:r>
    </w:p>
    <w:p>
      <w:pPr>
        <w:pStyle w:val="ManualConsidrant"/>
        <w:rPr>
          <w:noProof/>
        </w:rPr>
      </w:pPr>
      <w:r>
        <w:t>(4)</w:t>
      </w:r>
      <w:r>
        <w:tab/>
      </w:r>
      <w:r>
        <w:rPr>
          <w:noProof/>
        </w:rPr>
        <w:t>Στα ευρωπαϊκά πολιτικά κόμματα και τα ευρωπαϊκά πολιτικά ιδρύματα θα πρέπει να δοθεί η δυνατότητα να απορροφούν μεγαλύτερο μέρος των πιστώσεων που διατίθενται για τη χρηματοδότησή τους στον γενικό προϋπολογισμό της Ευρωπαϊκής Ένωσης. Ως εκ τούτου, θα πρέπει να αυξηθεί το μέγιστο ποσοστό των χρηματοδοτικών συνεισφορών ή επιχορηγήσεων από τον γενικό προϋπολογισμό της Ευρωπαϊκής Ένωσης στα ετήσια επιστρεπτέα έξοδα που σημειώνονται στον προϋπολογισμό ενός ευρωπαϊκού πολιτικού κόμματος και στις επιλέξιμες δαπάνες ενός ευρωπαϊκού πολιτικού ιδρύματος.</w:t>
      </w:r>
    </w:p>
    <w:p>
      <w:pPr>
        <w:pStyle w:val="ManualConsidrant"/>
        <w:rPr>
          <w:noProof/>
        </w:rPr>
      </w:pPr>
      <w:r>
        <w:t>(5)</w:t>
      </w:r>
      <w:r>
        <w:tab/>
      </w:r>
      <w:r>
        <w:rPr>
          <w:noProof/>
        </w:rPr>
        <w:t>Για λόγους διαφάνειας και για την ενίσχυση του ελέγχου και της δημοκρατικής λογοδοσίας των ευρωπαϊκών πολιτικών κομμάτων, αλλά και του συνδέσμου μεταξύ της ευρωπαϊκής κοινωνίας των πολιτών και των θεσμικών οργάνων της Ένωσης, ιδίως δε του Ευρωπαϊκού Κοινοβουλίου, η πρόσβαση σε χρηματοδότηση από τον γενικό προϋπολογισμό της Ευρωπαϊκής Ένωσης θα πρέπει να εξαρτάται από τη δημοσίευση από τα κόμματα-μέλη του προγράμματος και του λογοτύπου του σχετικού ευρωπαϊκού πολιτικού κόμματος, καθώς και πληροφοριών για την εκπροσώπηση των φύλων μεταξύ των υποψηφίων στις τελευταίες εκλογές για το Ευρωπαϊκό Κοινοβούλιο και μεταξύ των βουλευτών στο Ευρωπαϊκό Κοινοβούλιο.</w:t>
      </w:r>
    </w:p>
    <w:p>
      <w:pPr>
        <w:pStyle w:val="ManualConsidrant"/>
        <w:rPr>
          <w:noProof/>
        </w:rPr>
      </w:pPr>
      <w:r>
        <w:t>(6)</w:t>
      </w:r>
      <w:r>
        <w:tab/>
      </w:r>
      <w:r>
        <w:rPr>
          <w:noProof/>
        </w:rPr>
        <w:t>Για να εδραιωθεί μια πιο αναλογική κατανομή πόρων από τον γενικό προϋπολογισμό της Ευρωπαϊκής Ένωσης, η οποία θα αποτυπώνει αντικειμενικά την αυθεντική εκλογική στήριξη ενός ευρωπαϊκού πολιτικού κόμματος, η χρηματοδότηση των ευρωπαϊκών πολιτικών κομμάτων και, κατ’ επέκταση, των αντίστοιχων ευρωπαϊκών πολιτικών ιδρυμάτων που συνδέονται με αυτά θα πρέπει να συναρτάται πιο στενά με ένα ευαπόδεικτο επίπεδο εκλογικής στήριξης. Ως εκ τούτου, οι κανόνες που αφορούν την κατανομή της χρηματοδότησης θα πρέπει να προσαρμοστούν ώστε να λαμβάνεται περισσότερο υπόψη το ποσοστό εκλεγμένων μελών κάθε ευρωπαϊκού πολιτικού κόμματος στο Ευρωπαϊκό Κοινοβούλιο.</w:t>
      </w:r>
    </w:p>
    <w:p>
      <w:pPr>
        <w:pStyle w:val="ManualConsidrant"/>
        <w:rPr>
          <w:noProof/>
        </w:rPr>
      </w:pPr>
      <w:r>
        <w:t>(7)</w:t>
      </w:r>
      <w:r>
        <w:tab/>
      </w:r>
      <w:r>
        <w:rPr>
          <w:noProof/>
        </w:rPr>
        <w:t>Σε περίπτωση που ευρωπαϊκό κόμμα ή ευρωπαϊκό πολιτικό ίδρυμα, λόγω αλλαγής συνθηκών, δεν πληροί πλέον οποιαδήποτε από τις προϋποθέσεις καταχώρισης, θα πρέπει να διαγράφεται από το Μητρώο.</w:t>
      </w:r>
    </w:p>
    <w:p>
      <w:pPr>
        <w:pStyle w:val="ManualConsidrant"/>
        <w:rPr>
          <w:noProof/>
        </w:rPr>
      </w:pPr>
      <w:r>
        <w:t>(8)</w:t>
      </w:r>
      <w:r>
        <w:tab/>
      </w:r>
      <w:r>
        <w:rPr>
          <w:noProof/>
        </w:rPr>
        <w:t>Για λόγους ασφάλειας δικαίου και διαφάνειας θα πρέπει να προβλέπεται ρητά ότι ένα ευρωπαϊκό κόμμα ή ευρωπαϊκό πολιτικό ίδρυμα μπορεί να διαγραφεί από το Μητρώο, εντός εύλογου χρόνου, σε περίπτωση που το εν λόγω κόμμα ή ίδρυμα παρείχε ψευδή ή ελλιπή στοιχεία, βάσει των οποίων ελήφθη απόφαση για την καταχώρισή του.</w:t>
      </w:r>
    </w:p>
    <w:p>
      <w:pPr>
        <w:pStyle w:val="ManualConsidrant"/>
        <w:rPr>
          <w:noProof/>
        </w:rPr>
      </w:pPr>
      <w:r>
        <w:t>(9)</w:t>
      </w:r>
      <w:r>
        <w:tab/>
      </w:r>
      <w:r>
        <w:rPr>
          <w:noProof/>
        </w:rPr>
        <w:t xml:space="preserve">Η προστασία των οικονομικών συμφερόντων της ΕΕ θα πρέπει να ενισχυθεί μέσω της πρόβλεψης ότι, στις περιπτώσεις αδικήματος, η ουσιαστική ανάκτηση χρηματοδότησης που χορηγήθηκε από τον προϋπολογισμό της Ευρωπαϊκής Ένωσης </w:t>
      </w:r>
      <w:r>
        <w:rPr>
          <w:noProof/>
        </w:rPr>
        <w:lastRenderedPageBreak/>
        <w:t xml:space="preserve">θα διασφαλίζεται μέσω της ανάκτησης των αδικαιολογήτως καταβληθέντων ποσών και από τα φυσικά πρόσωπα που είναι υπαίτια για το εν λόγω αδίκημα. </w:t>
      </w:r>
    </w:p>
    <w:p>
      <w:pPr>
        <w:pStyle w:val="ManualConsidrant"/>
        <w:rPr>
          <w:noProof/>
        </w:rPr>
      </w:pPr>
      <w:r>
        <w:t>(10)</w:t>
      </w:r>
      <w:r>
        <w:tab/>
      </w:r>
      <w:r>
        <w:rPr>
          <w:noProof/>
        </w:rPr>
        <w:t>Προκειμένου να αξιολογηθούν οι επιπτώσεις του κανονισμού (ΕΕ, Ευρατόμ) αριθ. 1141/2014 όπως τροποποιείται από τον παρόντα κανονισμό στη βάση ουσιαστικών στοιχείων όσον αφορά την αποτελεσματικότητά του στην πράξη, η ημερομηνία της προτεινόμενης συνολικής αξιολόγησης θα πρέπει να μετατεθεί χρονικά.</w:t>
      </w:r>
    </w:p>
    <w:p>
      <w:pPr>
        <w:pStyle w:val="ManualConsidrant"/>
        <w:rPr>
          <w:noProof/>
        </w:rPr>
      </w:pPr>
      <w:r>
        <w:t>(11)</w:t>
      </w:r>
      <w:r>
        <w:tab/>
      </w:r>
      <w:r>
        <w:rPr>
          <w:noProof/>
        </w:rPr>
        <w:t>Οι νέες απαιτήσεις όσο αφορά τη δημοσιοποίηση του προγράμματος και του λογοτύπου των ευρωπαϊκών πολιτικών κομμάτων και πληροφοριών σχετικά με την εκπροσώπηση των φύλων θα πρέπει να ισχύουν στον μέγιστο δυνατό βαθμό ήδη επί των αιτήσεων χρηματοδότησης για το 2019, έτος κατά το οποίο πρόκειται να διεξαχθούν εκλογές για το Ευρωπαϊκό Κοινοβούλιο. Ως εκ τούτου, θα πρέπει να προβλεφθούν μεταβατικές ρυθμίσεις.</w:t>
      </w:r>
    </w:p>
    <w:p>
      <w:pPr>
        <w:pStyle w:val="ManualConsidrant"/>
        <w:rPr>
          <w:noProof/>
        </w:rPr>
      </w:pPr>
      <w:r>
        <w:t>(12)</w:t>
      </w:r>
      <w:r>
        <w:tab/>
      </w:r>
      <w:r>
        <w:rPr>
          <w:noProof/>
        </w:rPr>
        <w:t>O κανονισμός (ΕΕ, Ευρατόμ) αριθ. 1141/2014 θα πρέπει συνεπώς να τροποποιηθεί αναλόγως,</w:t>
      </w: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Ο κανονισμός (EE, Ευρατόμ) αριθ. 1141/2014 του Ευρωπαϊκού Κοινοβουλίου και του Συμβουλίου, της 22ας Οκτωβρίου 2014, σχετικά με το καθεστώς και τη χρηματοδότηση των ευρωπαϊκών πολιτικών κομμάτων και των ευρωπαϊκών πολιτικών ιδρυμάτων τροποποιείται ως εξής:</w:t>
      </w:r>
    </w:p>
    <w:p>
      <w:pPr>
        <w:rPr>
          <w:noProof/>
        </w:rPr>
      </w:pPr>
      <w:r>
        <w:rPr>
          <w:noProof/>
        </w:rPr>
        <w:t>1) Στο άρθρο 3 παράγραφος 1 στοιχείο β), το πρώτο εδάφιο αντικαθίσταται από το ακόλουθο κείμενο:</w:t>
      </w:r>
    </w:p>
    <w:p>
      <w:pPr>
        <w:rPr>
          <w:noProof/>
        </w:rPr>
      </w:pPr>
      <w:r>
        <w:rPr>
          <w:noProof/>
        </w:rPr>
        <w:t>«Τα κόμματα-μέλη του πρέπει να εκπροσωπούνται, τουλάχιστον στο ένα τέταρτο των κρατών μελών, από μέλη του Ευρωπαϊκού Κοινοβουλίου, των εθνικών κοινοβουλίων, των περιφερειακών κοινοβουλίων ή των περιφερειακών συνελεύσεων ή»</w:t>
      </w:r>
    </w:p>
    <w:p>
      <w:pPr>
        <w:rPr>
          <w:noProof/>
        </w:rPr>
      </w:pPr>
      <w:r>
        <w:rPr>
          <w:noProof/>
        </w:rPr>
        <w:t>2) Το άρθρο 17 παράγραφος 4 αντικαθίσταται από το ακόλουθο κείμενο:</w:t>
      </w:r>
    </w:p>
    <w:p>
      <w:pPr>
        <w:rPr>
          <w:noProof/>
        </w:rPr>
      </w:pPr>
      <w:r>
        <w:rPr>
          <w:noProof/>
        </w:rPr>
        <w:t>«4. Οι οικονομικές συνεισφορές ή επιδοτήσεις από τον γενικό προϋπολογισμό της Ευρωπαϊκής Ένωσης δεν υπερβαίνουν το 90 % των ετήσιων επιστρεπτέων εξόδων που σημειώνονται στον προϋπολογισμό ενός ευρωπαϊκού πολιτικού κόμματος και το 95 % των επιλέξιμων δαπανών ενός ευρωπαϊκού πολιτικού ιδρύματος. Τα ευρωπαϊκά πολιτικά κόμματα μπορούν να χρησιμοποιούν οποιοδήποτε μη δαπανηθέν τμήμα της συνεισφοράς της Ένωσης που χορηγήθηκε για την κάλυψη επιστρεπτέων εξόδων εντός του οικονομικού έτους που έπεται της χορήγησης. Τα μη χρησιμοποιηθέντα ποσά μετά το εν λόγω οικονομικό έτος ανακτώνται σύμφωνα με τον δημοσιονομικό κανονισμό.»</w:t>
      </w:r>
    </w:p>
    <w:p>
      <w:pPr>
        <w:rPr>
          <w:noProof/>
        </w:rPr>
      </w:pPr>
      <w:r>
        <w:rPr>
          <w:noProof/>
        </w:rPr>
        <w:t>3) Στο άρθρο 18</w:t>
      </w:r>
    </w:p>
    <w:p>
      <w:pPr>
        <w:rPr>
          <w:noProof/>
        </w:rPr>
      </w:pPr>
      <w:r>
        <w:rPr>
          <w:noProof/>
        </w:rPr>
        <w:t xml:space="preserve">παρεμβάλλεται η ακόλουθη παράγραφος 3α: </w:t>
      </w:r>
    </w:p>
    <w:p>
      <w:pPr>
        <w:rPr>
          <w:noProof/>
        </w:rPr>
      </w:pPr>
      <w:r>
        <w:rPr>
          <w:noProof/>
        </w:rPr>
        <w:t xml:space="preserve">«3α. Ένα ευρωπαϊκό πολιτικό ίδρυμα περιλαμβάνει στην αίτησή του στοιχεία που αποδεικνύουν ότι τα κόμματα-μέλη του έχουν δημοσιεύσει αδιάλειπτα στους δικτυακούς τόπους τους, κατά τους 12 μήνες προ της χρονικής στιγμής κατά την οποία κατατίθεται η αίτηση, το πολιτικό πρόγραμμα και τον λογότυπο του ευρωπαϊκού πολιτικού κόμματος, καθώς και πληροφορίες, σε σχέση με το κάθε κόμμα-μέλος του ευρωπαϊκού πολιτικού </w:t>
      </w:r>
      <w:r>
        <w:rPr>
          <w:noProof/>
        </w:rPr>
        <w:lastRenderedPageBreak/>
        <w:t>κόμματος, για την εκπροσώπηση των φύλων μεταξύ των υποψηφίων στις τελευταίες εκλογές για το Ευρωπαϊκό Κοινοβούλιο και μεταξύ των βουλευτών του Ευρωπαϊκού Κοινοβουλίου.»</w:t>
      </w:r>
    </w:p>
    <w:p>
      <w:pPr>
        <w:rPr>
          <w:noProof/>
        </w:rPr>
      </w:pPr>
      <w:r>
        <w:rPr>
          <w:noProof/>
        </w:rPr>
        <w:t>4) Το άρθρο 19 παράγραφος 1 αντικαθίσταται από το ακόλουθο κείμενο:</w:t>
      </w:r>
    </w:p>
    <w:p>
      <w:pPr>
        <w:rPr>
          <w:noProof/>
        </w:rPr>
      </w:pPr>
      <w:r>
        <w:rPr>
          <w:noProof/>
        </w:rPr>
        <w:t>«1. Οι αντίστοιχες πιστώσεις οι οποίες είναι διαθέσιμες για τα εν λόγω ευρωπαϊκά πολιτικά κόμματα και τα ευρωπαϊκά πολιτικά ιδρύματα στα οποία χορηγήθηκαν συνεισφορές ή επιδοτήσεις σύμφωνα με το άρθρο 18 κατανέμονται ετησίως βάσει της ακόλουθης κλείδας κατανομής:</w:t>
      </w:r>
    </w:p>
    <w:p>
      <w:pPr>
        <w:rPr>
          <w:noProof/>
        </w:rPr>
      </w:pPr>
      <w:r>
        <w:rPr>
          <w:noProof/>
        </w:rPr>
        <w:t>— 5 % κατανέμεται ισομερώς μεταξύ των δικαιούχων ευρωπαϊκών πολιτικών κομμάτων,</w:t>
      </w:r>
    </w:p>
    <w:p>
      <w:pPr>
        <w:rPr>
          <w:noProof/>
        </w:rPr>
      </w:pPr>
      <w:r>
        <w:rPr>
          <w:noProof/>
        </w:rPr>
        <w:t>— 95 % κατανέμεται μεταξύ των δικαιούχων ευρωπαϊκών πολιτικών κομμάτων, αναλογικά προς το ποσοστό των εκλεγμένων βουλευτών τους στο Ευρωπαϊκό Κοινοβούλιο.</w:t>
      </w:r>
    </w:p>
    <w:p>
      <w:pPr>
        <w:rPr>
          <w:noProof/>
        </w:rPr>
      </w:pPr>
      <w:r>
        <w:rPr>
          <w:noProof/>
        </w:rPr>
        <w:t>Η ίδια κλείδα κατανομής χρησιμοποιείται για τη χορήγηση χρηματοδότησης σε ευρωπαϊκά πολιτικά ιδρύματα, βάσει της σύνδεσής τους με ένα ευρωπαϊκό πολιτικό κόμμα.»</w:t>
      </w:r>
    </w:p>
    <w:p>
      <w:pPr>
        <w:rPr>
          <w:noProof/>
        </w:rPr>
      </w:pPr>
      <w:r>
        <w:rPr>
          <w:noProof/>
        </w:rPr>
        <w:t xml:space="preserve">5) Το άρθρο 27 τροποποιείται ως εξής: </w:t>
      </w:r>
    </w:p>
    <w:p>
      <w:pPr>
        <w:rPr>
          <w:noProof/>
        </w:rPr>
      </w:pPr>
      <w:r>
        <w:rPr>
          <w:noProof/>
        </w:rPr>
        <w:t>α) Η παράγραφος 1 στοιχείο β) αντικαθίσταται από το ακόλουθο κείμενο:</w:t>
      </w:r>
    </w:p>
    <w:p>
      <w:pPr>
        <w:rPr>
          <w:noProof/>
        </w:rPr>
      </w:pPr>
      <w:r>
        <w:rPr>
          <w:noProof/>
        </w:rPr>
        <w:t>«β) όταν διαπιστώνεται, σύμφωνα με τις διαδικασίες που προβλέπονται στο άρθρο 10 παράγραφοι 2 έως 5, ότι δεν πληροί πλέον τις προϋποθέσεις που ορίζονται στο άρθρο 3 παράγραφος 1 ή στο άρθρο 3 παράγραφος 2· ή»</w:t>
      </w:r>
    </w:p>
    <w:p>
      <w:pPr>
        <w:rPr>
          <w:noProof/>
        </w:rPr>
      </w:pPr>
      <w:r>
        <w:rPr>
          <w:noProof/>
        </w:rPr>
        <w:t xml:space="preserve">β) Στην παράγραφο 1 παρεμβάλλεται το ακόλουθο εδάφιο βα): </w:t>
      </w:r>
    </w:p>
    <w:p>
      <w:pPr>
        <w:rPr>
          <w:noProof/>
        </w:rPr>
      </w:pPr>
      <w:r>
        <w:rPr>
          <w:noProof/>
        </w:rPr>
        <w:t>«βα) εάν το εν λόγω κόμμα ή ίδρυμα δεν πληρούσε μία ή περισσότερες από τις προϋποθέσεις που ορίζονται στο άρθρο 3 παράγραφος 1 ή στο άρθρο 3 παράγραφος 2 κατά τη στιγμή της καταχώρισης και εάν το κόμμα ή ίδρυμα έχει προκαλέσει την απόφαση καταχώρισής του μέσω ψευδών ή ελλιπών στοιχείων ως προς τις εν λόγω προϋποθέσεις· λαμβάνεται απόφαση για τη διαγραφή του κόμματος ή ιδρύματος από το Μητρώο εντός εύλογου χρόνου από τη στιγμή κατά την οποία η Αρχή θα μπορούσε να διαπιστώσει ότι το εν λόγω κόμμα ή ίδρυμα δεν πληρούσε την προϋπόθεση ή τις προϋποθέσεις υπό εξέταση·»</w:t>
      </w:r>
    </w:p>
    <w:p>
      <w:pPr>
        <w:rPr>
          <w:noProof/>
        </w:rPr>
      </w:pPr>
      <w:r>
        <w:rPr>
          <w:noProof/>
        </w:rPr>
        <w:t xml:space="preserve">γ) παρεμβάλλεται η ακόλουθη παράγραφος 5α: </w:t>
      </w:r>
    </w:p>
    <w:p>
      <w:pPr>
        <w:rPr>
          <w:noProof/>
        </w:rPr>
      </w:pPr>
      <w:r>
        <w:rPr>
          <w:noProof/>
        </w:rPr>
        <w:t>«5α. Εάν η Αρχή επιβάλλει οικονομική κύρωση στις περιπτώσεις που αναφέρονται στην παράγραφο 2 στοιχείο α) σημεία v) ή vi), δύναται, για τον σκοπό της ανάκτησης δυνάμει του άρθρου 30 παράγραφος 2, να κρίνει ότι φυσικό πρόσωπο το οποίο είναι μέλος του διοικητικού, διαχειριστικού ή εποπτικού οργάνου του ευρωπαϊκού πολιτικού κόμματος ή του ευρωπαϊκού πολιτικού ιδρύματος, ή το οποίο έχει εξουσίες εκπροσώπησης, λήψης αποφάσεων ή ελέγχου σε σχέση με το ευρωπαϊκό πολιτικό κόμμα ή το ευρωπαϊκό πολιτικό ίδρυμα, φέρει και αυτό ευθύνη για το αδίκημα στις ακόλουθες περιπτώσεις:</w:t>
      </w:r>
    </w:p>
    <w:p>
      <w:pPr>
        <w:rPr>
          <w:noProof/>
        </w:rPr>
      </w:pPr>
      <w:r>
        <w:rPr>
          <w:noProof/>
        </w:rPr>
        <w:t>α.</w:t>
      </w:r>
      <w:r>
        <w:rPr>
          <w:noProof/>
        </w:rPr>
        <w:tab/>
        <w:t>στην περίπτωση που αναφέρεται στην παράγραφο 2 στοιχείο α) σημείο v) εφόσον, με τη δικαστική απόφαση που αναφέρεται στην εν λόγω διάταξη, έχει κριθεί ότι το φυσικό πρόσωπο φέρει και αυτό ευθύνη για τις συγκεκριμένες παράνομες δραστηριότητες·</w:t>
      </w:r>
    </w:p>
    <w:p>
      <w:pPr>
        <w:rPr>
          <w:noProof/>
        </w:rPr>
      </w:pPr>
      <w:r>
        <w:rPr>
          <w:noProof/>
        </w:rPr>
        <w:t>β.</w:t>
      </w:r>
      <w:r>
        <w:rPr>
          <w:noProof/>
        </w:rPr>
        <w:tab/>
        <w:t>στην περίπτωση που αναφέρεται στην παράγραφο 2 στοιχείο α) σημείο vi) εφόσον το φυσικό πρόσωπο φέρει και αυτό ευθύνη για τις συγκεκριμένες πράξεις ή ανακρίβειες.»</w:t>
      </w:r>
    </w:p>
    <w:p>
      <w:pPr>
        <w:rPr>
          <w:noProof/>
        </w:rPr>
      </w:pPr>
      <w:r>
        <w:rPr>
          <w:noProof/>
        </w:rPr>
        <w:t>6) Στο άρθρο 30 παράγραφος 2, προστίθεται η ακόλουθη περίοδος:</w:t>
      </w:r>
    </w:p>
    <w:p>
      <w:pPr>
        <w:rPr>
          <w:noProof/>
        </w:rPr>
      </w:pPr>
      <w:r>
        <w:rPr>
          <w:noProof/>
        </w:rPr>
        <w:t xml:space="preserve">«Ο διατάκτης του Ευρωπαϊκού Κοινοβουλίου ανακτά επίσης αδικαιολογήτως καταβληθέντα ποσά βάσει συμφωνίας ή απόφασης συνεισφοράς ή επιδότησης από φυσικό πρόσωπο σε σχέση με το οποίο έχει ληφθεί απόφαση δυνάμει του άρθρου 27 παράγραφος 5α.». </w:t>
      </w:r>
    </w:p>
    <w:p>
      <w:pPr>
        <w:rPr>
          <w:noProof/>
        </w:rPr>
      </w:pPr>
      <w:r>
        <w:rPr>
          <w:noProof/>
        </w:rPr>
        <w:lastRenderedPageBreak/>
        <w:t xml:space="preserve"> 7) το άρθρο 38 αντικαθίσταται από το ακόλουθο κείμενο:</w:t>
      </w:r>
    </w:p>
    <w:p>
      <w:pPr>
        <w:jc w:val="center"/>
        <w:rPr>
          <w:noProof/>
        </w:rPr>
      </w:pPr>
      <w:r>
        <w:rPr>
          <w:noProof/>
        </w:rPr>
        <w:t>«Άρθρο 38</w:t>
      </w:r>
    </w:p>
    <w:p>
      <w:pPr>
        <w:jc w:val="center"/>
        <w:rPr>
          <w:b/>
          <w:noProof/>
        </w:rPr>
      </w:pPr>
      <w:r>
        <w:rPr>
          <w:b/>
          <w:noProof/>
        </w:rPr>
        <w:t>Αξιολόγηση</w:t>
      </w:r>
    </w:p>
    <w:p>
      <w:pPr>
        <w:rPr>
          <w:noProof/>
        </w:rPr>
      </w:pPr>
      <w:r>
        <w:rPr>
          <w:noProof/>
        </w:rPr>
        <w:t>Το Ευρωπαϊκό Κοινοβούλιο, μετά από διαβούλευση με την Αρχή, δημοσιεύει πέντε έτη από τη χρονική στιγμή έναρξης ισχύος του παρόντος κανονισμού έκθεση σχετικά με την εφαρμογή του παρόντος κανονισμού και με τις χρηματοδοτηθείσες δραστηριότητες. Η έκθεση αναφέρει, όπου συντρέχει περίπτωση, τις ενδεχόμενες τροποποιήσεις που πρέπει να επέλθουν στο καθεστώς και στα συστήματα χρηματοδότησης.</w:t>
      </w:r>
    </w:p>
    <w:p>
      <w:pPr>
        <w:rPr>
          <w:noProof/>
        </w:rPr>
      </w:pPr>
      <w:r>
        <w:rPr>
          <w:noProof/>
        </w:rPr>
        <w:t>Εντός έξι μηνών το αργότερο από τη δημοσίευση της έκθεσης από το Ευρωπαϊκό Κοινοβούλιο η Επιτροπή υποβάλλει έκθεση σχετικά με την εφαρμογή του παρόντος κανονισμού συνοδευόμενη, εφόσον συντρέχει περίπτωση, από νομοθετική πρόταση για την τροποποίηση του παρόντος κανονισμού.»</w:t>
      </w:r>
    </w:p>
    <w:p>
      <w:pPr>
        <w:rPr>
          <w:noProof/>
        </w:rPr>
      </w:pPr>
      <w:r>
        <w:rPr>
          <w:noProof/>
        </w:rPr>
        <w:t>8) Παρεμβάλλεται το ακόλουθο άρθρο 40α:</w:t>
      </w:r>
    </w:p>
    <w:p>
      <w:pPr>
        <w:jc w:val="center"/>
        <w:rPr>
          <w:noProof/>
        </w:rPr>
      </w:pPr>
      <w:r>
        <w:rPr>
          <w:noProof/>
        </w:rPr>
        <w:t>«Άρθρο 40α</w:t>
      </w:r>
    </w:p>
    <w:p>
      <w:pPr>
        <w:jc w:val="center"/>
        <w:rPr>
          <w:b/>
          <w:noProof/>
        </w:rPr>
      </w:pPr>
      <w:r>
        <w:rPr>
          <w:b/>
          <w:noProof/>
        </w:rPr>
        <w:t>Μεταβατική διάταξη</w:t>
      </w:r>
    </w:p>
    <w:p>
      <w:pPr>
        <w:rPr>
          <w:noProof/>
        </w:rPr>
      </w:pPr>
      <w:r>
        <w:rPr>
          <w:noProof/>
        </w:rPr>
        <w:t xml:space="preserve">Κατά παρέκκλιση από το άρθρο 18 παράγραφος 3α και όσον αφορά αιτήσεις χρηματοδότησης για το οικονομικό έτος 2019, ο διατάκτης του Ευρωπαϊκού Κοινοβουλίου, προτού λάβει απόφαση επί αίτησης χρηματοδότησης, ζητά από το ευρωπαϊκό πολιτικό κόμμα στοιχεία που αποδεικνύουν ότι τα κόμματα-μέλη του δημοσιεύουν αδιάλειπτα στους δικτυακούς τόπους τους, για περίοδο που αρχίζει έναν μήνα μετά τη θέση σε ισχύ του κανονισμού (ΕΕ, Ευρατόμ) αριθ. XX/2018, το πολιτικό πρόγραμμα και τον λογότυπο του ευρωπαϊκού πολιτικού κόμματος, καθώς και πληροφορίες, σε σχέση με το κάθε κόμμα-μέλος του ευρωπαϊκού πολιτικού κόμματος, για την εκπροσώπηση των φύλων μεταξύ των υποψηφίων στις τελευταίες εκλογές για το Ευρωπαϊκό Κοινοβούλιο και μεταξύ των βουλευτών του Ευρωπαϊκού Κοινοβουλίου.»    </w:t>
      </w:r>
    </w:p>
    <w:p>
      <w:pPr>
        <w:rPr>
          <w:noProof/>
        </w:rPr>
      </w:pPr>
    </w:p>
    <w:p>
      <w:pPr>
        <w:pStyle w:val="Titrearticle"/>
        <w:rPr>
          <w:noProof/>
        </w:rPr>
      </w:pPr>
      <w:r>
        <w:rPr>
          <w:noProof/>
        </w:rPr>
        <w:t>Άρθρο 2</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rPr>
          <w:noProof/>
        </w:rPr>
      </w:pP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Ο/Η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jc w:val="left"/>
      </w:pPr>
      <w:r>
        <w:rPr>
          <w:rStyle w:val="FootnoteReference"/>
        </w:rPr>
        <w:footnoteRef/>
      </w:r>
      <w:r>
        <w:tab/>
        <w:t xml:space="preserve">Σύσταση της Επιτροπής, της 12ης Μαρτίου 2013, για την ενίσχυση του δημοκρατικού και αποτελεσματικού τρόπου διεξαγωγής των εκλογών για το Ευρωπαϊκό Κοινοβούλιο, C(2013)1303 final </w:t>
      </w:r>
      <w:hyperlink r:id="rId1">
        <w:r>
          <w:rPr>
            <w:rStyle w:val="Hyperlink"/>
          </w:rPr>
          <w:t>http://eur-lex.europa.eu/legal-content/EL/ALL/?uri=OJ:L:2013:079:TOC</w:t>
        </w:r>
      </w:hyperlink>
      <w:r>
        <w:t xml:space="preserve"> </w:t>
      </w:r>
    </w:p>
  </w:footnote>
  <w:footnote w:id="3">
    <w:p>
      <w:pPr>
        <w:pStyle w:val="FootnoteText"/>
        <w:ind w:left="142" w:hanging="142"/>
      </w:pPr>
      <w:r>
        <w:rPr>
          <w:rStyle w:val="FootnoteReference"/>
        </w:rPr>
        <w:footnoteRef/>
      </w:r>
      <w:r>
        <w:tab/>
        <w:t>ΕΕ L 317 της 4.11.2017, σσ. 1-27.</w:t>
      </w:r>
    </w:p>
  </w:footnote>
  <w:footnote w:id="4">
    <w:p>
      <w:pPr>
        <w:pStyle w:val="FootnoteText"/>
        <w:ind w:left="142" w:hanging="142"/>
      </w:pPr>
      <w:r>
        <w:rPr>
          <w:rStyle w:val="FootnoteReference"/>
        </w:rPr>
        <w:footnoteRef/>
      </w:r>
      <w:r>
        <w:tab/>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Έκθεση σχετικά με τις εκλογές του Ευρωπαϊκού Κοινοβουλίου 2014, COM/2015/0206 final </w:t>
      </w:r>
      <w:hyperlink r:id="rId2">
        <w:r>
          <w:rPr>
            <w:rStyle w:val="Hyperlink"/>
          </w:rPr>
          <w:t>http://eur-lex.europa.eu/legal-content/EL/TXT/?uri=COM:2015:0206:FIN</w:t>
        </w:r>
      </w:hyperlink>
      <w:r>
        <w:t xml:space="preserve">. </w:t>
      </w:r>
    </w:p>
  </w:footnote>
  <w:footnote w:id="5">
    <w:p>
      <w:pPr>
        <w:pStyle w:val="FootnoteText"/>
        <w:ind w:left="120" w:hanging="120"/>
        <w:jc w:val="left"/>
      </w:pPr>
      <w:r>
        <w:rPr>
          <w:rStyle w:val="FootnoteReference"/>
        </w:rPr>
        <w:footnoteRef/>
      </w:r>
      <w:r>
        <w:tab/>
        <w:t xml:space="preserve">Βλ. </w:t>
      </w:r>
      <w:hyperlink r:id="rId3">
        <w:r>
          <w:rPr>
            <w:rStyle w:val="Hyperlink"/>
          </w:rPr>
          <w:t>http://www.europarl.europa.eu/sides/getDoc.do?pubRef=-//EP//TEXT+TA+P8-TA-2017-0274+0+DOC+XML+V0//EL</w:t>
        </w:r>
      </w:hyperlink>
      <w:r>
        <w:t xml:space="preserve"> </w:t>
      </w:r>
    </w:p>
  </w:footnote>
  <w:footnote w:id="6">
    <w:p>
      <w:pPr>
        <w:pStyle w:val="FootnoteText"/>
        <w:tabs>
          <w:tab w:val="left" w:pos="284"/>
        </w:tabs>
        <w:ind w:left="284" w:hanging="284"/>
        <w:jc w:val="left"/>
      </w:pPr>
      <w:r>
        <w:rPr>
          <w:rStyle w:val="FootnoteReference"/>
        </w:rPr>
        <w:footnoteRef/>
      </w:r>
      <w:r>
        <w:tab/>
        <w:t>Συμμαχία για την Ειρήνη και την Ελευθερία (APF), Συμμαχία των Ευρωπαϊκών Εθνικών Κινημάτων (EANM), Ευρωπαϊκή Συμμαχία για την Ελευθερία (EAF) και Ευρωπαίοι Ενωμένοι για τη Δημοκρατία (EUD). Το ευρωπαϊκό πολιτικό κόμμα Coalition pour la Vie et la Famille (Συμμαχία για τη Ζωή και την Οικογένεια) (CVF) δεν διαθέτει βουλευτή στο Ευρωπαϊκό Κοινοβούλιο και ως εκ τούτου δεν είναι επιλέξιμο για χρηματοδότηση μετά το 2017, τελευταίο έτος εφαρμογής των προηγούμενων κανόνων βάσει του κανονισμού του 2004.</w:t>
      </w:r>
    </w:p>
  </w:footnote>
  <w:footnote w:id="7">
    <w:p>
      <w:pPr>
        <w:pStyle w:val="FootnoteText"/>
        <w:tabs>
          <w:tab w:val="left" w:pos="284"/>
        </w:tabs>
        <w:ind w:left="284" w:hanging="284"/>
        <w:jc w:val="left"/>
      </w:pPr>
      <w:r>
        <w:rPr>
          <w:rStyle w:val="FootnoteReference"/>
        </w:rPr>
        <w:footnoteRef/>
      </w:r>
      <w:r>
        <w:tab/>
        <w:t>Βάσει της χρηματοδότησης το 2017, σύμφωνα με τους κανόνες του κανονισμού του 2004, και μη λαμβάνοντας άρα υπόψη την εκ του κανονισμού του 2014 απαίτηση για ελάχιστο αριθμό ενός μέλους του Ευρωπαϊκού Κοινοβουλίου προκειμένου να ληφθεί χρηματοδότηση.</w:t>
      </w:r>
    </w:p>
  </w:footnote>
  <w:footnote w:id="8">
    <w:p>
      <w:pPr>
        <w:pStyle w:val="FootnoteText"/>
        <w:ind w:left="142" w:hanging="142"/>
      </w:pPr>
      <w:r>
        <w:rPr>
          <w:rStyle w:val="FootnoteReference"/>
        </w:rPr>
        <w:footnoteRef/>
      </w:r>
      <w:r>
        <w:tab/>
        <w:t>COM(2017) 30 final.</w:t>
      </w:r>
    </w:p>
  </w:footnote>
  <w:footnote w:id="9">
    <w:p>
      <w:pPr>
        <w:pStyle w:val="FootnoteText"/>
        <w:ind w:left="142" w:hanging="142"/>
        <w:rPr>
          <w:color w:val="000000" w:themeColor="text1"/>
        </w:rPr>
      </w:pPr>
      <w:r>
        <w:rPr>
          <w:rStyle w:val="FootnoteReference"/>
        </w:rPr>
        <w:footnoteRef/>
      </w:r>
      <w:r>
        <w:tab/>
        <w:t xml:space="preserve">Οι βέλτιστες αυτές πρακτικές θα αφορούν επίσης εργαλεία ηλεκτρονικής δημοκρατίας, ρυθμίσεις εξ αποστάσεως ψηφοφορίας (π.χ. ηλεκτρονική ψηφοφορία), καθώς και τη </w:t>
      </w:r>
      <w:r>
        <w:rPr>
          <w:color w:val="000000" w:themeColor="text1"/>
        </w:rPr>
        <w:t>διασυνοριακή πρόσβαση σε πολιτική ενημέρωση, και θα στοχεύουν στη βελτίωση των χαμηλών ποσοστών προσέλευσης ψηφοφόρων στις κάλπες.</w:t>
      </w:r>
    </w:p>
  </w:footnote>
  <w:footnote w:id="10">
    <w:p>
      <w:pPr>
        <w:pStyle w:val="FootnoteText"/>
        <w:ind w:left="142" w:hanging="142"/>
      </w:pPr>
      <w:r>
        <w:rPr>
          <w:rStyle w:val="FootnoteReference"/>
        </w:rPr>
        <w:footnoteRef/>
      </w:r>
      <w:r>
        <w:tab/>
      </w:r>
      <w:hyperlink r:id="rId4">
        <w:r>
          <w:rPr>
            <w:rStyle w:val="Hyperlink"/>
          </w:rPr>
          <w:t>http://ec.europa.eu/justice/citizen/document/files/c_2013_1303_en.pdf</w:t>
        </w:r>
      </w:hyperlink>
      <w:r>
        <w:t xml:space="preserve">. </w:t>
      </w:r>
    </w:p>
  </w:footnote>
  <w:footnote w:id="11">
    <w:p>
      <w:pPr>
        <w:pStyle w:val="FootnoteText"/>
        <w:ind w:left="142" w:hanging="142"/>
      </w:pPr>
      <w:r>
        <w:rPr>
          <w:rStyle w:val="FootnoteReference"/>
        </w:rPr>
        <w:footnoteRef/>
      </w:r>
      <w:r>
        <w:tab/>
        <w:t>Απόφαση του Ευρωπαϊκού Συμβουλίου, της 28ης Ιουνίου 2013, για τον καθορισμό της σύνθεσης του Ευρωπαϊκού Κοινοβουλίου· http://eur-lex.europa.eu/legal-content/EN/TXT/?uri=uriserv:OJ.L_.2013.181.01.0057.01.ENG.</w:t>
      </w:r>
    </w:p>
  </w:footnote>
  <w:footnote w:id="12">
    <w:p>
      <w:pPr>
        <w:pStyle w:val="FootnoteText"/>
        <w:ind w:left="142" w:hanging="142"/>
        <w:jc w:val="left"/>
      </w:pPr>
      <w:r>
        <w:rPr>
          <w:rStyle w:val="FootnoteReference"/>
        </w:rPr>
        <w:footnoteRef/>
      </w:r>
      <w:r>
        <w:tab/>
      </w:r>
      <w:hyperlink r:id="rId5">
        <w:r>
          <w:rPr>
            <w:rStyle w:val="Hyperlink"/>
          </w:rPr>
          <w:t>https://europa.eu/european-union/sites/europaeu/files/docs/body/consolidated_version_of_the_treaty_establishing_the_european_atomic_energy_community_el.pdf</w:t>
        </w:r>
      </w:hyperlink>
      <w:r>
        <w:t xml:space="preserve"> </w:t>
      </w:r>
    </w:p>
  </w:footnote>
  <w:footnote w:id="13">
    <w:p>
      <w:pPr>
        <w:pStyle w:val="FootnoteText"/>
        <w:ind w:left="284" w:hanging="284"/>
        <w:jc w:val="left"/>
      </w:pPr>
      <w:r>
        <w:rPr>
          <w:rStyle w:val="FootnoteReference"/>
        </w:rPr>
        <w:footnoteRef/>
      </w:r>
      <w:r>
        <w:tab/>
        <w:t xml:space="preserve">Η ημερήσια διάταξη, ο κατάλογος των ομιλητών και τα συμπεράσματα διατίθενται εδώ: </w:t>
      </w:r>
      <w:hyperlink r:id="rId6">
        <w:r>
          <w:rPr>
            <w:rStyle w:val="Hyperlink"/>
          </w:rPr>
          <w:t>http://www.europarl.europa.eu/sides/getDoc.do?pubRef=-//EP//NONSGML+COMPARL+AFCO-OJ-20170712-1+01+DOC+PDF+V0//EL</w:t>
        </w:r>
      </w:hyperlink>
      <w:r>
        <w:t xml:space="preserve"> </w:t>
      </w:r>
    </w:p>
    <w:p>
      <w:pPr>
        <w:pStyle w:val="FootnoteText"/>
        <w:ind w:left="0" w:firstLine="0"/>
      </w:pPr>
    </w:p>
  </w:footnote>
  <w:footnote w:id="14">
    <w:p>
      <w:pPr>
        <w:pStyle w:val="FootnoteText"/>
        <w:ind w:left="284" w:hanging="284"/>
        <w:rPr>
          <w:lang w:val="pl-PL"/>
        </w:rPr>
      </w:pPr>
      <w:r>
        <w:rPr>
          <w:rStyle w:val="FootnoteReference"/>
        </w:rPr>
        <w:footnoteRef/>
      </w:r>
      <w:r>
        <w:tab/>
        <w:t>EE C , της , σ. .</w:t>
      </w:r>
    </w:p>
  </w:footnote>
  <w:footnote w:id="15">
    <w:p>
      <w:pPr>
        <w:pStyle w:val="FootnoteText"/>
        <w:ind w:left="284" w:hanging="284"/>
        <w:rPr>
          <w:lang w:val="pl-PL"/>
        </w:rPr>
      </w:pPr>
      <w:r>
        <w:rPr>
          <w:rStyle w:val="FootnoteReference"/>
        </w:rPr>
        <w:footnoteRef/>
      </w:r>
      <w:r>
        <w:tab/>
        <w:t>EE C , της , σ. .</w:t>
      </w:r>
    </w:p>
  </w:footnote>
  <w:footnote w:id="16">
    <w:p>
      <w:pPr>
        <w:pStyle w:val="FootnoteText"/>
        <w:ind w:left="284" w:hanging="284"/>
        <w:rPr>
          <w:lang w:val="pl-PL"/>
        </w:rPr>
      </w:pPr>
      <w:r>
        <w:rPr>
          <w:rStyle w:val="FootnoteReference"/>
        </w:rPr>
        <w:footnoteRef/>
      </w:r>
      <w:r>
        <w:tab/>
        <w:t>EE C , της , 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2EC2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185D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F8E0E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A6B1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1E6A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8674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16B1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544EF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removePersonalInformation/>
  <w:removeDateAndTime/>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2:25:1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7"/>
    <w:docVar w:name="DQCStatus" w:val="Green"/>
    <w:docVar w:name="DQCVersion" w:val="3"/>
    <w:docVar w:name="DQCWithWarnings" w:val="0"/>
    <w:docVar w:name="LW_CONFIDENCE" w:val=" "/>
    <w:docVar w:name="LW_CONST_RESTREINT_UE" w:val="RESTREINT UE"/>
    <w:docVar w:name="LW_CORRIGENDUM" w:val="&lt;UNUSED&gt;"/>
    <w:docVar w:name="LW_COVERPAGE_GUID" w:val="BA479E97EEE143598E486E5EB6D09828"/>
    <w:docVar w:name="LW_CROSSREFERENCE" w:val="&lt;UNUSED&gt;"/>
    <w:docVar w:name="LW_DocType" w:val="COM"/>
    <w:docVar w:name="LW_EMISSION" w:val="13.9.2017"/>
    <w:docVar w:name="LW_EMISSION_ISODATE" w:val="2017-09-13"/>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19"/>
    <w:docVar w:name="LW_REF.II.NEW.CP_YEAR" w:val="2017"/>
    <w:docVar w:name="LW_REF.INST.NEW" w:val="COM"/>
    <w:docVar w:name="LW_REF.INST.NEW_ADOPTED" w:val="final"/>
    <w:docVar w:name="LW_REF.INST.NEW_TEXT" w:val="(2017) 481"/>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9?\u965? \u954?\u945?\u957?\u959?\u957?\u953?\u963?\u956?\u959?\u973? (EE, \u917?\u965?\u961?\u945?\u964?\u972?\u956?) \u945?\u961?\u953?\u952?. 1141/2014 \u964?\u959?\u965? \u917?\u965?\u961?\u969?\u960?\u945?\u970?\u954?\u959?\u973? \u922?\u959?\u953?\u957?\u959?\u946?\u959?\u965?\u955?\u943?\u959?\u965? \u954?\u945?\u953? \u964?\u959?\u965? \u931?\u965?\u956?\u946?\u959?\u965?\u955?\u943?\u959?\u965?, \u964?\u951?\u962? 22\u945?\u962? \u927?\u954?\u964?\u969?\u946?\u961?\u943?\u959?\u965? 2014, \u963?\u967?\u949?\u964?\u953?\u954?\u940? \u956?\u949? \u964?\u959? \u954?\u945?\u952?\u949?\u963?\u964?\u974?\u962? \u954?\u945?\u953? \u964?\u951? \u967?\u961?\u951?\u956?\u945?\u964?\u959?\u948?\u972?\u964?\u951?\u963?\u951? \u964?\u969?\u957? \u949?\u965?\u961?\u969?\u960?\u945?\u970?\u954?\u974?\u957? \u960?\u959?\u955?\u953?\u964?\u953?\u954?\u974?\u957? \u954?\u959?\u956?\u956?\u940?\u964?\u969?\u957? \u954?\u945?\u953? \u964?\u969?\u957? \u949?\u965?\u961?\u969?\u960?\u945?\u970?\u954?\u974?\u957? \u960?\u959?\u955?\u953?\u964?\u953?\u954?\u974?\u957? \u953?\u948?\u961?\u965?\u956?\u940?\u964?\u969?\u957? "/>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592">
      <w:bodyDiv w:val="1"/>
      <w:marLeft w:val="0"/>
      <w:marRight w:val="0"/>
      <w:marTop w:val="0"/>
      <w:marBottom w:val="0"/>
      <w:divBdr>
        <w:top w:val="none" w:sz="0" w:space="0" w:color="auto"/>
        <w:left w:val="none" w:sz="0" w:space="0" w:color="auto"/>
        <w:bottom w:val="none" w:sz="0" w:space="0" w:color="auto"/>
        <w:right w:val="none" w:sz="0" w:space="0" w:color="auto"/>
      </w:divBdr>
    </w:div>
    <w:div w:id="221866132">
      <w:bodyDiv w:val="1"/>
      <w:marLeft w:val="0"/>
      <w:marRight w:val="0"/>
      <w:marTop w:val="0"/>
      <w:marBottom w:val="0"/>
      <w:divBdr>
        <w:top w:val="none" w:sz="0" w:space="0" w:color="auto"/>
        <w:left w:val="none" w:sz="0" w:space="0" w:color="auto"/>
        <w:bottom w:val="none" w:sz="0" w:space="0" w:color="auto"/>
        <w:right w:val="none" w:sz="0" w:space="0" w:color="auto"/>
      </w:divBdr>
      <w:divsChild>
        <w:div w:id="1191141700">
          <w:marLeft w:val="0"/>
          <w:marRight w:val="0"/>
          <w:marTop w:val="0"/>
          <w:marBottom w:val="0"/>
          <w:divBdr>
            <w:top w:val="none" w:sz="0" w:space="0" w:color="auto"/>
            <w:left w:val="none" w:sz="0" w:space="0" w:color="auto"/>
            <w:bottom w:val="none" w:sz="0" w:space="0" w:color="auto"/>
            <w:right w:val="none" w:sz="0" w:space="0" w:color="auto"/>
          </w:divBdr>
          <w:divsChild>
            <w:div w:id="1271624867">
              <w:marLeft w:val="0"/>
              <w:marRight w:val="0"/>
              <w:marTop w:val="0"/>
              <w:marBottom w:val="0"/>
              <w:divBdr>
                <w:top w:val="none" w:sz="0" w:space="0" w:color="auto"/>
                <w:left w:val="none" w:sz="0" w:space="0" w:color="auto"/>
                <w:bottom w:val="none" w:sz="0" w:space="0" w:color="auto"/>
                <w:right w:val="none" w:sz="0" w:space="0" w:color="auto"/>
              </w:divBdr>
              <w:divsChild>
                <w:div w:id="2057119729">
                  <w:marLeft w:val="0"/>
                  <w:marRight w:val="0"/>
                  <w:marTop w:val="0"/>
                  <w:marBottom w:val="0"/>
                  <w:divBdr>
                    <w:top w:val="none" w:sz="0" w:space="0" w:color="auto"/>
                    <w:left w:val="none" w:sz="0" w:space="0" w:color="auto"/>
                    <w:bottom w:val="none" w:sz="0" w:space="0" w:color="auto"/>
                    <w:right w:val="none" w:sz="0" w:space="0" w:color="auto"/>
                  </w:divBdr>
                  <w:divsChild>
                    <w:div w:id="556009783">
                      <w:marLeft w:val="4275"/>
                      <w:marRight w:val="0"/>
                      <w:marTop w:val="615"/>
                      <w:marBottom w:val="0"/>
                      <w:divBdr>
                        <w:top w:val="none" w:sz="0" w:space="0" w:color="auto"/>
                        <w:left w:val="none" w:sz="0" w:space="0" w:color="auto"/>
                        <w:bottom w:val="none" w:sz="0" w:space="0" w:color="auto"/>
                        <w:right w:val="none" w:sz="0" w:space="0" w:color="auto"/>
                      </w:divBdr>
                      <w:divsChild>
                        <w:div w:id="916791266">
                          <w:marLeft w:val="0"/>
                          <w:marRight w:val="0"/>
                          <w:marTop w:val="0"/>
                          <w:marBottom w:val="0"/>
                          <w:divBdr>
                            <w:top w:val="none" w:sz="0" w:space="0" w:color="auto"/>
                            <w:left w:val="none" w:sz="0" w:space="0" w:color="auto"/>
                            <w:bottom w:val="none" w:sz="0" w:space="0" w:color="auto"/>
                            <w:right w:val="none" w:sz="0" w:space="0" w:color="auto"/>
                          </w:divBdr>
                          <w:divsChild>
                            <w:div w:id="1339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2695">
      <w:bodyDiv w:val="1"/>
      <w:marLeft w:val="0"/>
      <w:marRight w:val="0"/>
      <w:marTop w:val="0"/>
      <w:marBottom w:val="0"/>
      <w:divBdr>
        <w:top w:val="none" w:sz="0" w:space="0" w:color="auto"/>
        <w:left w:val="none" w:sz="0" w:space="0" w:color="auto"/>
        <w:bottom w:val="none" w:sz="0" w:space="0" w:color="auto"/>
        <w:right w:val="none" w:sz="0" w:space="0" w:color="auto"/>
      </w:divBdr>
    </w:div>
    <w:div w:id="378672133">
      <w:bodyDiv w:val="1"/>
      <w:marLeft w:val="0"/>
      <w:marRight w:val="0"/>
      <w:marTop w:val="0"/>
      <w:marBottom w:val="0"/>
      <w:divBdr>
        <w:top w:val="none" w:sz="0" w:space="0" w:color="auto"/>
        <w:left w:val="none" w:sz="0" w:space="0" w:color="auto"/>
        <w:bottom w:val="none" w:sz="0" w:space="0" w:color="auto"/>
        <w:right w:val="none" w:sz="0" w:space="0" w:color="auto"/>
      </w:divBdr>
    </w:div>
    <w:div w:id="509292741">
      <w:bodyDiv w:val="1"/>
      <w:marLeft w:val="0"/>
      <w:marRight w:val="0"/>
      <w:marTop w:val="0"/>
      <w:marBottom w:val="0"/>
      <w:divBdr>
        <w:top w:val="none" w:sz="0" w:space="0" w:color="auto"/>
        <w:left w:val="none" w:sz="0" w:space="0" w:color="auto"/>
        <w:bottom w:val="none" w:sz="0" w:space="0" w:color="auto"/>
        <w:right w:val="none" w:sz="0" w:space="0" w:color="auto"/>
      </w:divBdr>
    </w:div>
    <w:div w:id="627857146">
      <w:bodyDiv w:val="1"/>
      <w:marLeft w:val="0"/>
      <w:marRight w:val="0"/>
      <w:marTop w:val="0"/>
      <w:marBottom w:val="0"/>
      <w:divBdr>
        <w:top w:val="none" w:sz="0" w:space="0" w:color="auto"/>
        <w:left w:val="none" w:sz="0" w:space="0" w:color="auto"/>
        <w:bottom w:val="none" w:sz="0" w:space="0" w:color="auto"/>
        <w:right w:val="none" w:sz="0" w:space="0" w:color="auto"/>
      </w:divBdr>
    </w:div>
    <w:div w:id="1525629244">
      <w:bodyDiv w:val="1"/>
      <w:marLeft w:val="0"/>
      <w:marRight w:val="0"/>
      <w:marTop w:val="0"/>
      <w:marBottom w:val="0"/>
      <w:divBdr>
        <w:top w:val="none" w:sz="0" w:space="0" w:color="auto"/>
        <w:left w:val="none" w:sz="0" w:space="0" w:color="auto"/>
        <w:bottom w:val="none" w:sz="0" w:space="0" w:color="auto"/>
        <w:right w:val="none" w:sz="0" w:space="0" w:color="auto"/>
      </w:divBdr>
    </w:div>
    <w:div w:id="1635453389">
      <w:bodyDiv w:val="1"/>
      <w:marLeft w:val="0"/>
      <w:marRight w:val="0"/>
      <w:marTop w:val="0"/>
      <w:marBottom w:val="0"/>
      <w:divBdr>
        <w:top w:val="none" w:sz="0" w:space="0" w:color="auto"/>
        <w:left w:val="none" w:sz="0" w:space="0" w:color="auto"/>
        <w:bottom w:val="none" w:sz="0" w:space="0" w:color="auto"/>
        <w:right w:val="none" w:sz="0" w:space="0" w:color="auto"/>
      </w:divBdr>
    </w:div>
    <w:div w:id="1921674177">
      <w:bodyDiv w:val="1"/>
      <w:marLeft w:val="0"/>
      <w:marRight w:val="0"/>
      <w:marTop w:val="0"/>
      <w:marBottom w:val="0"/>
      <w:divBdr>
        <w:top w:val="none" w:sz="0" w:space="0" w:color="auto"/>
        <w:left w:val="none" w:sz="0" w:space="0" w:color="auto"/>
        <w:bottom w:val="none" w:sz="0" w:space="0" w:color="auto"/>
        <w:right w:val="none" w:sz="0" w:space="0" w:color="auto"/>
      </w:divBdr>
    </w:div>
    <w:div w:id="1931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7-0274+0+DOC+XML+V0//EL" TargetMode="External"/><Relationship Id="rId2" Type="http://schemas.openxmlformats.org/officeDocument/2006/relationships/hyperlink" Target="http://eur-lex.europa.eu/legal-content/EL/TXT/?uri=COM:2015:0206:FIN" TargetMode="External"/><Relationship Id="rId1" Type="http://schemas.openxmlformats.org/officeDocument/2006/relationships/hyperlink" Target="http://eur-lex.europa.eu/legal-content/EL/ALL/?uri=OJ:L:2013:079:TOC" TargetMode="External"/><Relationship Id="rId6" Type="http://schemas.openxmlformats.org/officeDocument/2006/relationships/hyperlink" Target="http://www.europarl.europa.eu/sides/getDoc.do?pubRef=-//EP//NONSGML+COMPARL+AFCO-OJ-20170712-1+01+DOC+PDF+V0//EL" TargetMode="External"/><Relationship Id="rId5" Type="http://schemas.openxmlformats.org/officeDocument/2006/relationships/hyperlink" Target="https://europa.eu/european-union/sites/europaeu/files/docs/body/consolidated_version_of_the_treaty_establishing_the_european_atomic_energy_community_el.pdf" TargetMode="External"/><Relationship Id="rId4" Type="http://schemas.openxmlformats.org/officeDocument/2006/relationships/hyperlink" Target="http://ec.europa.eu/justice/citizen/document/files/c_2013_130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E28A-6C36-436F-B65D-F3B83DE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6132</Words>
  <Characters>36854</Characters>
  <Application>Microsoft Office Word</Application>
  <DocSecurity>0</DocSecurity>
  <Lines>614</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2017-09-14T13:57:00Z</dcterms:created>
  <dcterms:modified xsi:type="dcterms:W3CDTF">2017-09-18T10:25:00Z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