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alt="B6FA9F332B764F1F8F5B772977765C52" style="width:450.75pt;height:339pt">
            <v:imagedata r:id="rId9" o:title=""/>
          </v:shape>
        </w:pict>
      </w:r>
    </w:p>
    <w:p>
      <w:pPr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DÔVODOVÁ SPRÁVA</w:t>
      </w:r>
    </w:p>
    <w:p>
      <w:pPr>
        <w:pStyle w:val="ManualHeading1"/>
        <w:rPr>
          <w:noProof/>
        </w:rPr>
      </w:pPr>
      <w:r>
        <w:rPr>
          <w:noProof/>
        </w:rPr>
        <w:t>KONTEXT NÁVRHU</w:t>
      </w:r>
    </w:p>
    <w:p>
      <w:pPr>
        <w:pStyle w:val="ManualNumPar1"/>
        <w:rPr>
          <w:noProof/>
        </w:rPr>
      </w:pPr>
      <w:r>
        <w:t>1.</w:t>
      </w:r>
      <w:r>
        <w:tab/>
      </w:r>
      <w:r>
        <w:rPr>
          <w:noProof/>
        </w:rPr>
        <w:t>Pravidlá, ktoré sa uplatňujú na finančné príspevky z Európskeho fondu na prispôsobenie sa globalizácii (ďalej len „EGF“), sú stanovené v nariadení Európskeho parlamentu a Rady (EÚ) č. 1309/2013 zo 17. decembra 2013 o Európskom fonde na prispôsobenie sa globalizácii (2014 – 2020) a o zrušení nariadenia (ES) č. 1927/2006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(ďalej len „nariadenie o EGF“).</w:t>
      </w:r>
    </w:p>
    <w:p>
      <w:pPr>
        <w:pStyle w:val="ManualNumPar1"/>
        <w:rPr>
          <w:noProof/>
        </w:rPr>
      </w:pPr>
      <w:r>
        <w:t>2.</w:t>
      </w:r>
      <w:r>
        <w:tab/>
      </w:r>
      <w:r>
        <w:rPr>
          <w:noProof/>
        </w:rPr>
        <w:t>Taliansko predložilo 9. mája 2017 žiadosť EGF/2017/004 IT/Almaviva o finančný príspevok z EGF v dôsledku prepúšťania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v spoločnosti Almaviva Contact SpA v Taliansku.</w:t>
      </w:r>
    </w:p>
    <w:p>
      <w:pPr>
        <w:pStyle w:val="ManualNumPar1"/>
        <w:rPr>
          <w:noProof/>
        </w:rPr>
      </w:pPr>
      <w:r>
        <w:t>3.</w:t>
      </w:r>
      <w:r>
        <w:tab/>
      </w:r>
      <w:r>
        <w:rPr>
          <w:noProof/>
        </w:rPr>
        <w:t xml:space="preserve">Po posúdení tejto žiadosti Komisia dospela v súlade so všetkými uplatniteľnými ustanoveniami nariadenia o EGF k záveru, že podmienky na udelenie finančného príspevku z EGF sú splnené. </w:t>
      </w:r>
    </w:p>
    <w:p>
      <w:pPr>
        <w:pStyle w:val="ManualHeading1"/>
        <w:rPr>
          <w:noProof/>
        </w:rPr>
      </w:pPr>
      <w:r>
        <w:rPr>
          <w:noProof/>
        </w:rPr>
        <w:t>ZHRNUTIE ŽIADOSTI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8"/>
        <w:gridCol w:w="1680"/>
        <w:gridCol w:w="2699"/>
      </w:tblGrid>
      <w:tr>
        <w:tc>
          <w:tcPr>
            <w:tcW w:w="4908" w:type="dxa"/>
            <w:shd w:val="clear" w:color="auto" w:fill="auto"/>
          </w:tcPr>
          <w:p>
            <w:pPr>
              <w:spacing w:before="60" w:after="60"/>
              <w:jc w:val="left"/>
              <w:rPr>
                <w:rFonts w:eastAsia="Calibri"/>
                <w:noProof/>
              </w:rPr>
            </w:pPr>
            <w:r>
              <w:rPr>
                <w:noProof/>
              </w:rPr>
              <w:t>Žiadosť o príspevok z EGF</w:t>
            </w:r>
          </w:p>
        </w:tc>
        <w:tc>
          <w:tcPr>
            <w:tcW w:w="4379" w:type="dxa"/>
            <w:gridSpan w:val="2"/>
            <w:shd w:val="clear" w:color="auto" w:fill="auto"/>
            <w:vAlign w:val="bottom"/>
          </w:tcPr>
          <w:p>
            <w:pPr>
              <w:spacing w:before="60" w:after="60"/>
              <w:ind w:rightChars="192" w:right="461"/>
              <w:jc w:val="left"/>
              <w:rPr>
                <w:rFonts w:eastAsia="Calibri"/>
                <w:noProof/>
              </w:rPr>
            </w:pPr>
            <w:r>
              <w:rPr>
                <w:noProof/>
              </w:rPr>
              <w:t>EGF/2017/004 IT/Almaviva</w:t>
            </w:r>
          </w:p>
        </w:tc>
      </w:tr>
      <w:tr>
        <w:tc>
          <w:tcPr>
            <w:tcW w:w="4908" w:type="dxa"/>
            <w:shd w:val="clear" w:color="auto" w:fill="auto"/>
          </w:tcPr>
          <w:p>
            <w:pPr>
              <w:spacing w:before="60" w:after="60"/>
              <w:jc w:val="left"/>
              <w:rPr>
                <w:rFonts w:eastAsia="Calibri"/>
                <w:noProof/>
              </w:rPr>
            </w:pPr>
            <w:r>
              <w:rPr>
                <w:noProof/>
              </w:rPr>
              <w:t>Členský štát</w:t>
            </w:r>
          </w:p>
        </w:tc>
        <w:tc>
          <w:tcPr>
            <w:tcW w:w="4379" w:type="dxa"/>
            <w:gridSpan w:val="2"/>
            <w:shd w:val="clear" w:color="auto" w:fill="auto"/>
            <w:vAlign w:val="bottom"/>
          </w:tcPr>
          <w:p>
            <w:pPr>
              <w:spacing w:before="60" w:after="60"/>
              <w:ind w:rightChars="192" w:right="461"/>
              <w:jc w:val="left"/>
              <w:rPr>
                <w:rFonts w:eastAsia="Calibri"/>
                <w:noProof/>
              </w:rPr>
            </w:pPr>
            <w:r>
              <w:rPr>
                <w:noProof/>
              </w:rPr>
              <w:t>Taliansko</w:t>
            </w:r>
          </w:p>
        </w:tc>
      </w:tr>
      <w:tr>
        <w:tc>
          <w:tcPr>
            <w:tcW w:w="490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jc w:val="left"/>
              <w:rPr>
                <w:rFonts w:eastAsia="Calibri"/>
                <w:noProof/>
              </w:rPr>
            </w:pPr>
            <w:r>
              <w:rPr>
                <w:noProof/>
              </w:rPr>
              <w:t>Dotknutý(-é) región(-y) (úroveň NUTS 2</w:t>
            </w:r>
            <w:r>
              <w:rPr>
                <w:rStyle w:val="FootnoteReference"/>
                <w:noProof/>
              </w:rPr>
              <w:footnoteReference w:id="3"/>
            </w:r>
            <w:r>
              <w:rPr>
                <w:noProof/>
              </w:rPr>
              <w:t>)</w:t>
            </w:r>
          </w:p>
        </w:tc>
        <w:tc>
          <w:tcPr>
            <w:tcW w:w="437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spacing w:before="0" w:after="0"/>
              <w:ind w:rightChars="192" w:right="461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Lazio (ITI 4)</w:t>
            </w:r>
          </w:p>
        </w:tc>
      </w:tr>
      <w:tr>
        <w:tc>
          <w:tcPr>
            <w:tcW w:w="4908" w:type="dxa"/>
            <w:tcBorders>
              <w:bottom w:val="dotted" w:sz="4" w:space="0" w:color="auto"/>
            </w:tcBorders>
            <w:shd w:val="clear" w:color="auto" w:fill="auto"/>
          </w:tcPr>
          <w:p>
            <w:pPr>
              <w:spacing w:before="60" w:after="60"/>
              <w:jc w:val="left"/>
              <w:rPr>
                <w:rFonts w:eastAsia="Calibri"/>
                <w:noProof/>
              </w:rPr>
            </w:pPr>
            <w:r>
              <w:rPr>
                <w:noProof/>
              </w:rPr>
              <w:t>Dátum podania žiadosti</w:t>
            </w:r>
          </w:p>
        </w:tc>
        <w:tc>
          <w:tcPr>
            <w:tcW w:w="4379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spacing w:before="60" w:after="60"/>
              <w:ind w:rightChars="192" w:right="461"/>
              <w:jc w:val="left"/>
              <w:rPr>
                <w:rFonts w:eastAsia="Calibri"/>
                <w:noProof/>
              </w:rPr>
            </w:pPr>
            <w:r>
              <w:rPr>
                <w:noProof/>
              </w:rPr>
              <w:t>9. mája 2017</w:t>
            </w:r>
          </w:p>
        </w:tc>
      </w:tr>
      <w:tr>
        <w:tc>
          <w:tcPr>
            <w:tcW w:w="49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spacing w:before="60" w:after="60"/>
              <w:jc w:val="left"/>
              <w:rPr>
                <w:rFonts w:eastAsia="Calibri"/>
                <w:noProof/>
              </w:rPr>
            </w:pPr>
            <w:r>
              <w:rPr>
                <w:noProof/>
              </w:rPr>
              <w:t>Dátum potvrdenia prijatia žiadosti</w:t>
            </w:r>
          </w:p>
        </w:tc>
        <w:tc>
          <w:tcPr>
            <w:tcW w:w="437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spacing w:before="60" w:after="60"/>
              <w:ind w:rightChars="192" w:right="461"/>
              <w:jc w:val="left"/>
              <w:rPr>
                <w:rFonts w:eastAsia="Calibri"/>
                <w:noProof/>
              </w:rPr>
            </w:pPr>
            <w:r>
              <w:rPr>
                <w:noProof/>
              </w:rPr>
              <w:t>9. mája 2017</w:t>
            </w:r>
          </w:p>
        </w:tc>
      </w:tr>
      <w:tr>
        <w:tc>
          <w:tcPr>
            <w:tcW w:w="49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spacing w:before="60" w:after="60"/>
              <w:jc w:val="left"/>
              <w:rPr>
                <w:rFonts w:eastAsia="Calibri"/>
                <w:noProof/>
              </w:rPr>
            </w:pPr>
            <w:r>
              <w:rPr>
                <w:noProof/>
              </w:rPr>
              <w:t>Dátum žiadosti o dodatočné informácie</w:t>
            </w:r>
          </w:p>
        </w:tc>
        <w:tc>
          <w:tcPr>
            <w:tcW w:w="437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spacing w:before="60" w:after="60"/>
              <w:ind w:rightChars="192" w:right="461"/>
              <w:jc w:val="left"/>
              <w:rPr>
                <w:rFonts w:eastAsia="Calibri"/>
                <w:noProof/>
              </w:rPr>
            </w:pPr>
            <w:r>
              <w:rPr>
                <w:noProof/>
              </w:rPr>
              <w:t>23. mája 2017</w:t>
            </w:r>
          </w:p>
        </w:tc>
      </w:tr>
      <w:tr>
        <w:tc>
          <w:tcPr>
            <w:tcW w:w="49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spacing w:before="60" w:after="60"/>
              <w:jc w:val="left"/>
              <w:rPr>
                <w:rFonts w:eastAsia="Calibri"/>
                <w:noProof/>
              </w:rPr>
            </w:pPr>
            <w:r>
              <w:rPr>
                <w:noProof/>
              </w:rPr>
              <w:t>Termín na poskytnutie dodatočných informácií</w:t>
            </w:r>
          </w:p>
        </w:tc>
        <w:tc>
          <w:tcPr>
            <w:tcW w:w="437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spacing w:before="60" w:after="60"/>
              <w:ind w:rightChars="192" w:right="461"/>
              <w:jc w:val="left"/>
              <w:rPr>
                <w:rFonts w:eastAsia="Calibri"/>
                <w:noProof/>
                <w:highlight w:val="cyan"/>
              </w:rPr>
            </w:pPr>
            <w:r>
              <w:rPr>
                <w:noProof/>
              </w:rPr>
              <w:t>4. júla 2017</w:t>
            </w:r>
          </w:p>
        </w:tc>
      </w:tr>
      <w:tr>
        <w:tc>
          <w:tcPr>
            <w:tcW w:w="4908" w:type="dxa"/>
            <w:tcBorders>
              <w:top w:val="dotted" w:sz="4" w:space="0" w:color="auto"/>
            </w:tcBorders>
            <w:shd w:val="clear" w:color="auto" w:fill="auto"/>
          </w:tcPr>
          <w:p>
            <w:pPr>
              <w:spacing w:before="60" w:after="60"/>
              <w:jc w:val="left"/>
              <w:rPr>
                <w:rFonts w:eastAsia="Calibri"/>
                <w:noProof/>
              </w:rPr>
            </w:pPr>
            <w:r>
              <w:rPr>
                <w:noProof/>
              </w:rPr>
              <w:t>Termín na dokončenie posúdenia</w:t>
            </w:r>
          </w:p>
        </w:tc>
        <w:tc>
          <w:tcPr>
            <w:tcW w:w="4379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spacing w:before="60" w:after="60"/>
              <w:ind w:rightChars="192" w:right="461"/>
              <w:jc w:val="left"/>
              <w:rPr>
                <w:rFonts w:eastAsia="Calibri"/>
                <w:noProof/>
              </w:rPr>
            </w:pPr>
            <w:r>
              <w:rPr>
                <w:noProof/>
              </w:rPr>
              <w:t>26. septembra 2017</w:t>
            </w:r>
          </w:p>
        </w:tc>
      </w:tr>
      <w:tr>
        <w:tc>
          <w:tcPr>
            <w:tcW w:w="4908" w:type="dxa"/>
            <w:shd w:val="clear" w:color="auto" w:fill="auto"/>
          </w:tcPr>
          <w:p>
            <w:pPr>
              <w:spacing w:before="60" w:after="60"/>
              <w:jc w:val="left"/>
              <w:rPr>
                <w:rFonts w:eastAsia="Calibri"/>
                <w:noProof/>
              </w:rPr>
            </w:pPr>
            <w:r>
              <w:rPr>
                <w:noProof/>
              </w:rPr>
              <w:t>Kritérium zásahu</w:t>
            </w:r>
          </w:p>
        </w:tc>
        <w:tc>
          <w:tcPr>
            <w:tcW w:w="4379" w:type="dxa"/>
            <w:gridSpan w:val="2"/>
            <w:shd w:val="clear" w:color="auto" w:fill="auto"/>
            <w:vAlign w:val="bottom"/>
          </w:tcPr>
          <w:p>
            <w:pPr>
              <w:spacing w:before="60" w:after="60"/>
              <w:ind w:rightChars="192" w:right="461"/>
              <w:jc w:val="left"/>
              <w:rPr>
                <w:rFonts w:eastAsia="Calibri"/>
                <w:noProof/>
              </w:rPr>
            </w:pPr>
            <w:r>
              <w:rPr>
                <w:noProof/>
              </w:rPr>
              <w:t>článok 4 ods. 1 písm. a) nariadenia o EGF</w:t>
            </w:r>
          </w:p>
        </w:tc>
      </w:tr>
      <w:tr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60" w:after="60"/>
              <w:jc w:val="left"/>
              <w:rPr>
                <w:rFonts w:eastAsia="Calibri"/>
                <w:noProof/>
              </w:rPr>
            </w:pPr>
            <w:r>
              <w:rPr>
                <w:noProof/>
              </w:rPr>
              <w:br w:type="page"/>
              <w:t>Hlavný podnik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spacing w:before="60" w:after="60"/>
              <w:ind w:rightChars="192" w:right="461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Almaviva Contact Spa</w:t>
            </w:r>
          </w:p>
        </w:tc>
      </w:tr>
      <w:tr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60" w:after="60"/>
              <w:jc w:val="left"/>
              <w:rPr>
                <w:rFonts w:eastAsia="Calibri"/>
                <w:noProof/>
              </w:rPr>
            </w:pPr>
            <w:r>
              <w:rPr>
                <w:noProof/>
              </w:rPr>
              <w:br w:type="page"/>
              <w:t>Počet dotknutých podnikov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spacing w:before="60" w:after="60"/>
              <w:ind w:rightChars="192" w:right="461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1</w:t>
            </w:r>
          </w:p>
        </w:tc>
      </w:tr>
      <w:tr>
        <w:tc>
          <w:tcPr>
            <w:tcW w:w="4908" w:type="dxa"/>
            <w:shd w:val="clear" w:color="auto" w:fill="auto"/>
          </w:tcPr>
          <w:p>
            <w:pPr>
              <w:spacing w:before="60" w:after="60"/>
              <w:jc w:val="left"/>
              <w:rPr>
                <w:rFonts w:eastAsia="Calibri"/>
                <w:noProof/>
              </w:rPr>
            </w:pPr>
            <w:r>
              <w:rPr>
                <w:noProof/>
              </w:rPr>
              <w:t>Odvetvie(-a) ekonomickej činnosti</w:t>
            </w:r>
          </w:p>
          <w:p>
            <w:pPr>
              <w:spacing w:before="60" w:after="60"/>
              <w:jc w:val="left"/>
              <w:rPr>
                <w:rFonts w:eastAsia="Calibri"/>
                <w:noProof/>
              </w:rPr>
            </w:pPr>
            <w:r>
              <w:rPr>
                <w:noProof/>
              </w:rPr>
              <w:t>(divízia NACE Rev. 2)</w:t>
            </w:r>
            <w:r>
              <w:rPr>
                <w:rStyle w:val="FootnoteReference"/>
                <w:noProof/>
              </w:rPr>
              <w:footnoteReference w:id="4"/>
            </w:r>
          </w:p>
        </w:tc>
        <w:tc>
          <w:tcPr>
            <w:tcW w:w="4379" w:type="dxa"/>
            <w:gridSpan w:val="2"/>
            <w:shd w:val="clear" w:color="auto" w:fill="auto"/>
            <w:vAlign w:val="bottom"/>
          </w:tcPr>
          <w:p>
            <w:pPr>
              <w:spacing w:before="60" w:after="60"/>
              <w:ind w:rightChars="192" w:right="461"/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Divízia 82 (Administratívne, pomocné kancelárske a iné obchodné pomocné činnosti)</w:t>
            </w:r>
          </w:p>
        </w:tc>
      </w:tr>
      <w:tr>
        <w:tc>
          <w:tcPr>
            <w:tcW w:w="490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jc w:val="left"/>
              <w:rPr>
                <w:rFonts w:eastAsia="Calibri"/>
                <w:noProof/>
              </w:rPr>
            </w:pPr>
            <w:r>
              <w:rPr>
                <w:noProof/>
              </w:rPr>
              <w:t>Referenčné obdobie (štyri mesiace):</w:t>
            </w:r>
          </w:p>
        </w:tc>
        <w:tc>
          <w:tcPr>
            <w:tcW w:w="437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spacing w:before="60" w:after="60"/>
              <w:ind w:rightChars="192" w:right="461"/>
              <w:jc w:val="left"/>
              <w:rPr>
                <w:rFonts w:eastAsia="Calibri"/>
                <w:noProof/>
              </w:rPr>
            </w:pPr>
            <w:r>
              <w:rPr>
                <w:noProof/>
              </w:rPr>
              <w:t>30. decembra 2016 – 30. apríla 2017</w:t>
            </w:r>
          </w:p>
        </w:tc>
      </w:tr>
      <w:tr>
        <w:tc>
          <w:tcPr>
            <w:tcW w:w="4908" w:type="dxa"/>
            <w:tcBorders>
              <w:bottom w:val="dotted" w:sz="4" w:space="0" w:color="auto"/>
            </w:tcBorders>
            <w:shd w:val="clear" w:color="auto" w:fill="auto"/>
          </w:tcPr>
          <w:p>
            <w:pPr>
              <w:spacing w:before="60" w:after="60"/>
              <w:jc w:val="left"/>
              <w:rPr>
                <w:rFonts w:eastAsia="Calibri"/>
                <w:noProof/>
                <w:highlight w:val="magenta"/>
              </w:rPr>
            </w:pPr>
            <w:r>
              <w:rPr>
                <w:noProof/>
              </w:rPr>
              <w:t>Počet prepustených pracovníkov počas referenčného obdobia (</w:t>
            </w:r>
            <w:r>
              <w:rPr>
                <w:i/>
                <w:noProof/>
              </w:rPr>
              <w:t>a</w:t>
            </w:r>
            <w:r>
              <w:rPr>
                <w:noProof/>
              </w:rPr>
              <w:t>)</w:t>
            </w:r>
          </w:p>
        </w:tc>
        <w:tc>
          <w:tcPr>
            <w:tcW w:w="4379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spacing w:before="60" w:after="60"/>
              <w:ind w:rightChars="192" w:right="461"/>
              <w:jc w:val="left"/>
              <w:rPr>
                <w:rFonts w:eastAsia="Calibri"/>
                <w:noProof/>
                <w:highlight w:val="magenta"/>
              </w:rPr>
            </w:pPr>
            <w:r>
              <w:rPr>
                <w:noProof/>
              </w:rPr>
              <w:t>1 610</w:t>
            </w:r>
          </w:p>
        </w:tc>
      </w:tr>
      <w:tr>
        <w:tc>
          <w:tcPr>
            <w:tcW w:w="49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keepLines/>
              <w:pageBreakBefore/>
              <w:spacing w:before="60" w:after="60"/>
              <w:jc w:val="left"/>
              <w:rPr>
                <w:rFonts w:eastAsia="Calibri"/>
                <w:noProof/>
                <w:highlight w:val="magenta"/>
              </w:rPr>
            </w:pPr>
            <w:r>
              <w:rPr>
                <w:noProof/>
              </w:rPr>
              <w:t>Počet prepustených pracovníkov pred referenčným obdobím alebo po ňom (</w:t>
            </w:r>
            <w:r>
              <w:rPr>
                <w:i/>
                <w:noProof/>
              </w:rPr>
              <w:t>b</w:t>
            </w:r>
            <w:r>
              <w:rPr>
                <w:noProof/>
              </w:rPr>
              <w:t>)</w:t>
            </w:r>
          </w:p>
        </w:tc>
        <w:tc>
          <w:tcPr>
            <w:tcW w:w="437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spacing w:before="60" w:after="60"/>
              <w:ind w:rightChars="192" w:right="461"/>
              <w:jc w:val="left"/>
              <w:rPr>
                <w:rFonts w:eastAsia="Calibri"/>
                <w:noProof/>
              </w:rPr>
            </w:pPr>
            <w:r>
              <w:rPr>
                <w:noProof/>
              </w:rPr>
              <w:t>36</w:t>
            </w:r>
          </w:p>
        </w:tc>
      </w:tr>
      <w:tr>
        <w:tc>
          <w:tcPr>
            <w:tcW w:w="490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jc w:val="left"/>
              <w:rPr>
                <w:rFonts w:eastAsia="Calibri"/>
                <w:noProof/>
              </w:rPr>
            </w:pPr>
            <w:r>
              <w:rPr>
                <w:noProof/>
              </w:rPr>
              <w:t>Celkový počet (</w:t>
            </w:r>
            <w:r>
              <w:rPr>
                <w:i/>
                <w:noProof/>
              </w:rPr>
              <w:t>a</w:t>
            </w:r>
            <w:r>
              <w:rPr>
                <w:noProof/>
              </w:rPr>
              <w:t xml:space="preserve"> + </w:t>
            </w:r>
            <w:r>
              <w:rPr>
                <w:i/>
                <w:noProof/>
              </w:rPr>
              <w:t>b)</w:t>
            </w:r>
          </w:p>
        </w:tc>
        <w:tc>
          <w:tcPr>
            <w:tcW w:w="437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ind w:rightChars="192" w:right="461"/>
              <w:jc w:val="left"/>
              <w:rPr>
                <w:rFonts w:eastAsia="Calibri"/>
                <w:noProof/>
              </w:rPr>
            </w:pPr>
            <w:r>
              <w:rPr>
                <w:noProof/>
              </w:rPr>
              <w:t>1 646</w:t>
            </w:r>
          </w:p>
        </w:tc>
      </w:tr>
      <w:tr>
        <w:tc>
          <w:tcPr>
            <w:tcW w:w="4908" w:type="dxa"/>
            <w:tcBorders>
              <w:bottom w:val="dotted" w:sz="4" w:space="0" w:color="auto"/>
            </w:tcBorders>
            <w:shd w:val="clear" w:color="auto" w:fill="auto"/>
          </w:tcPr>
          <w:p>
            <w:pPr>
              <w:spacing w:before="60" w:after="60"/>
              <w:jc w:val="left"/>
              <w:rPr>
                <w:rFonts w:eastAsia="Calibri"/>
                <w:noProof/>
              </w:rPr>
            </w:pPr>
            <w:r>
              <w:rPr>
                <w:noProof/>
              </w:rPr>
              <w:t>Celkový počet oprávnených prijímateľov</w:t>
            </w:r>
          </w:p>
        </w:tc>
        <w:tc>
          <w:tcPr>
            <w:tcW w:w="437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>
            <w:pPr>
              <w:spacing w:before="60" w:after="60"/>
              <w:ind w:rightChars="192" w:right="461"/>
              <w:jc w:val="left"/>
              <w:rPr>
                <w:rFonts w:eastAsia="Calibri"/>
                <w:noProof/>
              </w:rPr>
            </w:pPr>
            <w:r>
              <w:rPr>
                <w:noProof/>
              </w:rPr>
              <w:t>1 646</w:t>
            </w:r>
          </w:p>
        </w:tc>
      </w:tr>
      <w:tr>
        <w:tc>
          <w:tcPr>
            <w:tcW w:w="49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spacing w:before="60" w:after="60"/>
              <w:jc w:val="left"/>
              <w:rPr>
                <w:rFonts w:eastAsia="Calibri"/>
                <w:noProof/>
              </w:rPr>
            </w:pPr>
            <w:r>
              <w:rPr>
                <w:noProof/>
              </w:rPr>
              <w:t>Celkový počet dotknutých prijímateľov</w:t>
            </w:r>
          </w:p>
        </w:tc>
        <w:tc>
          <w:tcPr>
            <w:tcW w:w="437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spacing w:before="60" w:after="60"/>
              <w:ind w:rightChars="192" w:right="461"/>
              <w:jc w:val="left"/>
              <w:rPr>
                <w:rFonts w:eastAsia="Calibri"/>
                <w:noProof/>
              </w:rPr>
            </w:pPr>
            <w:r>
              <w:rPr>
                <w:noProof/>
              </w:rPr>
              <w:t>1 610</w:t>
            </w:r>
          </w:p>
        </w:tc>
      </w:tr>
      <w:tr>
        <w:tc>
          <w:tcPr>
            <w:tcW w:w="49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before="60" w:after="60"/>
              <w:jc w:val="left"/>
              <w:rPr>
                <w:noProof/>
              </w:rPr>
            </w:pPr>
            <w:r>
              <w:rPr>
                <w:noProof/>
              </w:rPr>
              <w:t>Rozpočet na personalizované služby (v EUR)</w:t>
            </w:r>
          </w:p>
        </w:tc>
        <w:tc>
          <w:tcPr>
            <w:tcW w:w="1680" w:type="dxa"/>
            <w:tcBorders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before="60" w:after="60"/>
              <w:ind w:rightChars="192" w:right="461"/>
              <w:jc w:val="right"/>
              <w:rPr>
                <w:noProof/>
              </w:rPr>
            </w:pPr>
            <w:r>
              <w:rPr>
                <w:noProof/>
              </w:rPr>
              <w:t>5 355 950</w:t>
            </w:r>
          </w:p>
        </w:tc>
        <w:tc>
          <w:tcPr>
            <w:tcW w:w="2699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before="60" w:after="60"/>
              <w:ind w:rightChars="192" w:right="461"/>
              <w:jc w:val="left"/>
              <w:rPr>
                <w:noProof/>
              </w:rPr>
            </w:pPr>
          </w:p>
        </w:tc>
      </w:tr>
      <w:tr>
        <w:tc>
          <w:tcPr>
            <w:tcW w:w="49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before="60" w:after="60"/>
              <w:jc w:val="left"/>
              <w:rPr>
                <w:noProof/>
              </w:rPr>
            </w:pPr>
            <w:r>
              <w:rPr>
                <w:noProof/>
              </w:rPr>
              <w:t>Rozpočet na využívanie EGF</w:t>
            </w:r>
            <w:r>
              <w:rPr>
                <w:rStyle w:val="FootnoteReference"/>
                <w:noProof/>
              </w:rPr>
              <w:footnoteReference w:id="5"/>
            </w:r>
            <w:r>
              <w:rPr>
                <w:noProof/>
              </w:rPr>
              <w:t xml:space="preserve"> (v EUR)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before="60" w:after="60"/>
              <w:ind w:rightChars="192" w:right="461"/>
              <w:jc w:val="right"/>
              <w:rPr>
                <w:noProof/>
              </w:rPr>
            </w:pPr>
            <w:r>
              <w:rPr>
                <w:noProof/>
              </w:rPr>
              <w:t>223 000</w:t>
            </w:r>
          </w:p>
        </w:tc>
        <w:tc>
          <w:tcPr>
            <w:tcW w:w="2699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before="60" w:after="60"/>
              <w:ind w:rightChars="192" w:right="461"/>
              <w:jc w:val="left"/>
              <w:rPr>
                <w:noProof/>
              </w:rPr>
            </w:pPr>
          </w:p>
        </w:tc>
      </w:tr>
      <w:tr>
        <w:tc>
          <w:tcPr>
            <w:tcW w:w="49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before="60" w:after="60"/>
              <w:jc w:val="left"/>
              <w:rPr>
                <w:noProof/>
              </w:rPr>
            </w:pPr>
            <w:r>
              <w:rPr>
                <w:noProof/>
              </w:rPr>
              <w:t>Celkový rozpočet (v EUR)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before="60" w:after="60"/>
              <w:ind w:rightChars="192" w:right="461"/>
              <w:jc w:val="right"/>
              <w:rPr>
                <w:noProof/>
              </w:rPr>
            </w:pPr>
            <w:r>
              <w:rPr>
                <w:noProof/>
              </w:rPr>
              <w:t>5 578 950</w:t>
            </w:r>
          </w:p>
        </w:tc>
        <w:tc>
          <w:tcPr>
            <w:tcW w:w="2699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before="60" w:after="60"/>
              <w:ind w:rightChars="192" w:right="461"/>
              <w:jc w:val="left"/>
              <w:rPr>
                <w:noProof/>
              </w:rPr>
            </w:pPr>
          </w:p>
        </w:tc>
      </w:tr>
      <w:tr>
        <w:tc>
          <w:tcPr>
            <w:tcW w:w="490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>
            <w:pPr>
              <w:spacing w:before="60" w:after="60"/>
              <w:jc w:val="left"/>
              <w:rPr>
                <w:noProof/>
              </w:rPr>
            </w:pPr>
            <w:r>
              <w:rPr>
                <w:noProof/>
              </w:rPr>
              <w:t>Príspevok z EGF (60 %) (v EUR)</w:t>
            </w:r>
          </w:p>
        </w:tc>
        <w:tc>
          <w:tcPr>
            <w:tcW w:w="1680" w:type="dxa"/>
            <w:tcBorders>
              <w:top w:val="dotted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spacing w:before="60" w:after="60"/>
              <w:ind w:rightChars="192" w:right="461"/>
              <w:jc w:val="right"/>
              <w:rPr>
                <w:noProof/>
              </w:rPr>
            </w:pPr>
            <w:r>
              <w:rPr>
                <w:noProof/>
              </w:rPr>
              <w:t>3 347 370</w:t>
            </w:r>
          </w:p>
        </w:tc>
        <w:tc>
          <w:tcPr>
            <w:tcW w:w="2699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>
            <w:pPr>
              <w:spacing w:before="60" w:after="60"/>
              <w:ind w:rightChars="192" w:right="461"/>
              <w:jc w:val="left"/>
              <w:rPr>
                <w:noProof/>
              </w:rPr>
            </w:pPr>
          </w:p>
        </w:tc>
      </w:tr>
    </w:tbl>
    <w:p>
      <w:pPr>
        <w:pStyle w:val="ManualHeading1"/>
        <w:rPr>
          <w:noProof/>
        </w:rPr>
      </w:pPr>
      <w:r>
        <w:rPr>
          <w:noProof/>
        </w:rPr>
        <w:t>POSÚDENIE ŽIADOSTI</w:t>
      </w:r>
    </w:p>
    <w:p>
      <w:pPr>
        <w:pStyle w:val="ManualHeading2"/>
        <w:rPr>
          <w:noProof/>
        </w:rPr>
      </w:pPr>
      <w:r>
        <w:rPr>
          <w:noProof/>
        </w:rPr>
        <w:t>Postup</w:t>
      </w:r>
    </w:p>
    <w:p>
      <w:pPr>
        <w:pStyle w:val="ManualNumPar1"/>
        <w:rPr>
          <w:noProof/>
        </w:rPr>
      </w:pPr>
      <w:r>
        <w:t>4.</w:t>
      </w:r>
      <w:r>
        <w:tab/>
      </w:r>
      <w:r>
        <w:rPr>
          <w:noProof/>
        </w:rPr>
        <w:t xml:space="preserve">Taliansko podalo žiadosť EGF/2017/004 IT/Almaviva 9. mája 2017, t. j. do 12 týždňov odo dňa, keď boli splnené kritériá zásahu stanovené v článku 4 nariadenia o EGF. Komisia potvrdila prijatie žiadosti v ten istý deň a 23. mája 2017 požiadala Taliansko o dodatočné informácie. Tieto dodatočné informácie boli poskytnuté do šiestich týždňov. Lehota 12 týždňov od prijatia úplnej žiadosti, v ktorej by Komisia mala dokončiť svoje posúdenie súladu žiadosti s podmienkami na poskytnutie finančného príspevku, uplynie 26. septembra 2017. </w:t>
      </w:r>
    </w:p>
    <w:p>
      <w:pPr>
        <w:pStyle w:val="ManualHeading2"/>
        <w:rPr>
          <w:noProof/>
        </w:rPr>
      </w:pPr>
      <w:r>
        <w:rPr>
          <w:noProof/>
        </w:rPr>
        <w:t>Oprávnenosť žiadosti</w:t>
      </w:r>
    </w:p>
    <w:p>
      <w:pPr>
        <w:pStyle w:val="ManualHeading3"/>
        <w:rPr>
          <w:noProof/>
        </w:rPr>
      </w:pPr>
      <w:r>
        <w:rPr>
          <w:noProof/>
        </w:rPr>
        <w:t>Príslušné podniky a prijímatelia</w:t>
      </w:r>
    </w:p>
    <w:p>
      <w:pPr>
        <w:pStyle w:val="ManualNumPar1"/>
        <w:rPr>
          <w:noProof/>
          <w:szCs w:val="24"/>
        </w:rPr>
      </w:pPr>
      <w:r>
        <w:t>5.</w:t>
      </w:r>
      <w:r>
        <w:tab/>
      </w:r>
      <w:r>
        <w:rPr>
          <w:noProof/>
        </w:rPr>
        <w:t>Žiadosť sa týka 1 646 pracovníkov prepustených zo spoločnosti Almaviva Contact SpA. Spoločnosť pôsobí v odvetví ekonomickej činnosti, ktoré je v rámci klasifikácie NACE Rev. 2 zaradené do divízie 82 (Administratívne, pomocné kancelárske a iné obchodné pomocné činnosti). K prepúšťaniu došlo v regióne Lazio (ITI4) úrovne NUTS 2.</w:t>
      </w:r>
    </w:p>
    <w:p>
      <w:pPr>
        <w:pStyle w:val="ManualHeading3"/>
        <w:rPr>
          <w:noProof/>
        </w:rPr>
      </w:pPr>
      <w:r>
        <w:rPr>
          <w:noProof/>
        </w:rPr>
        <w:t>Kritériá zásahu</w:t>
      </w:r>
    </w:p>
    <w:p>
      <w:pPr>
        <w:pStyle w:val="ManualNumPar1"/>
        <w:rPr>
          <w:noProof/>
        </w:rPr>
      </w:pPr>
      <w:r>
        <w:t>6.</w:t>
      </w:r>
      <w:r>
        <w:tab/>
      </w:r>
      <w:r>
        <w:rPr>
          <w:noProof/>
        </w:rPr>
        <w:t>Taliansko podalo žiadosť podľa kritérií zásahu uvedených v článku 4 ods. 1 písm. a) nariadenia o EGF, v ktorom sa vyžaduje, aby počas referenčného obdobia štyroch mesiacov dosiahol počet prepustených pracovníkov alebo samostatne zárobkovo činných osôb, ktoré ukončili svoju činnosť, najmenej 500 osôb v jednom podniku v členskom štáte vrátane pracovníkov, ktorí boli prepustení u dodávateľov daného podniku a nadväzujúcich výrobcov.</w:t>
      </w:r>
    </w:p>
    <w:p>
      <w:pPr>
        <w:pStyle w:val="ManualNumPar1"/>
        <w:rPr>
          <w:noProof/>
        </w:rPr>
      </w:pPr>
      <w:bookmarkStart w:id="1" w:name="_Ref372189348"/>
      <w:r>
        <w:t>7.</w:t>
      </w:r>
      <w:r>
        <w:tab/>
      </w:r>
      <w:r>
        <w:rPr>
          <w:noProof/>
        </w:rPr>
        <w:t xml:space="preserve">Štvormesačné referenčné obdobie v prípade tejto žiadosti trvalo od 30. decembra 2016 do </w:t>
      </w:r>
      <w:bookmarkEnd w:id="1"/>
      <w:r>
        <w:rPr>
          <w:noProof/>
        </w:rPr>
        <w:t>30. apríla 2017.</w:t>
      </w:r>
    </w:p>
    <w:p>
      <w:pPr>
        <w:pStyle w:val="ManualNumPar1"/>
        <w:rPr>
          <w:noProof/>
        </w:rPr>
      </w:pPr>
      <w:r>
        <w:t>8.</w:t>
      </w:r>
      <w:r>
        <w:tab/>
      </w:r>
      <w:r>
        <w:rPr>
          <w:noProof/>
        </w:rPr>
        <w:t>Počas referenčného obdobia bolo v spoločnosti Almaviva prepustených 1 610 pracovníkov</w:t>
      </w:r>
      <w:r>
        <w:rPr>
          <w:rStyle w:val="FootnoteReference"/>
          <w:noProof/>
        </w:rPr>
        <w:footnoteReference w:id="6"/>
      </w:r>
      <w:r>
        <w:rPr>
          <w:noProof/>
        </w:rPr>
        <w:t>.</w:t>
      </w:r>
    </w:p>
    <w:p>
      <w:pPr>
        <w:pStyle w:val="ManualHeading3"/>
        <w:rPr>
          <w:noProof/>
        </w:rPr>
      </w:pPr>
      <w:r>
        <w:rPr>
          <w:noProof/>
        </w:rPr>
        <w:t>Stanovenie počtu prepustených pracovníkov a prípadov ukončenia činnosti</w:t>
      </w:r>
    </w:p>
    <w:p>
      <w:pPr>
        <w:pStyle w:val="ManualNumPar1"/>
        <w:rPr>
          <w:noProof/>
        </w:rPr>
      </w:pPr>
      <w:r>
        <w:t>9.</w:t>
      </w:r>
      <w:r>
        <w:tab/>
      </w:r>
      <w:r>
        <w:rPr>
          <w:noProof/>
        </w:rPr>
        <w:t>Počet 1 610 prepustených pracovníkov počas referenčného obdobia bol vypočítaný na základe skutočného ukončenia pracovnej zmluvy alebo uplynutia lehoty, na ktorú bola uzavretá.</w:t>
      </w:r>
    </w:p>
    <w:p>
      <w:pPr>
        <w:pStyle w:val="ManualHeading3"/>
        <w:rPr>
          <w:noProof/>
        </w:rPr>
      </w:pPr>
      <w:r>
        <w:rPr>
          <w:noProof/>
        </w:rPr>
        <w:t>Oprávnení prijímatelia</w:t>
      </w:r>
    </w:p>
    <w:p>
      <w:pPr>
        <w:pStyle w:val="ManualNumPar1"/>
        <w:rPr>
          <w:noProof/>
        </w:rPr>
      </w:pPr>
      <w:r>
        <w:t>10.</w:t>
      </w:r>
      <w:r>
        <w:tab/>
      </w:r>
      <w:r>
        <w:rPr>
          <w:noProof/>
        </w:rPr>
        <w:t>Okrem už uvedených pracovníkov zahŕňajú oprávnení prijímatelia aj 36 pracovníkov prepustených po referenčnom období štyroch mesiacov. Je možné stanoviť jasnú príčinnú súvislosť s udalosťou, ktorá vyvolala prepúšťanie počas referenčného obdobia</w:t>
      </w:r>
      <w:r>
        <w:rPr>
          <w:rStyle w:val="FootnoteReference"/>
          <w:noProof/>
        </w:rPr>
        <w:footnoteReference w:id="7"/>
      </w:r>
      <w:r>
        <w:rPr>
          <w:noProof/>
        </w:rPr>
        <w:t>.</w:t>
      </w:r>
    </w:p>
    <w:p>
      <w:pPr>
        <w:pStyle w:val="ManualNumPar1"/>
        <w:rPr>
          <w:noProof/>
        </w:rPr>
      </w:pPr>
      <w:r>
        <w:t>11.</w:t>
      </w:r>
      <w:r>
        <w:tab/>
      </w:r>
      <w:r>
        <w:rPr>
          <w:noProof/>
        </w:rPr>
        <w:t>Celkový počet oprávnených prijímateľov je preto 1 646.</w:t>
      </w:r>
    </w:p>
    <w:p>
      <w:pPr>
        <w:pStyle w:val="ManualHeading3"/>
        <w:tabs>
          <w:tab w:val="clear" w:pos="850"/>
          <w:tab w:val="left" w:pos="0"/>
        </w:tabs>
        <w:ind w:left="0" w:firstLine="0"/>
        <w:rPr>
          <w:noProof/>
        </w:rPr>
      </w:pPr>
      <w:r>
        <w:rPr>
          <w:noProof/>
        </w:rPr>
        <w:t>Súvislosť medzi prepúšťaním a celosvetovou finančnou a hospodárskou krízou, ktorou sa zaoberá nariadenie (ES) č. 546/2009</w:t>
      </w:r>
    </w:p>
    <w:p>
      <w:pPr>
        <w:pStyle w:val="ManualNumPar1"/>
        <w:rPr>
          <w:noProof/>
        </w:rPr>
      </w:pPr>
      <w:r>
        <w:t>12.</w:t>
      </w:r>
      <w:r>
        <w:tab/>
      </w:r>
      <w:r>
        <w:rPr>
          <w:noProof/>
        </w:rPr>
        <w:t>Na účely preukázania súvislosti medzi prepúšťaním pracovníkov a celosvetovou finančnou a hospodárskou krízou, ktorou sa zaoberá nariadenie (ES) č. 546/2009, Taliansko, s odvolaním sa na štúdiu talianskeho parlamentu o pracovných vzťahoch v telefonických centrách v Taliansku</w:t>
      </w:r>
      <w:r>
        <w:rPr>
          <w:rStyle w:val="FootnoteReference"/>
          <w:noProof/>
        </w:rPr>
        <w:footnoteReference w:id="8"/>
      </w:r>
      <w:r>
        <w:rPr>
          <w:noProof/>
        </w:rPr>
        <w:t>, tvrdí, že účinky hospodárskej a finančnej krízy zrejme neznížili dopyt po marketingových službách a pomoci pre kupujúcich, ktorí nakupujú tovar alebo služby, avšak podstatne ovplyvnili odmenu za takéto služby (tlak na ceny), čo má evidentne negatívny vplyv na rozpätia ziskovosti poskytovateľov služieb. Obmedzenia vyplývajúce z krízy a potreby racionalizovať výdavky na obstaranie tovaru a služieb často viedli k zadávaniu zákaziek na základe maximálneho zníženia cien. To malo priamy vplyv na obrat poskytovateľov služieb, ktorý v období rokov 2011 – 2016 klesal. Sektor telefonických centier, ktorý potvrdzuje svoju povesť nízkej ziskovosti, zažil klesajúcu hrubú prevádzkovú maržu (z 5,7 % v roku 2013 na 3,8 % v roku 2014)</w:t>
      </w:r>
      <w:r>
        <w:rPr>
          <w:rStyle w:val="FootnoteReference"/>
          <w:noProof/>
        </w:rPr>
        <w:footnoteReference w:id="9"/>
      </w:r>
      <w:r>
        <w:rPr>
          <w:noProof/>
        </w:rPr>
        <w:t>. Počas toho istého obdobia sa takisto zhoršila návratnosť vlastného kapitálu, z 9,4 % na –6,3 %</w:t>
      </w:r>
      <w:r>
        <w:rPr>
          <w:rStyle w:val="FootnoteReference"/>
          <w:noProof/>
        </w:rPr>
        <w:footnoteReference w:id="10"/>
      </w:r>
      <w:r>
        <w:rPr>
          <w:noProof/>
        </w:rPr>
        <w:t>.</w:t>
      </w:r>
    </w:p>
    <w:p>
      <w:pPr>
        <w:pStyle w:val="ManualNumPar1"/>
        <w:rPr>
          <w:noProof/>
        </w:rPr>
      </w:pPr>
      <w:r>
        <w:t>13.</w:t>
      </w:r>
      <w:r>
        <w:tab/>
      </w:r>
      <w:r>
        <w:rPr>
          <w:noProof/>
        </w:rPr>
        <w:t>Väčšina pracovných miest v sektore telefonických centier je v podnikoch, ktoré konajú v mene tretích strán (podnikov alebo verejných správ). Preto sú tieto pracovné miesta extrémne vystavené výkyvom v dopyte po službách telefonických centier a konkurencii medzi poskytovateľmi služieb. Okrem toho jednou z osobitostí sektora telefonických centier je, že prevažná väčšina výrobných nákladov (medzi 70 a 80 percentami celkových nákladov</w:t>
      </w:r>
      <w:r>
        <w:rPr>
          <w:rStyle w:val="FootnoteReference"/>
          <w:noProof/>
        </w:rPr>
        <w:footnoteReference w:id="11"/>
      </w:r>
      <w:r>
        <w:rPr>
          <w:noProof/>
        </w:rPr>
        <w:t xml:space="preserve">) sú náklady na pracovnú silu, ktorá poskytuje službu. </w:t>
      </w:r>
    </w:p>
    <w:p>
      <w:pPr>
        <w:pStyle w:val="ManualNumPar1"/>
        <w:rPr>
          <w:noProof/>
        </w:rPr>
      </w:pPr>
      <w:r>
        <w:t>14.</w:t>
      </w:r>
      <w:r>
        <w:tab/>
      </w:r>
      <w:r>
        <w:rPr>
          <w:noProof/>
        </w:rPr>
        <w:t>V kontexte nepriaznivých podmienok (ako napr. postup obstarávania tlačiaci na ceny, klesajúci predaj a ziskovosť, ako aj prudký pokles ceny služieb a potreba znižovania podielu nákladov na personál v celkových výrobných nákladoch) sa podniky pôsobiace v sektore telefonických centier často uchyľovali k riešeniam, ktoré znamenali buď premiestnenie do krajín s nižšími nákladmi práce, zásahy do ceny práce, alebo ukončenie činnosti. Počas obdobia od roku 2009 do prvého štvrťroku 2014 jedna tretina podnikov v tomto sektore ukončila svoju činnosť, veľká väčšina z nich prostredníctvom insolvenčného konania</w:t>
      </w:r>
      <w:r>
        <w:rPr>
          <w:rStyle w:val="FootnoteReference"/>
          <w:noProof/>
        </w:rPr>
        <w:footnoteReference w:id="12"/>
      </w:r>
      <w:r>
        <w:rPr>
          <w:noProof/>
        </w:rPr>
        <w:t>.</w:t>
      </w:r>
    </w:p>
    <w:p>
      <w:pPr>
        <w:pStyle w:val="ManualNumPar1"/>
        <w:rPr>
          <w:noProof/>
        </w:rPr>
      </w:pPr>
      <w:r>
        <w:t>15.</w:t>
      </w:r>
      <w:r>
        <w:tab/>
      </w:r>
      <w:r>
        <w:rPr>
          <w:noProof/>
        </w:rPr>
        <w:t>K dnešnému dňu bol sektor administratívnych, pomocných kancelárskych a iných obchodných pomocných činností, do ktorého telefonické centrá patria, predmetom dvoch žiadostí o príspevok z EGF, jedna z nich súvisela s globalizáciou v oblasti obchodu</w:t>
      </w:r>
      <w:r>
        <w:rPr>
          <w:rStyle w:val="FootnoteReference"/>
          <w:noProof/>
        </w:rPr>
        <w:footnoteReference w:id="13"/>
      </w:r>
      <w:r>
        <w:rPr>
          <w:noProof/>
        </w:rPr>
        <w:t xml:space="preserve"> a aktuálna žiadosť súvisí s celosvetovou finančnou a hospodárskou krízou.</w:t>
      </w:r>
    </w:p>
    <w:p>
      <w:pPr>
        <w:pStyle w:val="ManualHeading3"/>
        <w:rPr>
          <w:noProof/>
        </w:rPr>
      </w:pPr>
      <w:r>
        <w:rPr>
          <w:noProof/>
        </w:rPr>
        <w:t>Udalosti, ktoré viedli k prepúšťaniu a ukončeniu činnosti</w:t>
      </w:r>
    </w:p>
    <w:p>
      <w:pPr>
        <w:pStyle w:val="ManualNumPar1"/>
        <w:rPr>
          <w:noProof/>
        </w:rPr>
      </w:pPr>
      <w:r>
        <w:t>16.</w:t>
      </w:r>
      <w:r>
        <w:tab/>
      </w:r>
      <w:r>
        <w:rPr>
          <w:noProof/>
        </w:rPr>
        <w:t>Udalosti, ktoré viedli k spomínanému prepúšťaniu, súvisia s poklesom príjmov, ktoré v roku 2015 klesli v porovnaní s rokom 2011 v prípade pracoviska spoločnosti Almaviva v Ríme o viac ako 45 %; ako aj s negatívnym výsledkom rokovaní s RSU</w:t>
      </w:r>
      <w:r>
        <w:rPr>
          <w:rStyle w:val="FootnoteReference"/>
          <w:noProof/>
        </w:rPr>
        <w:footnoteReference w:id="14"/>
      </w:r>
      <w:r>
        <w:rPr>
          <w:noProof/>
        </w:rPr>
        <w:t xml:space="preserve"> v roku 2016 a odmietnutím plánu na zosúladenie nákladov práce v spoločnosti Almaviva v Ríme s inými pracoviskami v Taliansku, ktorý zahŕňal dočasné zníženie nákladov práce a zvýšenie efektívnosti a produktivity; to všetko viedlo k zatvoreniu pracoviska v Ríme a prepusteniu 1 646 pracovníkov.</w:t>
      </w:r>
    </w:p>
    <w:p>
      <w:pPr>
        <w:pStyle w:val="ManualHeading3"/>
        <w:tabs>
          <w:tab w:val="clear" w:pos="850"/>
          <w:tab w:val="left" w:pos="0"/>
        </w:tabs>
        <w:ind w:left="0" w:firstLine="0"/>
        <w:rPr>
          <w:noProof/>
        </w:rPr>
      </w:pPr>
      <w:r>
        <w:rPr>
          <w:noProof/>
        </w:rPr>
        <w:t>Očakávané účinky prepúšťania na miestne, regionálne a celoštátne hospodárstvo a zamestnanosť</w:t>
      </w:r>
    </w:p>
    <w:p>
      <w:pPr>
        <w:pStyle w:val="ManualNumPar1"/>
        <w:rPr>
          <w:noProof/>
        </w:rPr>
      </w:pPr>
      <w:r>
        <w:t>17.</w:t>
      </w:r>
      <w:r>
        <w:tab/>
      </w:r>
      <w:r>
        <w:rPr>
          <w:noProof/>
        </w:rPr>
        <w:t>Prepúšťanie v spoločnosti Almaviva má regionálny a miestny kontext (Lazio a Rím), keďže hromadné prepúšťanie, v tomto prípade viac ako 1 600 ľudí a najmä ženy, negatívne zasiahne miestne a regionálne hospodárstvo. Okrem toho nastalo v čase, keď sa miestne hospodárstvo pomaly zotavuje, a to najmä v posledných dvoch rokoch (2014 – 2016), po veľkých problémoch spôsobených hospodárskou a finančnou krízou. Hrozí však, že v dôsledku hromadného prepúšťania spôsobeného presunom do nečlenských krajín EÚ alebo inými faktormi (ako napr. v tomto prípade poklesom ponukových cien, tlakom na znižovanie cien služieb atď.) dôjde k prerušeniu alebo zastaveniu tohto zotavenia. Preto sprístupnenie aktívnych opatrení trhu práce a služieb, ako sú tie, ktoré sú spolufinancované EGF, bude mať zásadný význam pri podpore opätovného začleňovania pracovníkov do pracovného procesu.</w:t>
      </w:r>
    </w:p>
    <w:p>
      <w:pPr>
        <w:pStyle w:val="ManualHeading2"/>
        <w:rPr>
          <w:noProof/>
        </w:rPr>
      </w:pPr>
      <w:r>
        <w:rPr>
          <w:noProof/>
        </w:rPr>
        <w:t>Dotknutí prijímatelia a navrhované opatrenia</w:t>
      </w:r>
    </w:p>
    <w:p>
      <w:pPr>
        <w:pStyle w:val="ManualHeading3"/>
        <w:rPr>
          <w:noProof/>
        </w:rPr>
      </w:pPr>
      <w:r>
        <w:rPr>
          <w:noProof/>
        </w:rPr>
        <w:t>Dotknutí prijímatelia</w:t>
      </w:r>
    </w:p>
    <w:p>
      <w:pPr>
        <w:pStyle w:val="ManualNumPar1"/>
        <w:rPr>
          <w:noProof/>
        </w:rPr>
      </w:pPr>
      <w:r>
        <w:t>18.</w:t>
      </w:r>
      <w:r>
        <w:tab/>
      </w:r>
      <w:r>
        <w:rPr>
          <w:noProof/>
        </w:rPr>
        <w:t>Počet prepustených pracovníkov, ktorých účasť na opatreniach sa očakáva, sa odhaduje na 1 610. Rozdelenie týchto pracovníkov podľa pohlavia, štátnej príslušnosti a vekových skupín: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96"/>
        <w:gridCol w:w="2063"/>
        <w:gridCol w:w="1176"/>
        <w:gridCol w:w="1176"/>
      </w:tblGrid>
      <w:tr>
        <w:trPr>
          <w:jc w:val="center"/>
        </w:trPr>
        <w:tc>
          <w:tcPr>
            <w:tcW w:w="3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Kategória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 xml:space="preserve">Počet </w:t>
            </w:r>
            <w:r>
              <w:rPr>
                <w:noProof/>
              </w:rPr>
              <w:br/>
              <w:t>dotknutých prijímateľov</w:t>
            </w:r>
          </w:p>
        </w:tc>
      </w:tr>
      <w:tr>
        <w:trPr>
          <w:jc w:val="center"/>
        </w:trPr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Pohlavie: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right w:val="nil"/>
            </w:tcBorders>
            <w:hideMark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muži: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right w:val="nil"/>
            </w:tcBorders>
            <w:hideMark/>
          </w:tcPr>
          <w:p>
            <w:pPr>
              <w:spacing w:before="60" w:after="60"/>
              <w:jc w:val="right"/>
              <w:rPr>
                <w:noProof/>
              </w:rPr>
            </w:pPr>
            <w:r>
              <w:rPr>
                <w:noProof/>
              </w:rPr>
              <w:t>334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right w:val="nil"/>
            </w:tcBorders>
            <w:hideMark/>
          </w:tcPr>
          <w:p>
            <w:pPr>
              <w:spacing w:before="60" w:after="60"/>
              <w:jc w:val="right"/>
              <w:rPr>
                <w:noProof/>
              </w:rPr>
            </w:pPr>
            <w:r>
              <w:rPr>
                <w:noProof/>
              </w:rPr>
              <w:t>(20,7 %)</w:t>
            </w:r>
          </w:p>
        </w:tc>
      </w:tr>
      <w:tr>
        <w:trPr>
          <w:jc w:val="center"/>
        </w:trPr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spacing w:before="60" w:after="60"/>
              <w:rPr>
                <w:noProof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ženy: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hideMark/>
          </w:tcPr>
          <w:p>
            <w:pPr>
              <w:spacing w:before="60" w:after="60"/>
              <w:jc w:val="right"/>
              <w:rPr>
                <w:noProof/>
              </w:rPr>
            </w:pPr>
            <w:r>
              <w:rPr>
                <w:noProof/>
              </w:rPr>
              <w:t>1 276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hideMark/>
          </w:tcPr>
          <w:p>
            <w:pPr>
              <w:spacing w:before="60" w:after="60"/>
              <w:jc w:val="right"/>
              <w:rPr>
                <w:noProof/>
              </w:rPr>
            </w:pPr>
            <w:r>
              <w:rPr>
                <w:noProof/>
              </w:rPr>
              <w:t>(79,3 %)</w:t>
            </w:r>
          </w:p>
        </w:tc>
      </w:tr>
      <w:tr>
        <w:trPr>
          <w:jc w:val="center"/>
        </w:trPr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Štátna príslušnosť: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občania EÚ: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hideMark/>
          </w:tcPr>
          <w:p>
            <w:pPr>
              <w:spacing w:before="60" w:after="60"/>
              <w:jc w:val="right"/>
              <w:rPr>
                <w:noProof/>
              </w:rPr>
            </w:pPr>
            <w:r>
              <w:rPr>
                <w:noProof/>
              </w:rPr>
              <w:t>1 568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hideMark/>
          </w:tcPr>
          <w:p>
            <w:pPr>
              <w:spacing w:before="60" w:after="60"/>
              <w:jc w:val="right"/>
              <w:rPr>
                <w:noProof/>
              </w:rPr>
            </w:pPr>
            <w:r>
              <w:rPr>
                <w:noProof/>
              </w:rPr>
              <w:t>(97,4 %)</w:t>
            </w:r>
          </w:p>
        </w:tc>
      </w:tr>
      <w:tr>
        <w:trPr>
          <w:jc w:val="center"/>
        </w:trPr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spacing w:before="60" w:after="60"/>
              <w:rPr>
                <w:noProof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osoby, ktoré nie sú občanmi EÚ: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hideMark/>
          </w:tcPr>
          <w:p>
            <w:pPr>
              <w:spacing w:before="60" w:after="60"/>
              <w:jc w:val="right"/>
              <w:rPr>
                <w:noProof/>
              </w:rPr>
            </w:pPr>
            <w:r>
              <w:rPr>
                <w:noProof/>
              </w:rPr>
              <w:t>42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hideMark/>
          </w:tcPr>
          <w:p>
            <w:pPr>
              <w:spacing w:before="60" w:after="60"/>
              <w:jc w:val="right"/>
              <w:rPr>
                <w:noProof/>
              </w:rPr>
            </w:pPr>
            <w:r>
              <w:rPr>
                <w:noProof/>
              </w:rPr>
              <w:t>(2,6 %)</w:t>
            </w:r>
          </w:p>
        </w:tc>
      </w:tr>
      <w:tr>
        <w:trPr>
          <w:jc w:val="center"/>
        </w:trPr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Veková skupina: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15 – 24 rokov: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hideMark/>
          </w:tcPr>
          <w:p>
            <w:pPr>
              <w:spacing w:before="60" w:after="60"/>
              <w:jc w:val="right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hideMark/>
          </w:tcPr>
          <w:p>
            <w:pPr>
              <w:spacing w:before="60" w:after="60"/>
              <w:jc w:val="right"/>
              <w:rPr>
                <w:noProof/>
              </w:rPr>
            </w:pPr>
            <w:r>
              <w:rPr>
                <w:noProof/>
              </w:rPr>
              <w:t>(0,0 %)</w:t>
            </w:r>
          </w:p>
        </w:tc>
      </w:tr>
      <w:tr>
        <w:trPr>
          <w:jc w:val="center"/>
        </w:trPr>
        <w:tc>
          <w:tcPr>
            <w:tcW w:w="1496" w:type="dxa"/>
          </w:tcPr>
          <w:p>
            <w:pPr>
              <w:spacing w:before="60" w:after="60"/>
              <w:rPr>
                <w:noProof/>
              </w:rPr>
            </w:pPr>
          </w:p>
        </w:tc>
        <w:tc>
          <w:tcPr>
            <w:tcW w:w="2063" w:type="dxa"/>
            <w:hideMark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25 – 29 rokov:</w:t>
            </w:r>
          </w:p>
        </w:tc>
        <w:tc>
          <w:tcPr>
            <w:tcW w:w="1176" w:type="dxa"/>
            <w:hideMark/>
          </w:tcPr>
          <w:p>
            <w:pPr>
              <w:spacing w:before="60" w:after="60"/>
              <w:jc w:val="right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176" w:type="dxa"/>
            <w:hideMark/>
          </w:tcPr>
          <w:p>
            <w:pPr>
              <w:spacing w:before="60" w:after="60"/>
              <w:jc w:val="right"/>
              <w:rPr>
                <w:noProof/>
              </w:rPr>
            </w:pPr>
            <w:r>
              <w:rPr>
                <w:noProof/>
              </w:rPr>
              <w:t>(0,2 %)</w:t>
            </w:r>
          </w:p>
        </w:tc>
      </w:tr>
      <w:tr>
        <w:trPr>
          <w:jc w:val="center"/>
        </w:trPr>
        <w:tc>
          <w:tcPr>
            <w:tcW w:w="1496" w:type="dxa"/>
          </w:tcPr>
          <w:p>
            <w:pPr>
              <w:spacing w:before="60" w:after="60"/>
              <w:rPr>
                <w:noProof/>
              </w:rPr>
            </w:pPr>
          </w:p>
        </w:tc>
        <w:tc>
          <w:tcPr>
            <w:tcW w:w="2063" w:type="dxa"/>
            <w:hideMark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30 – 54 rokov:</w:t>
            </w:r>
          </w:p>
        </w:tc>
        <w:tc>
          <w:tcPr>
            <w:tcW w:w="1176" w:type="dxa"/>
            <w:hideMark/>
          </w:tcPr>
          <w:p>
            <w:pPr>
              <w:spacing w:before="60" w:after="60"/>
              <w:jc w:val="right"/>
              <w:rPr>
                <w:noProof/>
              </w:rPr>
            </w:pPr>
            <w:r>
              <w:rPr>
                <w:noProof/>
              </w:rPr>
              <w:t>1 371</w:t>
            </w:r>
          </w:p>
        </w:tc>
        <w:tc>
          <w:tcPr>
            <w:tcW w:w="1176" w:type="dxa"/>
            <w:hideMark/>
          </w:tcPr>
          <w:p>
            <w:pPr>
              <w:spacing w:before="60" w:after="60"/>
              <w:jc w:val="right"/>
              <w:rPr>
                <w:noProof/>
              </w:rPr>
            </w:pPr>
            <w:r>
              <w:rPr>
                <w:noProof/>
              </w:rPr>
              <w:t>(85,2 %)</w:t>
            </w:r>
          </w:p>
        </w:tc>
      </w:tr>
      <w:tr>
        <w:trPr>
          <w:jc w:val="center"/>
        </w:trPr>
        <w:tc>
          <w:tcPr>
            <w:tcW w:w="1496" w:type="dxa"/>
          </w:tcPr>
          <w:p>
            <w:pPr>
              <w:spacing w:before="60" w:after="60"/>
              <w:rPr>
                <w:noProof/>
              </w:rPr>
            </w:pPr>
          </w:p>
        </w:tc>
        <w:tc>
          <w:tcPr>
            <w:tcW w:w="2063" w:type="dxa"/>
            <w:hideMark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55 – 64 rokov:</w:t>
            </w:r>
          </w:p>
        </w:tc>
        <w:tc>
          <w:tcPr>
            <w:tcW w:w="1176" w:type="dxa"/>
            <w:hideMark/>
          </w:tcPr>
          <w:p>
            <w:pPr>
              <w:spacing w:before="60" w:after="60"/>
              <w:jc w:val="right"/>
              <w:rPr>
                <w:noProof/>
              </w:rPr>
            </w:pPr>
            <w:r>
              <w:rPr>
                <w:noProof/>
              </w:rPr>
              <w:t>223</w:t>
            </w:r>
          </w:p>
        </w:tc>
        <w:tc>
          <w:tcPr>
            <w:tcW w:w="1176" w:type="dxa"/>
            <w:hideMark/>
          </w:tcPr>
          <w:p>
            <w:pPr>
              <w:spacing w:before="60" w:after="60"/>
              <w:jc w:val="right"/>
              <w:rPr>
                <w:noProof/>
              </w:rPr>
            </w:pPr>
            <w:r>
              <w:rPr>
                <w:noProof/>
              </w:rPr>
              <w:t>(13,9 %)</w:t>
            </w:r>
          </w:p>
        </w:tc>
      </w:tr>
      <w:tr>
        <w:trPr>
          <w:jc w:val="center"/>
        </w:trPr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spacing w:before="60" w:after="60"/>
              <w:rPr>
                <w:noProof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viac ako 64 rokov: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spacing w:before="60" w:after="60"/>
              <w:jc w:val="right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spacing w:before="60" w:after="60"/>
              <w:jc w:val="right"/>
              <w:rPr>
                <w:noProof/>
              </w:rPr>
            </w:pPr>
            <w:r>
              <w:rPr>
                <w:noProof/>
              </w:rPr>
              <w:t>(0,7 %)</w:t>
            </w:r>
          </w:p>
        </w:tc>
      </w:tr>
    </w:tbl>
    <w:p>
      <w:pPr>
        <w:pStyle w:val="ManualHeading3"/>
        <w:rPr>
          <w:noProof/>
          <w:u w:val="single"/>
        </w:rPr>
      </w:pPr>
      <w:r>
        <w:rPr>
          <w:noProof/>
        </w:rPr>
        <w:t>Oprávnenosť navrhovaných opatrení</w:t>
      </w:r>
    </w:p>
    <w:p>
      <w:pPr>
        <w:pStyle w:val="ManualNumPar1"/>
        <w:rPr>
          <w:noProof/>
        </w:rPr>
      </w:pPr>
      <w:bookmarkStart w:id="2" w:name="_Ref372214239"/>
      <w:r>
        <w:t>19.</w:t>
      </w:r>
      <w:r>
        <w:tab/>
      </w:r>
      <w:r>
        <w:rPr>
          <w:noProof/>
        </w:rPr>
        <w:t xml:space="preserve">Personalizované služby, ktoré sa poskytnú prepusteným pracovníkom, pozostávajú z týchto opatrení: </w:t>
      </w:r>
      <w:bookmarkEnd w:id="2"/>
    </w:p>
    <w:p>
      <w:pPr>
        <w:pStyle w:val="Text1"/>
        <w:rPr>
          <w:noProof/>
        </w:rPr>
      </w:pPr>
      <w:r>
        <w:rPr>
          <w:noProof/>
        </w:rPr>
        <w:t>Opatrenia, na ktoré sa požaduje spolufinancovanie EGF:</w:t>
      </w:r>
    </w:p>
    <w:p>
      <w:pPr>
        <w:pStyle w:val="Tiret1"/>
        <w:numPr>
          <w:ilvl w:val="0"/>
          <w:numId w:val="13"/>
        </w:numPr>
        <w:rPr>
          <w:noProof/>
        </w:rPr>
      </w:pPr>
      <w:r>
        <w:rPr>
          <w:noProof/>
          <w:u w:val="single"/>
        </w:rPr>
        <w:t>Individuálne usmernenie:</w:t>
      </w:r>
      <w:r>
        <w:rPr>
          <w:noProof/>
        </w:rPr>
        <w:t xml:space="preserve"> Zahŕňa posudzovanie zručností, vytváranie profilov zúčastnených pracovníkov a navrhnutie individuálneho reintegračného postupu, ako aj postupu registrácie.</w:t>
      </w:r>
    </w:p>
    <w:p>
      <w:pPr>
        <w:pStyle w:val="Tiret1"/>
        <w:rPr>
          <w:noProof/>
        </w:rPr>
      </w:pPr>
      <w:r>
        <w:rPr>
          <w:noProof/>
          <w:u w:val="single"/>
        </w:rPr>
        <w:t>Hľadanie zamestnania</w:t>
      </w:r>
      <w:r>
        <w:rPr>
          <w:noProof/>
        </w:rPr>
        <w:t>. Táto pomoc bude zahŕňať intenzívne hľadanie zamestnania vrátane hľadania miestnych a regionálnych pracovných príležitostí a vyhľadávania vhodných pracovných miest.</w:t>
      </w:r>
    </w:p>
    <w:p>
      <w:pPr>
        <w:pStyle w:val="Tiret1"/>
        <w:rPr>
          <w:noProof/>
        </w:rPr>
      </w:pPr>
      <w:r>
        <w:rPr>
          <w:noProof/>
          <w:u w:val="single"/>
        </w:rPr>
        <w:t>Vzdelávanie, rekvalifikácia a odborná príprava</w:t>
      </w:r>
      <w:r>
        <w:rPr>
          <w:noProof/>
        </w:rPr>
        <w:t>. Účastníkom sa ponúkne odborná príprava zameraná na rekvalifikáciu alebo zvýšenie kvalifikácie pracovníkov, koncipovaná tak, aby zodpovedala pracovným príležitostiam identifikovaným počas intenzívneho hľadania zamestnania.</w:t>
      </w:r>
    </w:p>
    <w:p>
      <w:pPr>
        <w:pStyle w:val="Tiret1"/>
        <w:rPr>
          <w:noProof/>
        </w:rPr>
      </w:pPr>
      <w:r>
        <w:rPr>
          <w:noProof/>
          <w:u w:val="single"/>
        </w:rPr>
        <w:t>Poukaz na opätovné zamestnanie</w:t>
      </w:r>
      <w:r>
        <w:rPr>
          <w:noProof/>
        </w:rPr>
        <w:t xml:space="preserve"> poskytuje sumu, ktorá sa má použiť na intenzívne hľadanie zamestnania u akreditovaných poskytovateľov (verejných alebo súkromných). Vzhľadom na zamestnateľnosť pracovníka sa môže hodnota poukazu pohybovať od 500 do 5 000 EUR. Poskytovatelia služieb budú odmenení na základe zamestnateľnosti pracovníka a druhu uzavretej zmluvy, a to v prípade zmluvy na dobu určitú v trvaní najmenej šesť mesiacov v rozsahu od 500 do 2 500 EUR a v prípade zmluvy na dobu neurčitú v rozsahu od 1 000 do 5 000 EUR. Keď sa pre prepusteného pracovníka nenašlo riešenie, poskytovateľ služieb dostane pevne stanovenú sumu (poplatok za služby) na účastníka. Poplatok za služby nesmie presiahnuť 106,5 EUR.</w:t>
      </w:r>
    </w:p>
    <w:p>
      <w:pPr>
        <w:pStyle w:val="Tiret1"/>
        <w:rPr>
          <w:noProof/>
        </w:rPr>
      </w:pPr>
      <w:r>
        <w:rPr>
          <w:noProof/>
          <w:u w:val="single"/>
        </w:rPr>
        <w:t>Podpora podnikania</w:t>
      </w:r>
      <w:r>
        <w:rPr>
          <w:noProof/>
        </w:rPr>
        <w:t>. Prepustení pracovníci, ktorí uvažujú o založení vlastnej firmy, budú mať k dispozícii širokú škálu podpory.</w:t>
      </w:r>
    </w:p>
    <w:p>
      <w:pPr>
        <w:pStyle w:val="Tiret1"/>
        <w:rPr>
          <w:noProof/>
        </w:rPr>
      </w:pPr>
      <w:r>
        <w:rPr>
          <w:noProof/>
          <w:u w:val="single"/>
        </w:rPr>
        <w:t>Príspevok na založenie podniku</w:t>
      </w:r>
      <w:r>
        <w:rPr>
          <w:noProof/>
        </w:rPr>
        <w:t>. Pracovníci, ktorí začnú podnikať, dostanú príspevok vo výške maximálne 15 000 EUR slúžiaci na pokrytie nákladov na založenie podniku, investície do aktív a bežné výdavky.</w:t>
      </w:r>
    </w:p>
    <w:p>
      <w:pPr>
        <w:pStyle w:val="Tiret1"/>
        <w:rPr>
          <w:noProof/>
        </w:rPr>
      </w:pPr>
      <w:r>
        <w:rPr>
          <w:noProof/>
        </w:rPr>
        <w:t xml:space="preserve">Predpokladá sa </w:t>
      </w:r>
      <w:r>
        <w:rPr>
          <w:noProof/>
          <w:u w:val="single"/>
        </w:rPr>
        <w:t>úhrada výdavkov pre pracovníkov, ktorí sa starajú o závislé osoby</w:t>
      </w:r>
      <w:r>
        <w:rPr>
          <w:noProof/>
        </w:rPr>
        <w:t xml:space="preserve"> do výšky 1 700 EUR. Účelom je pokryť dodatočné náklady účastníkov, ktorí sa starajú o iné osoby (deti, staršie osoby, osoby so zdravotným postihnutím), aby sa mohli zúčastniť na odbornej príprave alebo ďalších opatreniach.</w:t>
      </w:r>
    </w:p>
    <w:p>
      <w:pPr>
        <w:pStyle w:val="Tiret1"/>
        <w:rPr>
          <w:noProof/>
        </w:rPr>
      </w:pPr>
      <w:r>
        <w:rPr>
          <w:noProof/>
          <w:u w:val="single"/>
        </w:rPr>
        <w:t>Úhrada nákladov na mobilitu</w:t>
      </w:r>
      <w:r>
        <w:rPr>
          <w:noProof/>
        </w:rPr>
        <w:t>. S cieľom podporovať geografickú mobilitu pracovníkov v prípade opätovného zamestnania v podniku vzdialeného najmenej 80 km od miesta bydliska pracovníka, sa predpokladá úhrada počiatočných nákladov na ubytovanie a dopravu do výšky 5 000 EUR.</w:t>
      </w:r>
    </w:p>
    <w:p>
      <w:pPr>
        <w:pStyle w:val="Text1"/>
        <w:rPr>
          <w:noProof/>
        </w:rPr>
      </w:pPr>
      <w:r>
        <w:rPr>
          <w:noProof/>
        </w:rPr>
        <w:t>Opatrenia, ktoré sa majú financovať buď z ESF, alebo iba z vnútroštátnych prostriedkov, ktoré len dopĺňajú služby spolufinancované z EGF:</w:t>
      </w:r>
    </w:p>
    <w:p>
      <w:pPr>
        <w:pStyle w:val="Text1"/>
        <w:rPr>
          <w:noProof/>
        </w:rPr>
      </w:pPr>
    </w:p>
    <w:p>
      <w:pPr>
        <w:pStyle w:val="Tiret1"/>
        <w:rPr>
          <w:noProof/>
        </w:rPr>
      </w:pPr>
      <w:r>
        <w:rPr>
          <w:noProof/>
          <w:u w:val="single"/>
        </w:rPr>
        <w:t>Príjem</w:t>
      </w:r>
      <w:r>
        <w:rPr>
          <w:noProof/>
        </w:rPr>
        <w:t>: Informačné stretnutie o dostupných službách, usmernenie pri opätovnom začlenení do zamestnania, ako aj sprístupnenie osobitných účinných vyhľadávacích nástrojov. Ide o prvé opatrenie a bude poskytnuté všetkým účastníkom.</w:t>
      </w:r>
    </w:p>
    <w:p>
      <w:pPr>
        <w:pStyle w:val="Tiret1"/>
        <w:rPr>
          <w:noProof/>
        </w:rPr>
      </w:pPr>
      <w:r>
        <w:rPr>
          <w:noProof/>
          <w:u w:val="single"/>
        </w:rPr>
        <w:t>Špecifické usmernenia pre pracovníkov starších ako 60 rokov</w:t>
      </w:r>
      <w:r>
        <w:rPr>
          <w:noProof/>
        </w:rPr>
        <w:t xml:space="preserve"> vrátane podpory služieb sociálnej prospešnosti a pomoci pri prechode do dôchodku.</w:t>
      </w:r>
    </w:p>
    <w:p>
      <w:pPr>
        <w:pStyle w:val="Tiret1"/>
        <w:rPr>
          <w:noProof/>
        </w:rPr>
      </w:pPr>
      <w:r>
        <w:rPr>
          <w:noProof/>
          <w:u w:val="single"/>
        </w:rPr>
        <w:t>Príspevky na novoprijatého zamestnanca</w:t>
      </w:r>
      <w:r>
        <w:rPr>
          <w:rStyle w:val="FootnoteReference"/>
          <w:noProof/>
          <w:u w:val="single"/>
        </w:rPr>
        <w:footnoteReference w:id="15"/>
      </w:r>
      <w:r>
        <w:rPr>
          <w:noProof/>
        </w:rPr>
        <w:t>. Podniky, ktoré prijmú bývalých pracovníkov zo spoločnosti Almaviva, dostanú za trvalú pracovnú zmluvu na plný pracovný čas príspevok až do výšky 8 000 EUR. Príspevky za trvalé pracovné zmluvy na kratší pracovný čas budú úmerne upravené.</w:t>
      </w:r>
    </w:p>
    <w:p>
      <w:pPr>
        <w:pStyle w:val="ManualNumPar1"/>
        <w:rPr>
          <w:noProof/>
        </w:rPr>
      </w:pPr>
      <w:bookmarkStart w:id="3" w:name="_Ref372214242"/>
      <w:r>
        <w:t>20.</w:t>
      </w:r>
      <w:r>
        <w:tab/>
      </w:r>
      <w:r>
        <w:rPr>
          <w:noProof/>
        </w:rPr>
        <w:t>Opísané navrhované opatrenia predstavujú aktívne opatrenia trhu práce v rámci oprávnených opatrení stanovených v článku 7 nariadenia o EGF. Týmito opatreniami sa nenahrádzajú pasívne opatrenia sociálnej ochrany.</w:t>
      </w:r>
    </w:p>
    <w:p>
      <w:pPr>
        <w:pStyle w:val="ManualNumPar1"/>
        <w:rPr>
          <w:noProof/>
        </w:rPr>
      </w:pPr>
      <w:r>
        <w:t>21.</w:t>
      </w:r>
      <w:r>
        <w:tab/>
      </w:r>
      <w:r>
        <w:rPr>
          <w:noProof/>
        </w:rPr>
        <w:t>Talianske orgány poskytli požadované informácie o opatreniach, ktoré sú pre príslušný podnik povinné podľa vnútroštátneho práva alebo kolektívnych zmlúv. Potvrdili, že finančným príspevkom z EGF sa nenahrádza žiadne z týchto opatrení.</w:t>
      </w:r>
      <w:bookmarkEnd w:id="3"/>
    </w:p>
    <w:p>
      <w:pPr>
        <w:pStyle w:val="ManualHeading3"/>
        <w:rPr>
          <w:noProof/>
        </w:rPr>
      </w:pPr>
      <w:r>
        <w:rPr>
          <w:noProof/>
        </w:rPr>
        <w:t>Odhadovaný rozpočet</w:t>
      </w:r>
    </w:p>
    <w:p>
      <w:pPr>
        <w:pStyle w:val="ManualNumPar1"/>
        <w:rPr>
          <w:noProof/>
        </w:rPr>
      </w:pPr>
      <w:r>
        <w:t>22.</w:t>
      </w:r>
      <w:r>
        <w:tab/>
      </w:r>
      <w:r>
        <w:rPr>
          <w:noProof/>
        </w:rPr>
        <w:t>Odhadované celkové náklady sú 5 578 950 EUR, z čoho 5 355 950 EUR tvoria výdavky na personalizované služby a 223 000 EUR tvoria výdavky na činnosti súvisiace s prípravou, riadením, informovaním a propagáciou, kontrolou a podávaním správ.</w:t>
      </w:r>
    </w:p>
    <w:p>
      <w:pPr>
        <w:pStyle w:val="ManualNumPar1"/>
        <w:rPr>
          <w:noProof/>
        </w:rPr>
      </w:pPr>
      <w:bookmarkStart w:id="4" w:name="_Ref372550770"/>
      <w:r>
        <w:t>23.</w:t>
      </w:r>
      <w:r>
        <w:tab/>
      </w:r>
      <w:r>
        <w:rPr>
          <w:noProof/>
        </w:rPr>
        <w:t>Celková výška finančného príspevku požadovaného z EGF je 3 347 370 EUR (60 % celkových nákladov).</w:t>
      </w:r>
      <w:bookmarkEnd w:id="4"/>
      <w:r>
        <w:rPr>
          <w:noProof/>
        </w:rP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1341"/>
        <w:gridCol w:w="1544"/>
        <w:gridCol w:w="1544"/>
      </w:tblGrid>
      <w:tr>
        <w:tc>
          <w:tcPr>
            <w:tcW w:w="4908" w:type="dxa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Opatrenia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Odhadovaný počet účastníkov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Odhadované náklady na účastníka</w:t>
            </w:r>
            <w:r>
              <w:rPr>
                <w:rFonts w:eastAsia="Times New Roman"/>
                <w:noProof/>
                <w:sz w:val="22"/>
              </w:rPr>
              <w:br/>
            </w:r>
            <w:r>
              <w:rPr>
                <w:i/>
                <w:noProof/>
                <w:sz w:val="22"/>
              </w:rPr>
              <w:t>(v EUR)</w:t>
            </w:r>
            <w:r>
              <w:rPr>
                <w:rStyle w:val="FootnoteReference"/>
                <w:i/>
                <w:noProof/>
                <w:sz w:val="22"/>
              </w:rPr>
              <w:footnoteReference w:id="16"/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Odhadované celkové náklady</w:t>
            </w:r>
            <w:r>
              <w:rPr>
                <w:rFonts w:eastAsia="Times New Roman"/>
                <w:noProof/>
                <w:sz w:val="22"/>
              </w:rPr>
              <w:br/>
            </w:r>
            <w:r>
              <w:rPr>
                <w:i/>
                <w:noProof/>
                <w:sz w:val="22"/>
              </w:rPr>
              <w:t>(v EUR)</w:t>
            </w:r>
            <w:r>
              <w:rPr>
                <w:rStyle w:val="FootnoteReference"/>
                <w:i/>
                <w:noProof/>
                <w:sz w:val="22"/>
              </w:rPr>
              <w:footnoteReference w:id="17"/>
            </w:r>
            <w:r>
              <w:rPr>
                <w:i/>
                <w:noProof/>
                <w:sz w:val="22"/>
              </w:rPr>
              <w:t xml:space="preserve"> </w:t>
            </w:r>
          </w:p>
        </w:tc>
      </w:tr>
      <w:tr>
        <w:tc>
          <w:tcPr>
            <w:tcW w:w="9288" w:type="dxa"/>
            <w:gridSpan w:val="4"/>
            <w:shd w:val="clear" w:color="auto" w:fill="auto"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Personalizované služby [opatrenia podľa článku 7 ods. 1 písm. a) a c) nariadenia o EGF]</w:t>
            </w:r>
          </w:p>
        </w:tc>
      </w:tr>
      <w:tr>
        <w:trPr>
          <w:trHeight w:val="802"/>
        </w:trPr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after="60"/>
              <w:jc w:val="left"/>
              <w:rPr>
                <w:noProof/>
              </w:rPr>
            </w:pPr>
            <w:r>
              <w:rPr>
                <w:noProof/>
              </w:rPr>
              <w:t>Individuálne usmernenie</w:t>
            </w:r>
            <w:r>
              <w:rPr>
                <w:noProof/>
              </w:rPr>
              <w:br/>
              <w:t>(</w:t>
            </w:r>
            <w:r>
              <w:rPr>
                <w:i/>
                <w:noProof/>
              </w:rPr>
              <w:t>Servizio di orientamento individuale)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1 610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spacing w:before="60" w:after="60"/>
              <w:jc w:val="right"/>
              <w:rPr>
                <w:noProof/>
              </w:rPr>
            </w:pPr>
            <w:r>
              <w:rPr>
                <w:noProof/>
              </w:rPr>
              <w:t>112 700</w:t>
            </w:r>
          </w:p>
        </w:tc>
      </w:tr>
      <w:tr>
        <w:trPr>
          <w:trHeight w:val="802"/>
        </w:trPr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after="60"/>
              <w:jc w:val="left"/>
              <w:rPr>
                <w:noProof/>
              </w:rPr>
            </w:pPr>
            <w:r>
              <w:rPr>
                <w:noProof/>
              </w:rPr>
              <w:t>Hľadanie zamestnania</w:t>
            </w:r>
            <w:r>
              <w:rPr>
                <w:noProof/>
              </w:rPr>
              <w:br/>
              <w:t>(</w:t>
            </w:r>
            <w:r>
              <w:rPr>
                <w:i/>
                <w:noProof/>
              </w:rPr>
              <w:t>Scouting de la domanda)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650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105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spacing w:before="60" w:after="60"/>
              <w:jc w:val="right"/>
              <w:rPr>
                <w:noProof/>
              </w:rPr>
            </w:pPr>
            <w:r>
              <w:rPr>
                <w:noProof/>
              </w:rPr>
              <w:t>68 250</w:t>
            </w:r>
          </w:p>
        </w:tc>
      </w:tr>
      <w:tr>
        <w:trPr>
          <w:trHeight w:val="802"/>
        </w:trPr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after="60"/>
              <w:jc w:val="left"/>
              <w:rPr>
                <w:noProof/>
              </w:rPr>
            </w:pPr>
            <w:r>
              <w:rPr>
                <w:noProof/>
              </w:rPr>
              <w:t>Vzdelávanie, rekvalifikácia a odborná príprava</w:t>
            </w:r>
            <w:r>
              <w:rPr>
                <w:noProof/>
              </w:rPr>
              <w:br/>
              <w:t>(</w:t>
            </w:r>
            <w:r>
              <w:rPr>
                <w:i/>
                <w:noProof/>
              </w:rPr>
              <w:t>Formazione e riqualificazione professionale)</w:t>
            </w:r>
            <w:r>
              <w:rPr>
                <w:noProof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750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533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spacing w:before="60" w:after="60"/>
              <w:jc w:val="right"/>
              <w:rPr>
                <w:noProof/>
              </w:rPr>
            </w:pPr>
            <w:r>
              <w:rPr>
                <w:noProof/>
              </w:rPr>
              <w:t>400 000</w:t>
            </w:r>
          </w:p>
        </w:tc>
      </w:tr>
      <w:tr>
        <w:trPr>
          <w:trHeight w:val="802"/>
        </w:trPr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after="60"/>
              <w:jc w:val="left"/>
              <w:rPr>
                <w:noProof/>
              </w:rPr>
            </w:pPr>
            <w:r>
              <w:rPr>
                <w:noProof/>
              </w:rPr>
              <w:t>Poukaz na opätovné zamestnanie</w:t>
            </w:r>
            <w:r>
              <w:rPr>
                <w:noProof/>
              </w:rPr>
              <w:br/>
              <w:t>(</w:t>
            </w:r>
            <w:r>
              <w:rPr>
                <w:i/>
                <w:noProof/>
              </w:rPr>
              <w:t>Assegno di ricollocazione)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1 360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1 379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spacing w:before="60" w:after="60"/>
              <w:jc w:val="right"/>
              <w:rPr>
                <w:noProof/>
              </w:rPr>
            </w:pPr>
            <w:r>
              <w:rPr>
                <w:noProof/>
              </w:rPr>
              <w:t>1 875 000</w:t>
            </w:r>
          </w:p>
        </w:tc>
      </w:tr>
      <w:tr>
        <w:trPr>
          <w:trHeight w:val="802"/>
        </w:trPr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after="60"/>
              <w:jc w:val="left"/>
              <w:rPr>
                <w:noProof/>
              </w:rPr>
            </w:pPr>
            <w:r>
              <w:rPr>
                <w:noProof/>
              </w:rPr>
              <w:t>Podpora podnikania</w:t>
            </w:r>
            <w:r>
              <w:rPr>
                <w:noProof/>
              </w:rPr>
              <w:br/>
              <w:t>(</w:t>
            </w:r>
            <w:r>
              <w:rPr>
                <w:i/>
                <w:noProof/>
              </w:rPr>
              <w:t>Servizio di supporto all'auto-impiego)</w:t>
            </w:r>
            <w:r>
              <w:rPr>
                <w:noProof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2 909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spacing w:before="60" w:after="60"/>
              <w:jc w:val="right"/>
              <w:rPr>
                <w:noProof/>
              </w:rPr>
            </w:pPr>
            <w:r>
              <w:rPr>
                <w:noProof/>
              </w:rPr>
              <w:t>320 000</w:t>
            </w:r>
          </w:p>
        </w:tc>
      </w:tr>
      <w:tr>
        <w:trPr>
          <w:trHeight w:val="802"/>
        </w:trPr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after="60"/>
              <w:jc w:val="left"/>
              <w:rPr>
                <w:noProof/>
              </w:rPr>
            </w:pPr>
            <w:r>
              <w:rPr>
                <w:noProof/>
              </w:rPr>
              <w:t>Príspevok na založenie podniku</w:t>
            </w:r>
            <w:r>
              <w:rPr>
                <w:noProof/>
              </w:rPr>
              <w:br/>
              <w:t>(</w:t>
            </w:r>
            <w:r>
              <w:rPr>
                <w:i/>
                <w:noProof/>
              </w:rPr>
              <w:t>Incentivo per l'avvio di nuove imprese)</w:t>
            </w:r>
            <w:r>
              <w:rPr>
                <w:noProof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15 000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spacing w:before="60" w:after="60"/>
              <w:jc w:val="right"/>
              <w:rPr>
                <w:noProof/>
              </w:rPr>
            </w:pPr>
            <w:r>
              <w:rPr>
                <w:noProof/>
              </w:rPr>
              <w:t>1 650 000</w:t>
            </w:r>
          </w:p>
        </w:tc>
      </w:tr>
      <w:tr>
        <w:trPr>
          <w:trHeight w:val="398"/>
        </w:trPr>
        <w:tc>
          <w:tcPr>
            <w:tcW w:w="4908" w:type="dxa"/>
            <w:vMerge w:val="restart"/>
            <w:shd w:val="clear" w:color="auto" w:fill="auto"/>
            <w:vAlign w:val="center"/>
          </w:tcPr>
          <w:p>
            <w:pPr>
              <w:spacing w:before="60" w:after="6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Medzisúčet (a):</w:t>
            </w:r>
          </w:p>
          <w:p>
            <w:pPr>
              <w:spacing w:before="60" w:after="6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 xml:space="preserve">Percentuálny podiel balíka personalizovaných služieb: </w:t>
            </w:r>
          </w:p>
        </w:tc>
        <w:tc>
          <w:tcPr>
            <w:tcW w:w="2832" w:type="dxa"/>
            <w:gridSpan w:val="2"/>
            <w:vMerge w:val="restart"/>
            <w:shd w:val="clear" w:color="auto" w:fill="D9D9D9"/>
            <w:vAlign w:val="center"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–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before="60" w:after="6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</w:rPr>
              <w:t>4 425 950</w:t>
            </w:r>
          </w:p>
        </w:tc>
      </w:tr>
      <w:tr>
        <w:trPr>
          <w:trHeight w:val="397"/>
        </w:trPr>
        <w:tc>
          <w:tcPr>
            <w:tcW w:w="4908" w:type="dxa"/>
            <w:vMerge/>
            <w:shd w:val="clear" w:color="auto" w:fill="auto"/>
            <w:vAlign w:val="center"/>
          </w:tcPr>
          <w:p>
            <w:pPr>
              <w:spacing w:before="60" w:after="60"/>
              <w:jc w:val="right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2832" w:type="dxa"/>
            <w:gridSpan w:val="2"/>
            <w:vMerge/>
            <w:shd w:val="clear" w:color="auto" w:fill="D9D9D9"/>
            <w:vAlign w:val="center"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before="60" w:after="6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(</w:t>
            </w:r>
            <w:r>
              <w:rPr>
                <w:noProof/>
              </w:rPr>
              <w:t>82,6 </w:t>
            </w:r>
            <w:r>
              <w:rPr>
                <w:noProof/>
                <w:sz w:val="22"/>
              </w:rPr>
              <w:t>%)</w:t>
            </w:r>
          </w:p>
        </w:tc>
      </w:tr>
      <w:tr>
        <w:tc>
          <w:tcPr>
            <w:tcW w:w="9288" w:type="dxa"/>
            <w:gridSpan w:val="4"/>
            <w:shd w:val="clear" w:color="auto" w:fill="auto"/>
            <w:vAlign w:val="center"/>
          </w:tcPr>
          <w:p>
            <w:pPr>
              <w:spacing w:before="60" w:after="60"/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Príspevky a stimuly [opatrenia podľa článku 7 ods. 1 písm. b) nariadenia o EGF]</w:t>
            </w:r>
          </w:p>
        </w:tc>
      </w:tr>
      <w:tr>
        <w:trPr>
          <w:trHeight w:val="802"/>
        </w:trPr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after="60"/>
              <w:jc w:val="left"/>
              <w:rPr>
                <w:noProof/>
              </w:rPr>
            </w:pPr>
            <w:r>
              <w:rPr>
                <w:noProof/>
              </w:rPr>
              <w:t>úhrada výdavkov pre pracovníkov, ktorí sa starajú o závislé osoby (</w:t>
            </w:r>
            <w:r>
              <w:rPr>
                <w:i/>
                <w:noProof/>
              </w:rPr>
              <w:t>Misure di conciliazione</w:t>
            </w:r>
            <w:r>
              <w:rPr>
                <w:noProof/>
              </w:rPr>
              <w:t xml:space="preserve">)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400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1 700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spacing w:before="60" w:after="60"/>
              <w:jc w:val="right"/>
              <w:rPr>
                <w:noProof/>
              </w:rPr>
            </w:pPr>
            <w:r>
              <w:rPr>
                <w:noProof/>
              </w:rPr>
              <w:t>680 000</w:t>
            </w:r>
          </w:p>
        </w:tc>
      </w:tr>
      <w:tr>
        <w:trPr>
          <w:trHeight w:val="802"/>
        </w:trPr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after="60"/>
              <w:jc w:val="left"/>
              <w:rPr>
                <w:noProof/>
              </w:rPr>
            </w:pPr>
            <w:r>
              <w:rPr>
                <w:noProof/>
              </w:rPr>
              <w:t>Úhrada nákladov na mobilitu</w:t>
            </w:r>
            <w:r>
              <w:rPr>
                <w:noProof/>
              </w:rPr>
              <w:br/>
              <w:t>(</w:t>
            </w:r>
            <w:r>
              <w:rPr>
                <w:i/>
                <w:noProof/>
              </w:rPr>
              <w:t>Indemnità per la mobilità territoriale)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5 000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spacing w:before="60" w:after="60"/>
              <w:jc w:val="right"/>
              <w:rPr>
                <w:noProof/>
              </w:rPr>
            </w:pPr>
            <w:r>
              <w:rPr>
                <w:noProof/>
              </w:rPr>
              <w:t>250 000</w:t>
            </w:r>
          </w:p>
        </w:tc>
      </w:tr>
      <w:tr>
        <w:trPr>
          <w:trHeight w:val="203"/>
        </w:trPr>
        <w:tc>
          <w:tcPr>
            <w:tcW w:w="4908" w:type="dxa"/>
            <w:vMerge w:val="restart"/>
            <w:shd w:val="clear" w:color="auto" w:fill="auto"/>
            <w:vAlign w:val="center"/>
          </w:tcPr>
          <w:p>
            <w:pPr>
              <w:spacing w:before="60" w:after="6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Medzisúčet (b):</w:t>
            </w:r>
          </w:p>
          <w:p>
            <w:pPr>
              <w:spacing w:before="60" w:after="6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Percentuálny podiel balíka personalizovaných služieb:</w:t>
            </w:r>
          </w:p>
        </w:tc>
        <w:tc>
          <w:tcPr>
            <w:tcW w:w="2832" w:type="dxa"/>
            <w:gridSpan w:val="2"/>
            <w:vMerge w:val="restart"/>
            <w:shd w:val="clear" w:color="auto" w:fill="D9D9D9"/>
            <w:vAlign w:val="center"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–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before="60" w:after="6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</w:rPr>
              <w:t>930 000</w:t>
            </w:r>
          </w:p>
        </w:tc>
      </w:tr>
      <w:tr>
        <w:trPr>
          <w:trHeight w:val="202"/>
        </w:trPr>
        <w:tc>
          <w:tcPr>
            <w:tcW w:w="4908" w:type="dxa"/>
            <w:vMerge/>
            <w:shd w:val="clear" w:color="auto" w:fill="auto"/>
            <w:vAlign w:val="center"/>
          </w:tcPr>
          <w:p>
            <w:pPr>
              <w:spacing w:before="60" w:after="60"/>
              <w:jc w:val="right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2832" w:type="dxa"/>
            <w:gridSpan w:val="2"/>
            <w:vMerge/>
            <w:shd w:val="clear" w:color="auto" w:fill="D9D9D9"/>
            <w:vAlign w:val="center"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before="60" w:after="6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(</w:t>
            </w:r>
            <w:r>
              <w:rPr>
                <w:noProof/>
              </w:rPr>
              <w:t>17,4 </w:t>
            </w:r>
            <w:r>
              <w:rPr>
                <w:noProof/>
                <w:sz w:val="22"/>
              </w:rPr>
              <w:t>%)</w:t>
            </w:r>
          </w:p>
        </w:tc>
      </w:tr>
      <w:tr>
        <w:tc>
          <w:tcPr>
            <w:tcW w:w="9288" w:type="dxa"/>
            <w:gridSpan w:val="4"/>
            <w:shd w:val="clear" w:color="auto" w:fill="auto"/>
            <w:vAlign w:val="center"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 xml:space="preserve"> Opatrenia podľa článku 7 ods. 4 nariadenia o EGF</w:t>
            </w:r>
          </w:p>
        </w:tc>
      </w:tr>
      <w:tr>
        <w:tc>
          <w:tcPr>
            <w:tcW w:w="4908" w:type="dxa"/>
            <w:shd w:val="clear" w:color="auto" w:fill="auto"/>
          </w:tcPr>
          <w:p>
            <w:pPr>
              <w:spacing w:before="60" w:after="60"/>
              <w:ind w:left="284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1. Prípravné činnosti</w:t>
            </w:r>
          </w:p>
        </w:tc>
        <w:tc>
          <w:tcPr>
            <w:tcW w:w="2832" w:type="dxa"/>
            <w:gridSpan w:val="2"/>
            <w:shd w:val="clear" w:color="auto" w:fill="D9D9D9"/>
            <w:vAlign w:val="center"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–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pacing w:before="60" w:after="6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</w:rPr>
              <w:t>15 000</w:t>
            </w:r>
          </w:p>
        </w:tc>
      </w:tr>
      <w:tr>
        <w:tc>
          <w:tcPr>
            <w:tcW w:w="4908" w:type="dxa"/>
            <w:shd w:val="clear" w:color="auto" w:fill="auto"/>
          </w:tcPr>
          <w:p>
            <w:pPr>
              <w:spacing w:before="60" w:after="60"/>
              <w:ind w:left="284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2. Riadenie</w:t>
            </w:r>
          </w:p>
        </w:tc>
        <w:tc>
          <w:tcPr>
            <w:tcW w:w="2832" w:type="dxa"/>
            <w:gridSpan w:val="2"/>
            <w:shd w:val="clear" w:color="auto" w:fill="D9D9D9"/>
            <w:vAlign w:val="center"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–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pacing w:before="60" w:after="6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</w:rPr>
              <w:t>115 000</w:t>
            </w:r>
          </w:p>
        </w:tc>
      </w:tr>
      <w:tr>
        <w:tc>
          <w:tcPr>
            <w:tcW w:w="4908" w:type="dxa"/>
            <w:shd w:val="clear" w:color="auto" w:fill="auto"/>
          </w:tcPr>
          <w:p>
            <w:pPr>
              <w:spacing w:before="60" w:after="60"/>
              <w:ind w:left="284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3. Informovanie a propagácia</w:t>
            </w:r>
          </w:p>
        </w:tc>
        <w:tc>
          <w:tcPr>
            <w:tcW w:w="2832" w:type="dxa"/>
            <w:gridSpan w:val="2"/>
            <w:shd w:val="clear" w:color="auto" w:fill="D9D9D9"/>
            <w:vAlign w:val="center"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–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pacing w:before="60" w:after="6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</w:rPr>
              <w:t>40 500</w:t>
            </w:r>
          </w:p>
        </w:tc>
      </w:tr>
      <w:tr>
        <w:tc>
          <w:tcPr>
            <w:tcW w:w="4908" w:type="dxa"/>
            <w:shd w:val="clear" w:color="auto" w:fill="auto"/>
          </w:tcPr>
          <w:p>
            <w:pPr>
              <w:spacing w:before="60" w:after="60"/>
              <w:ind w:left="284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4. Kontrola a podávanie správ</w:t>
            </w:r>
          </w:p>
        </w:tc>
        <w:tc>
          <w:tcPr>
            <w:tcW w:w="2832" w:type="dxa"/>
            <w:gridSpan w:val="2"/>
            <w:shd w:val="clear" w:color="auto" w:fill="D9D9D9"/>
            <w:vAlign w:val="center"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–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before="60" w:after="6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</w:rPr>
              <w:t>52 500</w:t>
            </w:r>
          </w:p>
        </w:tc>
      </w:tr>
      <w:tr>
        <w:trPr>
          <w:trHeight w:val="203"/>
        </w:trPr>
        <w:tc>
          <w:tcPr>
            <w:tcW w:w="4908" w:type="dxa"/>
            <w:vMerge w:val="restart"/>
            <w:shd w:val="clear" w:color="auto" w:fill="auto"/>
            <w:vAlign w:val="center"/>
          </w:tcPr>
          <w:p>
            <w:pPr>
              <w:spacing w:before="60" w:after="6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Medzisúčet (c):</w:t>
            </w:r>
          </w:p>
          <w:p>
            <w:pPr>
              <w:spacing w:before="60" w:after="6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Percentuálny podiel celkových nákladov:</w:t>
            </w:r>
          </w:p>
        </w:tc>
        <w:tc>
          <w:tcPr>
            <w:tcW w:w="2832" w:type="dxa"/>
            <w:gridSpan w:val="2"/>
            <w:vMerge w:val="restart"/>
            <w:shd w:val="clear" w:color="auto" w:fill="D9D9D9"/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–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before="60" w:after="6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</w:rPr>
              <w:t>223 000</w:t>
            </w:r>
          </w:p>
        </w:tc>
      </w:tr>
      <w:tr>
        <w:trPr>
          <w:trHeight w:val="202"/>
        </w:trPr>
        <w:tc>
          <w:tcPr>
            <w:tcW w:w="4908" w:type="dxa"/>
            <w:vMerge/>
            <w:shd w:val="clear" w:color="auto" w:fill="auto"/>
          </w:tcPr>
          <w:p>
            <w:pPr>
              <w:spacing w:before="0" w:after="0"/>
              <w:jc w:val="right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2832" w:type="dxa"/>
            <w:gridSpan w:val="2"/>
            <w:vMerge/>
            <w:shd w:val="clear" w:color="auto" w:fill="D9D9D9"/>
            <w:vAlign w:val="center"/>
          </w:tcPr>
          <w:p>
            <w:pPr>
              <w:spacing w:before="0" w:after="0"/>
              <w:jc w:val="center"/>
              <w:rPr>
                <w:rFonts w:eastAsia="Times New Roman"/>
                <w:noProof/>
                <w:sz w:val="22"/>
              </w:rPr>
            </w:pP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before="60" w:after="6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(</w:t>
            </w:r>
            <w:r>
              <w:rPr>
                <w:noProof/>
              </w:rPr>
              <w:t>4,0 </w:t>
            </w:r>
            <w:r>
              <w:rPr>
                <w:noProof/>
                <w:sz w:val="22"/>
              </w:rPr>
              <w:t>%)</w:t>
            </w:r>
          </w:p>
        </w:tc>
      </w:tr>
      <w:tr>
        <w:tc>
          <w:tcPr>
            <w:tcW w:w="4908" w:type="dxa"/>
            <w:shd w:val="clear" w:color="auto" w:fill="auto"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Celkové náklady (a + b + c):</w:t>
            </w:r>
          </w:p>
        </w:tc>
        <w:tc>
          <w:tcPr>
            <w:tcW w:w="2832" w:type="dxa"/>
            <w:gridSpan w:val="2"/>
            <w:shd w:val="clear" w:color="auto" w:fill="D9D9D9"/>
            <w:vAlign w:val="center"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–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pacing w:before="60" w:after="60"/>
              <w:jc w:val="right"/>
              <w:rPr>
                <w:noProof/>
                <w:sz w:val="22"/>
              </w:rPr>
            </w:pPr>
            <w:r>
              <w:rPr>
                <w:noProof/>
              </w:rPr>
              <w:t>5 578 950</w:t>
            </w:r>
          </w:p>
        </w:tc>
      </w:tr>
      <w:tr>
        <w:tc>
          <w:tcPr>
            <w:tcW w:w="4908" w:type="dxa"/>
            <w:shd w:val="clear" w:color="auto" w:fill="auto"/>
          </w:tcPr>
          <w:p>
            <w:pPr>
              <w:spacing w:before="60" w:after="60"/>
              <w:jc w:val="left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Príspevok z EGF (60 % celkových nákladov)</w:t>
            </w:r>
          </w:p>
        </w:tc>
        <w:tc>
          <w:tcPr>
            <w:tcW w:w="2832" w:type="dxa"/>
            <w:gridSpan w:val="2"/>
            <w:shd w:val="clear" w:color="auto" w:fill="D9D9D9"/>
            <w:vAlign w:val="center"/>
          </w:tcPr>
          <w:p>
            <w:pPr>
              <w:spacing w:before="60" w:after="60"/>
              <w:jc w:val="center"/>
              <w:rPr>
                <w:rFonts w:eastAsia="Times New Roman"/>
                <w:noProof/>
                <w:sz w:val="22"/>
              </w:rPr>
            </w:pPr>
            <w:r>
              <w:rPr>
                <w:noProof/>
                <w:sz w:val="22"/>
              </w:rPr>
              <w:t>–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pacing w:before="60" w:after="60"/>
              <w:jc w:val="right"/>
              <w:rPr>
                <w:rFonts w:eastAsia="Times New Roman"/>
                <w:noProof/>
                <w:sz w:val="22"/>
              </w:rPr>
            </w:pPr>
            <w:r>
              <w:rPr>
                <w:noProof/>
              </w:rPr>
              <w:t>3 347 370</w:t>
            </w:r>
          </w:p>
        </w:tc>
      </w:tr>
    </w:tbl>
    <w:p>
      <w:pPr>
        <w:pStyle w:val="ManualNumPar1"/>
        <w:rPr>
          <w:noProof/>
          <w:szCs w:val="20"/>
        </w:rPr>
      </w:pPr>
      <w:r>
        <w:t>24.</w:t>
      </w:r>
      <w:r>
        <w:tab/>
      </w:r>
      <w:r>
        <w:rPr>
          <w:noProof/>
        </w:rPr>
        <w:t>Náklady na opatrenia uvedené v predchádzajúcej tabuľke ako opatrenia podľa článku 7 ods. 1 písm. b) nariadenia o EGF neprekračujú 35 % celkových nákladov na koordinovaný balík personalizovaných služieb. Taliansko potvrdilo, že tieto opatrenia sú podmienené aktívnou účasťou dotknutých prijímateľov na činnostiach súvisiacich s hľadaním zamestnania alebo s odbornou prípravou.</w:t>
      </w:r>
    </w:p>
    <w:p>
      <w:pPr>
        <w:pStyle w:val="ManualNumPar1"/>
        <w:rPr>
          <w:noProof/>
        </w:rPr>
      </w:pPr>
      <w:r>
        <w:t>25.</w:t>
      </w:r>
      <w:r>
        <w:tab/>
      </w:r>
      <w:r>
        <w:rPr>
          <w:noProof/>
        </w:rPr>
        <w:t>Taliansko potvrdilo, že investičné náklady na samostatnú zárobkovú činnosť, založenie podniku a prevzatie zamestnancov nepresiahnu 15 000 EUR na prijímateľa.</w:t>
      </w:r>
    </w:p>
    <w:p>
      <w:pPr>
        <w:pStyle w:val="ManualHeading3"/>
        <w:rPr>
          <w:noProof/>
        </w:rPr>
      </w:pPr>
      <w:r>
        <w:rPr>
          <w:noProof/>
        </w:rPr>
        <w:t>Obdobie oprávnenosti výdavkov</w:t>
      </w:r>
    </w:p>
    <w:p>
      <w:pPr>
        <w:pStyle w:val="ManualNumPar1"/>
        <w:rPr>
          <w:noProof/>
        </w:rPr>
      </w:pPr>
      <w:r>
        <w:t>26.</w:t>
      </w:r>
      <w:r>
        <w:tab/>
      </w:r>
      <w:r>
        <w:rPr>
          <w:noProof/>
        </w:rPr>
        <w:t>Talianske orgány začali poskytovať personalizované služby dotknutým prijímateľom 6. apríla 2017</w:t>
      </w:r>
      <w:r>
        <w:rPr>
          <w:rStyle w:val="FootnoteReference"/>
          <w:noProof/>
        </w:rPr>
        <w:footnoteReference w:id="18"/>
      </w:r>
      <w:r>
        <w:rPr>
          <w:noProof/>
        </w:rPr>
        <w:t>. Výdavky na opatrenia sú teda oprávnené na získanie finančného príspevku z EGF od 6. apríla 2017 do 9. mája 2019.</w:t>
      </w:r>
    </w:p>
    <w:p>
      <w:pPr>
        <w:pStyle w:val="ManualNumPar1"/>
        <w:rPr>
          <w:noProof/>
        </w:rPr>
      </w:pPr>
      <w:r>
        <w:t>27.</w:t>
      </w:r>
      <w:r>
        <w:tab/>
      </w:r>
      <w:r>
        <w:rPr>
          <w:noProof/>
        </w:rPr>
        <w:t xml:space="preserve">Taliansku začali vznikať administratívne výdavky na využívanie EGF 1. marca 2017. Výdavky na činnosti súvisiace s prípravou, riadením, informovaním a propagáciou, kontrolou a podávaním správ sú preto oprávnené na finančný príspevok z EGF od 1. marca 2017 do 9. novembra 2019. </w:t>
      </w:r>
    </w:p>
    <w:p>
      <w:pPr>
        <w:pStyle w:val="ManualHeading3"/>
        <w:rPr>
          <w:noProof/>
        </w:rPr>
      </w:pPr>
      <w:r>
        <w:rPr>
          <w:noProof/>
        </w:rPr>
        <w:t>Doplnkovosť s opatreniami financovanými z vnútroštátnych prostriedkov alebo prostriedkov Únie</w:t>
      </w:r>
    </w:p>
    <w:p>
      <w:pPr>
        <w:pStyle w:val="ManualNumPar1"/>
        <w:rPr>
          <w:noProof/>
        </w:rPr>
      </w:pPr>
      <w:r>
        <w:t>28.</w:t>
      </w:r>
      <w:r>
        <w:tab/>
      </w:r>
      <w:r>
        <w:rPr>
          <w:noProof/>
        </w:rPr>
        <w:t>Zdroje vnútroštátneho predbežného financovania alebo spolufinancovania pochádzajú z regionálnych zdrojov uvoľnených legislatívnym dekrétom č. 2017/185 (24. 9. 2016) a fondom pre odbornú prípravu, ktorý spravuje agentúra ANPAL</w:t>
      </w:r>
      <w:r>
        <w:rPr>
          <w:rStyle w:val="FootnoteReference"/>
          <w:noProof/>
        </w:rPr>
        <w:footnoteReference w:id="19"/>
      </w:r>
      <w:r>
        <w:rPr>
          <w:noProof/>
        </w:rPr>
        <w:t>.</w:t>
      </w:r>
    </w:p>
    <w:p>
      <w:pPr>
        <w:pStyle w:val="ManualNumPar1"/>
        <w:rPr>
          <w:noProof/>
        </w:rPr>
      </w:pPr>
      <w:r>
        <w:t>29.</w:t>
      </w:r>
      <w:r>
        <w:tab/>
      </w:r>
      <w:r>
        <w:rPr>
          <w:noProof/>
        </w:rPr>
        <w:t xml:space="preserve">Taliansko potvrdilo, že uvedené opatrenia, na ktoré boli udelené finančné prostriedky z EGF, nebudú financované z iných finančných nástrojov Únie. Príspevky na novoprijatého zamestnanca, čo je opatrenie v rámci regionálneho operačného programu Lazio FSE 2014 – 2020, dopĺňajú súbor opatrení financovaných z EGF, ale nie sú jeho súčasťou. </w:t>
      </w:r>
    </w:p>
    <w:p>
      <w:pPr>
        <w:pStyle w:val="ManualHeading3"/>
        <w:tabs>
          <w:tab w:val="clear" w:pos="850"/>
          <w:tab w:val="left" w:pos="0"/>
        </w:tabs>
        <w:ind w:left="0" w:firstLine="0"/>
        <w:rPr>
          <w:noProof/>
          <w:u w:val="single"/>
        </w:rPr>
      </w:pPr>
      <w:r>
        <w:rPr>
          <w:noProof/>
        </w:rPr>
        <w:t>Postupy konzultácií s dotknutými prijímateľmi alebo ich zástupcami, alebo sociálnymi partnermi, ako aj miestnymi a regionálnymi orgánmi</w:t>
      </w:r>
    </w:p>
    <w:p>
      <w:pPr>
        <w:pStyle w:val="ManualNumPar1"/>
        <w:rPr>
          <w:noProof/>
        </w:rPr>
      </w:pPr>
      <w:r>
        <w:t>30.</w:t>
      </w:r>
      <w:r>
        <w:tab/>
      </w:r>
      <w:r>
        <w:rPr>
          <w:noProof/>
        </w:rPr>
        <w:t>Taliansko uviedlo, že výbor [zložený z Ministerstva pre hospodársky rozvoj (MiSE)</w:t>
      </w:r>
      <w:r>
        <w:rPr>
          <w:rStyle w:val="FootnoteReference"/>
          <w:noProof/>
        </w:rPr>
        <w:footnoteReference w:id="20"/>
      </w:r>
      <w:r>
        <w:rPr>
          <w:noProof/>
        </w:rPr>
        <w:t xml:space="preserve">, ANPAL, regiónu Lazio a odborových zväzov] bol vytvorený s cieľom vymedziť stratégiu a zásahy na podporu bývalých pracovníkov spoločnosti Almaviva. Prvé konzultácie začali už 16. januára 2017 (s orgánmi regiónu Lazio a odborovými zväzmi). Na ďalších stretnutiach, a najmä na stretnutí 7. februára 2017, bol vypracovaný koordinovaný súbor personalizovaných služieb. </w:t>
      </w:r>
    </w:p>
    <w:p>
      <w:pPr>
        <w:pStyle w:val="ManualHeading2"/>
        <w:rPr>
          <w:noProof/>
        </w:rPr>
      </w:pPr>
      <w:r>
        <w:rPr>
          <w:noProof/>
        </w:rPr>
        <w:t>Systémy riadenia a kontroly</w:t>
      </w:r>
    </w:p>
    <w:p>
      <w:pPr>
        <w:pStyle w:val="ManualNumPar1"/>
        <w:rPr>
          <w:noProof/>
        </w:rPr>
      </w:pPr>
      <w:r>
        <w:t>31.</w:t>
      </w:r>
      <w:r>
        <w:tab/>
      </w:r>
      <w:r>
        <w:rPr>
          <w:noProof/>
        </w:rPr>
        <w:t>Žiadosť obsahuje opis systému riadenia a kontroly, ktorý špecifikuje povinnosti zapojených subjektov. Taliansko oznámilo Komisii, že finančný príspevok bude ANPAL riadiť takto: ANPAL – Divisione IV bude pôsobiť ako riadiaci orgán a ANPAL – Divisione VI ako certifikačný orgán. The Ministero del lavoro e delle politiche sociali-MLPS – Secretariato Generale – Divisione II bude pôsobiť ako orgán auditu. Región Lazio bude sprostredkovateľským orgánom pre riadiaci orgán.</w:t>
      </w:r>
    </w:p>
    <w:p>
      <w:pPr>
        <w:pStyle w:val="ManualHeading2"/>
        <w:rPr>
          <w:noProof/>
        </w:rPr>
      </w:pPr>
      <w:r>
        <w:rPr>
          <w:noProof/>
        </w:rPr>
        <w:t>Záväzky poskytnuté zo strany dotknutého členského štátu</w:t>
      </w:r>
    </w:p>
    <w:p>
      <w:pPr>
        <w:pStyle w:val="ManualNumPar1"/>
        <w:rPr>
          <w:noProof/>
        </w:rPr>
      </w:pPr>
      <w:r>
        <w:t>32.</w:t>
      </w:r>
      <w:r>
        <w:tab/>
      </w:r>
      <w:r>
        <w:rPr>
          <w:noProof/>
        </w:rPr>
        <w:t xml:space="preserve">Talianske orgány poskytli všetky potrebné uistenia, že: </w:t>
      </w:r>
    </w:p>
    <w:p>
      <w:pPr>
        <w:pStyle w:val="Tiret1"/>
        <w:numPr>
          <w:ilvl w:val="0"/>
          <w:numId w:val="12"/>
        </w:numPr>
        <w:rPr>
          <w:noProof/>
        </w:rPr>
      </w:pPr>
      <w:r>
        <w:rPr>
          <w:noProof/>
        </w:rPr>
        <w:t>v prístupe k navrhovaným opatreniam a ich vykonávaniu sa budú dodržiavať zásady rovnakého zaobchádzania a nediskriminácie,</w:t>
      </w:r>
    </w:p>
    <w:p>
      <w:pPr>
        <w:pStyle w:val="Tiret1"/>
        <w:numPr>
          <w:ilvl w:val="0"/>
          <w:numId w:val="12"/>
        </w:numPr>
        <w:rPr>
          <w:noProof/>
        </w:rPr>
      </w:pPr>
      <w:r>
        <w:rPr>
          <w:noProof/>
        </w:rPr>
        <w:t>boli splnené požiadavky stanovené vo vnútroštátnych právnych predpisoch a v právnych predpisoch EÚ, ktoré sa týkajú hromadného prepúšťania,</w:t>
      </w:r>
    </w:p>
    <w:p>
      <w:pPr>
        <w:pStyle w:val="Tiret1"/>
        <w:rPr>
          <w:noProof/>
        </w:rPr>
      </w:pPr>
      <w:r>
        <w:rPr>
          <w:noProof/>
        </w:rPr>
        <w:t>spoločnosť Almaviva Contact SpA, ktorá po prepúšťaní pokračuje v činnosti, si splnila svoje právne záväzky, ktorými sa upravuje prepúšťanie, a prijala primerané opatrenia na zabezpečenie svojich pracovníkov,</w:t>
      </w:r>
    </w:p>
    <w:p>
      <w:pPr>
        <w:pStyle w:val="Tiret1"/>
        <w:numPr>
          <w:ilvl w:val="0"/>
          <w:numId w:val="12"/>
        </w:numPr>
        <w:rPr>
          <w:noProof/>
        </w:rPr>
      </w:pPr>
      <w:r>
        <w:rPr>
          <w:noProof/>
        </w:rPr>
        <w:t>navrhované opatrenia nebudú predmetom finančnej podpory z iných fondov alebo finančných nástrojov Únie a zabráni sa dvojitému financovaniu,</w:t>
      </w:r>
    </w:p>
    <w:p>
      <w:pPr>
        <w:pStyle w:val="Tiret1"/>
        <w:numPr>
          <w:ilvl w:val="0"/>
          <w:numId w:val="12"/>
        </w:numPr>
        <w:rPr>
          <w:noProof/>
        </w:rPr>
      </w:pPr>
      <w:r>
        <w:rPr>
          <w:noProof/>
        </w:rPr>
        <w:t>navrhovanými opatreniami sa budú dopĺňať opatrenia financované zo štrukturálnych fondov,</w:t>
      </w:r>
    </w:p>
    <w:p>
      <w:pPr>
        <w:pStyle w:val="Tiret1"/>
        <w:numPr>
          <w:ilvl w:val="0"/>
          <w:numId w:val="12"/>
        </w:numPr>
        <w:rPr>
          <w:noProof/>
        </w:rPr>
      </w:pPr>
      <w:r>
        <w:rPr>
          <w:noProof/>
        </w:rPr>
        <w:t>finančný príspevok z EGF bude v súlade s procesnými a hmotnoprávnymi pravidlami Únie o štátnej pomoci.</w:t>
      </w:r>
    </w:p>
    <w:p>
      <w:pPr>
        <w:pStyle w:val="ManualHeading1"/>
        <w:rPr>
          <w:noProof/>
        </w:rPr>
      </w:pPr>
      <w:r>
        <w:rPr>
          <w:noProof/>
        </w:rPr>
        <w:t>VPLYV NA ROZPOČET</w:t>
      </w:r>
    </w:p>
    <w:p>
      <w:pPr>
        <w:pStyle w:val="ManualHeading2"/>
        <w:rPr>
          <w:noProof/>
        </w:rPr>
      </w:pPr>
      <w:r>
        <w:rPr>
          <w:noProof/>
        </w:rPr>
        <w:t>Návrh rozpočtu</w:t>
      </w:r>
    </w:p>
    <w:p>
      <w:pPr>
        <w:pStyle w:val="ManualNumPar1"/>
        <w:rPr>
          <w:noProof/>
        </w:rPr>
      </w:pPr>
      <w:r>
        <w:t>33.</w:t>
      </w:r>
      <w:r>
        <w:tab/>
      </w:r>
      <w:r>
        <w:rPr>
          <w:noProof/>
        </w:rPr>
        <w:t>Ako sa stanovuje v článku 12 nariadenia Rady (EÚ, Euratom) č. 1311/2013 z 2. decembra 2013, ktorým sa ustanovuje viacročný finančný rámec na roky 2014 – 2020</w:t>
      </w:r>
      <w:r>
        <w:rPr>
          <w:rStyle w:val="FootnoteReference"/>
          <w:noProof/>
        </w:rPr>
        <w:footnoteReference w:id="21"/>
      </w:r>
      <w:r>
        <w:rPr>
          <w:noProof/>
        </w:rPr>
        <w:t>, EGF nesmie prekročiť maximálnu ročnú sumu 150 miliónov EUR (v cenách z roku 2011).</w:t>
      </w:r>
    </w:p>
    <w:p>
      <w:pPr>
        <w:pStyle w:val="ManualNumPar1"/>
        <w:rPr>
          <w:rFonts w:eastAsia="Calibri"/>
          <w:noProof/>
        </w:rPr>
      </w:pPr>
      <w:r>
        <w:t>34.</w:t>
      </w:r>
      <w:r>
        <w:tab/>
      </w:r>
      <w:r>
        <w:rPr>
          <w:noProof/>
        </w:rPr>
        <w:t>Po preskúmaní žiadosti vzhľadom na podmienky stanovené v článku 13 ods. 1 nariadenia o EGF a s ohľadom na počet dotknutých prijímateľov, navrhované opatrenia a odhadované náklady navrhuje Komisia mobilizovať z EGF sumu vo výške 3 347 370 EUR, čo predstavuje 60 % celkových nákladov na navrhované opatrenia, s cieľom poskytnúť na žiadosť finančný príspevok.</w:t>
      </w:r>
    </w:p>
    <w:p>
      <w:pPr>
        <w:pStyle w:val="ManualNumPar1"/>
        <w:rPr>
          <w:rFonts w:eastAsia="Times New Roman"/>
          <w:noProof/>
        </w:rPr>
      </w:pPr>
      <w:r>
        <w:t>35.</w:t>
      </w:r>
      <w:r>
        <w:tab/>
      </w:r>
      <w:r>
        <w:rPr>
          <w:noProof/>
        </w:rPr>
        <w:t>Ako sa stanovuje v bode 13 Medziinštitucionálnej dohody z 2. decembra 2013 medzi Európskym parlamentom, Radou a Komisiou o rozpočtovej disciplíne, spolupráci v rozpočtových otázkach a riadnom finančnom hospodárení</w:t>
      </w:r>
      <w:r>
        <w:rPr>
          <w:rStyle w:val="FootnoteReference"/>
          <w:noProof/>
        </w:rPr>
        <w:footnoteReference w:id="22"/>
      </w:r>
      <w:r>
        <w:rPr>
          <w:noProof/>
        </w:rPr>
        <w:t>, navrhované rozhodnutie o mobilizácii EGF prijmú spoločne Európsky parlament a Rada.</w:t>
      </w:r>
    </w:p>
    <w:p>
      <w:pPr>
        <w:pStyle w:val="ManualHeading2"/>
        <w:rPr>
          <w:noProof/>
        </w:rPr>
      </w:pPr>
      <w:r>
        <w:rPr>
          <w:noProof/>
        </w:rPr>
        <w:t>Súvisiace akty</w:t>
      </w:r>
    </w:p>
    <w:p>
      <w:pPr>
        <w:pStyle w:val="ManualNumPar1"/>
        <w:rPr>
          <w:noProof/>
        </w:rPr>
      </w:pPr>
      <w:r>
        <w:t>36.</w:t>
      </w:r>
      <w:r>
        <w:tab/>
      </w:r>
      <w:r>
        <w:rPr>
          <w:noProof/>
        </w:rPr>
        <w:t>Súčasne s predložením tohto návrhu rozhodnutia o mobilizácii EGF Komisia predloží Európskemu parlamentu a Rade návrh na presun sumy vo výške 3 347 370 EUR do príslušného rozpočtového riadku.</w:t>
      </w:r>
    </w:p>
    <w:p>
      <w:pPr>
        <w:pStyle w:val="ManualNumPar1"/>
        <w:rPr>
          <w:noProof/>
        </w:rPr>
      </w:pPr>
      <w:r>
        <w:t>37.</w:t>
      </w:r>
      <w:r>
        <w:tab/>
      </w:r>
      <w:r>
        <w:rPr>
          <w:noProof/>
        </w:rPr>
        <w:t>Zároveň s prijatím tohto návrhu rozhodnutia o mobilizácii EGF Komisia prijme prostredníctvom vykonávacieho aktu rozhodnutie o finančnom príspevku, ktoré nadobudne účinnosť v deň, keď Európsky parlament a Rada prijmú navrhované rozhodnutie o mobilizácii EGF.</w:t>
      </w: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960" w:right="1417" w:bottom="960" w:left="1417" w:header="709" w:footer="334" w:gutter="0"/>
          <w:cols w:space="708"/>
          <w:docGrid w:linePitch="360"/>
        </w:sectPr>
      </w:pPr>
    </w:p>
    <w:p>
      <w:pPr>
        <w:pStyle w:val="Statut"/>
        <w:rPr>
          <w:noProof/>
        </w:rPr>
      </w:pPr>
      <w:r>
        <w:rPr>
          <w:noProof/>
        </w:rPr>
        <w:t>Návrh</w:t>
      </w:r>
    </w:p>
    <w:p>
      <w:pPr>
        <w:pStyle w:val="Typedudocument"/>
        <w:rPr>
          <w:noProof/>
        </w:rPr>
      </w:pPr>
      <w:r>
        <w:rPr>
          <w:noProof/>
        </w:rPr>
        <w:t>ROZHODNUTIE EURÓPSKEHO PARLAMENTU A RADY</w:t>
      </w:r>
    </w:p>
    <w:p>
      <w:pPr>
        <w:pStyle w:val="Titreobjet"/>
        <w:rPr>
          <w:noProof/>
        </w:rPr>
      </w:pPr>
      <w:r>
        <w:rPr>
          <w:noProof/>
        </w:rPr>
        <w:t>o mobilizácii Európskeho fondu na prispôsobenie sa globalizácii na základe</w:t>
      </w:r>
      <w:r>
        <w:rPr>
          <w:noProof/>
        </w:rPr>
        <w:br/>
        <w:t>žiadosti Talianska – EGF/2017/004 IT/Almaviva</w:t>
      </w:r>
    </w:p>
    <w:p>
      <w:pPr>
        <w:pStyle w:val="Institutionquiagit"/>
        <w:rPr>
          <w:noProof/>
        </w:rPr>
      </w:pPr>
      <w:r>
        <w:rPr>
          <w:noProof/>
        </w:rPr>
        <w:t>EURÓPSKY PARLAMENT A RADA EURÓPSKEJ ÚNIE,</w:t>
      </w:r>
    </w:p>
    <w:p>
      <w:pPr>
        <w:rPr>
          <w:noProof/>
        </w:rPr>
      </w:pPr>
      <w:r>
        <w:rPr>
          <w:noProof/>
        </w:rPr>
        <w:t>so zreteľom na Zmluvu o fungovaní Európskej únie,</w:t>
      </w:r>
    </w:p>
    <w:p>
      <w:pPr>
        <w:rPr>
          <w:noProof/>
        </w:rPr>
      </w:pPr>
      <w:r>
        <w:rPr>
          <w:noProof/>
        </w:rPr>
        <w:t>so zreteľom na nariadenie Európskeho parlamentu a Rady (EÚ) č. 1309/2013 zo 17. decembra 2013 o Európskom fonde na prispôsobenie sa globalizácii (2014 – 2020) a o zrušení nariadenia (ES) č. 1927/2006</w:t>
      </w:r>
      <w:r>
        <w:rPr>
          <w:rStyle w:val="FootnoteReference"/>
          <w:noProof/>
        </w:rPr>
        <w:footnoteReference w:id="23"/>
      </w:r>
      <w:r>
        <w:rPr>
          <w:noProof/>
        </w:rPr>
        <w:t>, a najmä na jeho článok 15 ods. 4,</w:t>
      </w:r>
    </w:p>
    <w:p>
      <w:pPr>
        <w:rPr>
          <w:noProof/>
        </w:rPr>
      </w:pPr>
      <w:r>
        <w:rPr>
          <w:noProof/>
        </w:rPr>
        <w:t>so zreteľom na Medziinštitucionálnu dohodu z 2. decembra 2013 medzi Európskym parlamentom, Radou a Komisiou o rozpočtovej disciplíne, spolupráci v rozpočtových otázkach a riadnom finančnom hospodárení</w:t>
      </w:r>
      <w:r>
        <w:rPr>
          <w:rStyle w:val="FootnoteReference"/>
          <w:noProof/>
        </w:rPr>
        <w:footnoteReference w:id="24"/>
      </w:r>
      <w:r>
        <w:rPr>
          <w:noProof/>
        </w:rPr>
        <w:t>, a najmä na jej bod 13,</w:t>
      </w:r>
    </w:p>
    <w:p>
      <w:pPr>
        <w:rPr>
          <w:noProof/>
        </w:rPr>
      </w:pPr>
      <w:r>
        <w:rPr>
          <w:noProof/>
        </w:rPr>
        <w:t>so zreteľom na návrh Európskej komisie,</w:t>
      </w:r>
    </w:p>
    <w:p>
      <w:pPr>
        <w:rPr>
          <w:noProof/>
        </w:rPr>
      </w:pPr>
      <w:r>
        <w:rPr>
          <w:noProof/>
        </w:rPr>
        <w:t>keďže: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Európsky fond na prispôsobenie sa globalizácii (ďalej len „EGF“) bol zriadený s cieľom poskytovať podporu pracovníkom, ktorí boli prepustení, a samostatne zárobkovo činným osobám, ktoré ukončili činnosť z dôvodu vážnych zmien v štruktúre svetového obchodu v dôsledku globalizácie, z dôvodu pokračovania celosvetovej finančnej a hospodárskej krízy či z dôvodu novej celosvetovej finančnej a hospodárskej krízy, a pomôcť im pri opätovnom začleňovaní na trh práce.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Ako sa stanovuje v článku 12 nariadenia Rady (EÚ, Euratom) č. 1311/2013</w:t>
      </w:r>
      <w:r>
        <w:rPr>
          <w:rStyle w:val="FootnoteReference"/>
          <w:noProof/>
        </w:rPr>
        <w:footnoteReference w:id="25"/>
      </w:r>
      <w:r>
        <w:rPr>
          <w:noProof/>
        </w:rPr>
        <w:t>, EGF nesmie prekročiť maximálnu ročnú sumu 150 miliónov EUR (v cenách z roku 2011).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Taliansko 9. mája 2017 predložilo žiadosť o mobilizáciu prostriedkov EGF v súvislosti s prepúšťaním v spoločnosti Almaviva Contact SpA v Taliansku. Žiadosť bola doplnená o dodatočné informácie v súlade s článkom 8 ods. 3 nariadenia (EÚ) č. 1309/2013. Táto žiadosť spĺňa požiadavky na stanovenie finančného príspevku z EGF podľa článku 13 nariadenia (EÚ) č. 1309/2013.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Preto by sa v súvislosti so žiadosťou predloženou Talianskom mali z EGF uvoľniť finančné prostriedky s cieľom poskytnúť finančný príspevok vo výške 3 347 370 EUR.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S cieľom skrátiť čas potrebný na mobilizáciu EGF na minimum by sa toto rozhodnutie malo uplatňovať odo dňa jeho prijatia,</w:t>
      </w:r>
    </w:p>
    <w:p>
      <w:pPr>
        <w:pStyle w:val="Formuledadoption"/>
        <w:rPr>
          <w:noProof/>
        </w:rPr>
      </w:pPr>
      <w:r>
        <w:rPr>
          <w:noProof/>
        </w:rPr>
        <w:t xml:space="preserve">PRIJALI TOTO ROZHODNUTIE: </w:t>
      </w:r>
    </w:p>
    <w:p>
      <w:pPr>
        <w:pStyle w:val="Titrearticle"/>
        <w:rPr>
          <w:noProof/>
        </w:rPr>
      </w:pPr>
      <w:r>
        <w:rPr>
          <w:noProof/>
        </w:rPr>
        <w:t>Článok 1</w:t>
      </w:r>
    </w:p>
    <w:p>
      <w:pPr>
        <w:rPr>
          <w:noProof/>
        </w:rPr>
      </w:pPr>
      <w:r>
        <w:rPr>
          <w:noProof/>
        </w:rPr>
        <w:t>V rámci všeobecného rozpočtu Únie na rozpočtový rok 2017 sa mobilizuje Európsky fond na prispôsobenie sa globalizácii s cieľom poskytnúť sumu 3 347 370 EUR vo forme viazaných a platobných rozpočtových prostriedkov.</w:t>
      </w:r>
    </w:p>
    <w:p>
      <w:pPr>
        <w:pStyle w:val="Titrearticle"/>
        <w:rPr>
          <w:noProof/>
        </w:rPr>
      </w:pPr>
      <w:r>
        <w:rPr>
          <w:noProof/>
        </w:rPr>
        <w:t>Článok 2</w:t>
      </w:r>
    </w:p>
    <w:p>
      <w:pPr>
        <w:keepNext/>
        <w:keepLines/>
        <w:rPr>
          <w:noProof/>
        </w:rPr>
      </w:pPr>
      <w:r>
        <w:rPr>
          <w:noProof/>
        </w:rPr>
        <w:t>Toto rozhodnutie nadobúda účinnosť dňom jeho uverejnenia v </w:t>
      </w:r>
      <w:r>
        <w:rPr>
          <w:i/>
          <w:noProof/>
        </w:rPr>
        <w:t>Úradnom vestníku Európskej únie</w:t>
      </w:r>
      <w:r>
        <w:rPr>
          <w:noProof/>
        </w:rPr>
        <w:t xml:space="preserve">. Uplatňuje sa od </w:t>
      </w:r>
      <w:r>
        <w:rPr>
          <w:noProof/>
          <w:color w:val="FF0000"/>
        </w:rPr>
        <w:t>[</w:t>
      </w:r>
      <w:r>
        <w:rPr>
          <w:i/>
          <w:noProof/>
          <w:color w:val="FF0000"/>
        </w:rPr>
        <w:t>dátum jeho prijatia</w:t>
      </w:r>
      <w:r>
        <w:rPr>
          <w:noProof/>
          <w:color w:val="FF0000"/>
        </w:rPr>
        <w:t>]</w:t>
      </w:r>
      <w:r>
        <w:rPr>
          <w:rStyle w:val="FootnoteReference"/>
        </w:rPr>
        <w:sym w:font="Symbol" w:char="F02A"/>
      </w:r>
      <w:r>
        <w:rPr>
          <w:noProof/>
        </w:rPr>
        <w:t>.</w:t>
      </w:r>
    </w:p>
    <w:p>
      <w:pPr>
        <w:pStyle w:val="Fait"/>
        <w:rPr>
          <w:noProof/>
        </w:rPr>
      </w:pPr>
      <w:r>
        <w:rPr>
          <w:noProof/>
        </w:rPr>
        <w:footnoteReference w:customMarkFollows="1" w:id="26"/>
        <w:t>V Bruseli</w:t>
      </w:r>
    </w:p>
    <w:p>
      <w:pPr>
        <w:pStyle w:val="Institutionquisigne"/>
        <w:rPr>
          <w:noProof/>
        </w:rPr>
      </w:pPr>
      <w:r>
        <w:rPr>
          <w:noProof/>
        </w:rPr>
        <w:t>Za Európsky parlament</w:t>
      </w:r>
      <w:r>
        <w:rPr>
          <w:noProof/>
        </w:rPr>
        <w:tab/>
        <w:t>Za Radu</w:t>
      </w:r>
    </w:p>
    <w:p>
      <w:pPr>
        <w:pStyle w:val="Personnequisigne"/>
        <w:rPr>
          <w:noProof/>
        </w:rPr>
      </w:pPr>
      <w:r>
        <w:rPr>
          <w:noProof/>
        </w:rPr>
        <w:t>predseda</w:t>
      </w:r>
      <w:r>
        <w:rPr>
          <w:noProof/>
        </w:rPr>
        <w:tab/>
        <w:t>predseda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SK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13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Ú. v. EÚ L 347, 20.12.2013, s. 855.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V zmysle článku 3 nariadenia o EGF.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Nariadenie Komisie (EÚ) č. 1046/2012 z 8. novembra 2012, ktorým sa vykonáva nariadenie Európskeho parlamentu a Rady (ES) č. 1059/2003 o zostavení spoločnej nomenklatúry územných jednotiek pre štatistické účely (NUTS), pokiaľ ide o zasielanie časových radov pre nové regionálne členenie (Ú. v. EÚ L 310, 9.11.2012, s. 34).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Ú. v. EÚ L 393, 30.12.2006, s. 1.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V súlade s článkom 7 ods. 4 nariadenia (EÚ) č. 1309/2013.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 xml:space="preserve">Počas referenčného obdobia bolo v spoločnosti Almaviva SpA prepustených 1 627 pracovníkov. Neskôr však 17 z nich dostalo ponuku miesta na inom pracovisku toho istého podniku. Na účely tejto žiadosti sa týchto 17 pracovníkov nepočíta medzi prepustených. 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>Vzťahuje sa to na pracovníkov, ktorých sa týka zákaz prepustenia (článok 54 Decreto Legislativo 151/2001), ktorí budú prepustení na konci ochranného obdobia.</w:t>
      </w:r>
    </w:p>
    <w:p>
      <w:pPr>
        <w:pStyle w:val="FootnoteText"/>
      </w:pPr>
      <w:r>
        <w:tab/>
      </w:r>
      <w:hyperlink r:id="rId1">
        <w:r>
          <w:rPr>
            <w:rStyle w:val="Hyperlink"/>
          </w:rPr>
          <w:t>https://www.cliclavoro.gov.it/Normative/Decreto_Legislativo_26_marzo_2001_n.151.pdf</w:t>
        </w:r>
      </w:hyperlink>
    </w:p>
  </w:footnote>
  <w:footnote w:id="8">
    <w:p>
      <w:pPr>
        <w:pStyle w:val="FootnoteText"/>
        <w:jc w:val="left"/>
      </w:pPr>
      <w:r>
        <w:rPr>
          <w:rStyle w:val="FootnoteReference"/>
        </w:rPr>
        <w:footnoteRef/>
      </w:r>
      <w:r>
        <w:tab/>
        <w:t>Pracovné vzťahy v telefonických centrách v Taliansku.</w:t>
      </w:r>
      <w:r>
        <w:rPr>
          <w:rStyle w:val="Hyperlink"/>
        </w:rPr>
        <w:t xml:space="preserve"> (http://www.camera.it/leg17/824?tipo=C&amp;anno=2014&amp;mese=12&amp;giorno=11&amp;view=&amp;commissione=11&amp;pagina=#).</w:t>
      </w:r>
    </w:p>
  </w:footnote>
  <w:footnote w:id="9">
    <w:p>
      <w:pPr>
        <w:pStyle w:val="FootnoteText"/>
      </w:pPr>
      <w:r>
        <w:rPr>
          <w:rStyle w:val="FootnoteReference"/>
        </w:rPr>
        <w:footnoteRef/>
      </w:r>
      <w:r>
        <w:tab/>
        <w:t>Asso contact –Assoziazione nazionale dei contact center in outsourcing. Ročné stretnutie 2016</w:t>
      </w:r>
      <w:r>
        <w:br/>
        <w:t>http://www.assocontact.it/Documenti/VERBALI_ASSEMBLEE/02-Presentazione-Urbano-Granata_DATABANK-CERVED.pdf.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>Tamtiež.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  <w:t>Pracovné vzťahy v telefonických centrách v Taliansku. Op. cit.</w:t>
      </w:r>
    </w:p>
  </w:footnote>
  <w:footnote w:id="12">
    <w:p>
      <w:pPr>
        <w:pStyle w:val="FootnoteText"/>
      </w:pPr>
      <w:r>
        <w:rPr>
          <w:rStyle w:val="FootnoteReference"/>
        </w:rPr>
        <w:footnoteRef/>
      </w:r>
      <w:r>
        <w:tab/>
        <w:t>Pracovné vzťahy v telefonických centrách v Taliansku. Op. cit.</w:t>
      </w:r>
    </w:p>
  </w:footnote>
  <w:footnote w:id="13">
    <w:p>
      <w:pPr>
        <w:pStyle w:val="FootnoteText"/>
      </w:pPr>
      <w:r>
        <w:rPr>
          <w:rStyle w:val="FootnoteReference"/>
        </w:rPr>
        <w:footnoteRef/>
      </w:r>
      <w:r>
        <w:tab/>
        <w:t>EGF/2012/001 IE Talk Talk Broadband Services Ltd. COM(2012) 423.</w:t>
      </w:r>
    </w:p>
  </w:footnote>
  <w:footnote w:id="14">
    <w:p>
      <w:pPr>
        <w:pStyle w:val="FootnoteText"/>
      </w:pPr>
      <w:r>
        <w:rPr>
          <w:rStyle w:val="FootnoteReference"/>
        </w:rPr>
        <w:footnoteRef/>
      </w:r>
      <w:r>
        <w:tab/>
        <w:t>Zjednotené odborové zastúpenie v Taliansku (skratka RSU) je kolektívny orgán zastupujúci všetkých pracovníkov zamestnaných v tých istých verejných alebo súkromných subjektoch, bez ohľadu na ich členstvo v odborových zväzoch.</w:t>
      </w:r>
    </w:p>
  </w:footnote>
  <w:footnote w:id="15">
    <w:p>
      <w:pPr>
        <w:pStyle w:val="FootnoteText"/>
      </w:pPr>
      <w:r>
        <w:rPr>
          <w:rStyle w:val="FootnoteReference"/>
        </w:rPr>
        <w:footnoteRef/>
      </w:r>
      <w:r>
        <w:tab/>
        <w:t>Opatrenie v rámci regionálneho operačného programu Lazio FSE 2014 – 2020.</w:t>
      </w:r>
    </w:p>
  </w:footnote>
  <w:footnote w:id="16">
    <w:p>
      <w:pPr>
        <w:pStyle w:val="FootnoteText"/>
      </w:pPr>
      <w:r>
        <w:rPr>
          <w:rStyle w:val="FootnoteReference"/>
        </w:rPr>
        <w:footnoteRef/>
      </w:r>
      <w:r>
        <w:tab/>
        <w:t>S cieľom vyhnúť sa desatinným číslam boli odhadované náklady na pracovníka zaokrúhlené. Zaokrúhľovanie však nemá žiadny vplyv na celkové náklady na každé opatrenie, ktoré zostávajú rovnaké ako v žiadosti predloženej Talianskom.</w:t>
      </w:r>
    </w:p>
  </w:footnote>
  <w:footnote w:id="17">
    <w:p>
      <w:pPr>
        <w:pStyle w:val="FootnoteText"/>
      </w:pPr>
      <w:r>
        <w:rPr>
          <w:rStyle w:val="FootnoteReference"/>
        </w:rPr>
        <w:footnoteRef/>
      </w:r>
      <w:r>
        <w:tab/>
        <w:t>Z dôvodu zaokrúhľovania celkové sumy nepredstavujú presný súčet jednotlivých uvedených položiek.</w:t>
      </w:r>
    </w:p>
  </w:footnote>
  <w:footnote w:id="18">
    <w:p>
      <w:pPr>
        <w:pStyle w:val="FootnoteText"/>
      </w:pPr>
      <w:r>
        <w:rPr>
          <w:rStyle w:val="FootnoteReference"/>
        </w:rPr>
        <w:footnoteRef/>
      </w:r>
      <w:r>
        <w:tab/>
        <w:t>Prijímacie stretnutia, čo je opatrenie bez žiadosti o spolufinancovanie z EGF, začali 9. marca 2017; pričom individuálne usmernenie (opatrenie spolufinancované z EGF) začalo 6. apríla 2017.</w:t>
      </w:r>
    </w:p>
  </w:footnote>
  <w:footnote w:id="19">
    <w:p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tab/>
        <w:t>Agenzia Nazionale per le Politiche Attive del Lavoro (ANPAL).</w:t>
      </w:r>
    </w:p>
  </w:footnote>
  <w:footnote w:id="20">
    <w:p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tab/>
        <w:t>Ministero dello Sviluppo Economico (MiSE).</w:t>
      </w:r>
    </w:p>
  </w:footnote>
  <w:footnote w:id="21">
    <w:p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tab/>
        <w:t>Ú. v. EÚ L 347, 20.12.2013, s. 884.</w:t>
      </w:r>
    </w:p>
  </w:footnote>
  <w:footnote w:id="22">
    <w:p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tab/>
        <w:t>Ú. v. EÚ C 373, 20.12.2013, s. 1.</w:t>
      </w:r>
    </w:p>
  </w:footnote>
  <w:footnote w:id="23">
    <w:p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tab/>
        <w:t>Ú. v. EÚ L 347, 20.12.2013, s. 855.</w:t>
      </w:r>
    </w:p>
  </w:footnote>
  <w:footnote w:id="24">
    <w:p>
      <w:pPr>
        <w:pStyle w:val="FootnoteText"/>
      </w:pPr>
      <w:r>
        <w:rPr>
          <w:rStyle w:val="FootnoteReference"/>
        </w:rPr>
        <w:footnoteRef/>
      </w:r>
      <w:r>
        <w:tab/>
        <w:t>Ú. v. EÚ C 373, 20.12.2013, s. 1.</w:t>
      </w:r>
    </w:p>
  </w:footnote>
  <w:footnote w:id="25">
    <w:p>
      <w:pPr>
        <w:pStyle w:val="FootnoteText"/>
      </w:pPr>
      <w:r>
        <w:rPr>
          <w:rStyle w:val="FootnoteReference"/>
        </w:rPr>
        <w:footnoteRef/>
      </w:r>
      <w:r>
        <w:tab/>
        <w:t>Nariadenie Rady (EÚ, Euratom) č. 1311/2013 z 2. decembra 2013, ktorým sa ustanovuje viacročný finančný rámec na roky 2014 – 2020 (Ú. v. EÚ L 347, 20.12.2013, s. 884).</w:t>
      </w:r>
    </w:p>
  </w:footnote>
  <w:footnote w:id="26">
    <w:p>
      <w:pPr>
        <w:pStyle w:val="FootnoteText"/>
        <w:rPr>
          <w:color w:val="FF0000"/>
        </w:rPr>
      </w:pPr>
      <w:r>
        <w:rPr>
          <w:rStyle w:val="FootnoteReference"/>
        </w:rPr>
        <w:sym w:font="Symbol" w:char="F02A"/>
      </w:r>
      <w:r>
        <w:rPr>
          <w:color w:val="FF0000"/>
        </w:rPr>
        <w:t xml:space="preserve"> </w:t>
      </w:r>
      <w:r>
        <w:tab/>
      </w:r>
      <w:r>
        <w:rPr>
          <w:color w:val="FF0000"/>
        </w:rPr>
        <w:t>Dátum vloží Parlament pred uverejnením v úradnom vestníku.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BB686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9E463D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780CFF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4498EC5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332C75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1F9047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C2823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5869B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</w:num>
  <w:num w:numId="8">
    <w:abstractNumId w:val="6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8"/>
  </w:num>
  <w:num w:numId="15">
    <w:abstractNumId w:val="12"/>
  </w:num>
  <w:num w:numId="16">
    <w:abstractNumId w:val="20"/>
  </w:num>
  <w:num w:numId="17">
    <w:abstractNumId w:val="11"/>
  </w:num>
  <w:num w:numId="18">
    <w:abstractNumId w:val="13"/>
  </w:num>
  <w:num w:numId="19">
    <w:abstractNumId w:val="9"/>
  </w:num>
  <w:num w:numId="20">
    <w:abstractNumId w:val="19"/>
  </w:num>
  <w:num w:numId="21">
    <w:abstractNumId w:val="8"/>
  </w:num>
  <w:num w:numId="22">
    <w:abstractNumId w:val="14"/>
  </w:num>
  <w:num w:numId="23">
    <w:abstractNumId w:val="16"/>
  </w:num>
  <w:num w:numId="24">
    <w:abstractNumId w:val="17"/>
  </w:num>
  <w:num w:numId="25">
    <w:abstractNumId w:val="10"/>
  </w:num>
  <w:num w:numId="26">
    <w:abstractNumId w:val="15"/>
  </w:num>
  <w:num w:numId="27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9"/>
  <w:hideSpellingErrors/>
  <w:hideGrammaticalErrors/>
  <w:attachedTemplate r:id="rId1"/>
  <w:revisionView w:markup="0"/>
  <w:documentProtection w:edit="forms" w:enforcement="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09-19 13:17:1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1"/>
    <w:docVar w:name="DQCResult_LinkedStyles" w:val="0;0"/>
    <w:docVar w:name="DQCResult_ModifiedMargins" w:val="0;3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B6FA9F332B764F1F8F5B772977765C52"/>
    <w:docVar w:name="LW_CROSSREFERENCE" w:val="&lt;UNUSED&gt;"/>
    <w:docVar w:name="LW_DocType" w:val="COM"/>
    <w:docVar w:name="LW_EMISSION" w:val="26. 9. 2017"/>
    <w:docVar w:name="LW_EMISSION_ISODATE" w:val="2017-09-26"/>
    <w:docVar w:name="LW_EMISSION_LOCATION" w:val="BRX"/>
    <w:docVar w:name="LW_EMISSION_PREFIX" w:val="V Bruseli"/>
    <w:docVar w:name="LW_EMISSION_SUFFIX" w:val=" "/>
    <w:docVar w:name="LW_ID_DOCMODEL" w:val="SJ-026"/>
    <w:docVar w:name="LW_ID_DOCSIGNATURE" w:val="SJ-026"/>
    <w:docVar w:name="LW_ID_DOCSTRUCTURE" w:val="COM/PL/ORG"/>
    <w:docVar w:name="LW_ID_DOCTYPE" w:val="SJ-026"/>
    <w:docVar w:name="LW_ID_STATUT" w:val="SJ-026"/>
    <w:docVar w:name="LW_INTERETEEE.CP" w:val="&lt;UNUSED&gt;"/>
    <w:docVar w:name="LW_LANGUE" w:val="SK"/>
    <w:docVar w:name="LW_MARKING" w:val="&lt;UNUSED&gt;"/>
    <w:docVar w:name="LW_NOM.INST" w:val="EURÓPSKA KOMISIA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17"/>
    <w:docVar w:name="LW_REF.INST.NEW" w:val="COM"/>
    <w:docVar w:name="LW_REF.INST.NEW_ADOPTED" w:val="final"/>
    <w:docVar w:name="LW_REF.INST.NEW_TEXT" w:val="(2017) 496"/>
    <w:docVar w:name="LW_REF.INTERNE" w:val="&lt;UNUSED&gt;"/>
    <w:docVar w:name="LW_SOUS.TITRE.OBJ.CP" w:val="&lt;UNUSED&gt;"/>
    <w:docVar w:name="LW_STATUT.CP" w:val="Návrh"/>
    <w:docVar w:name="LW_SUPERTITRE" w:val="&lt;UNUSED&gt;"/>
    <w:docVar w:name="LW_TITRE.OBJ.CP" w:val="o mobilizácii Európskeho fondu na prispôsobenie sa globalizácii na základe_x000b_\u382?iadosti Talianska \u8211? EGF/2017/004 IT/Almaviva"/>
    <w:docVar w:name="LW_TYPE.DOC.CP" w:val="ROZHODNUTIE EURÓPSKEHO PARLAMENTU A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1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4"/>
      </w:numPr>
    </w:pPr>
  </w:style>
  <w:style w:type="paragraph" w:customStyle="1" w:styleId="Tiret1">
    <w:name w:val="Tiret 1"/>
    <w:basedOn w:val="Point1"/>
    <w:pPr>
      <w:numPr>
        <w:numId w:val="15"/>
      </w:numPr>
    </w:pPr>
  </w:style>
  <w:style w:type="paragraph" w:customStyle="1" w:styleId="Tiret2">
    <w:name w:val="Tiret 2"/>
    <w:basedOn w:val="Point2"/>
    <w:pPr>
      <w:numPr>
        <w:numId w:val="16"/>
      </w:numPr>
    </w:pPr>
  </w:style>
  <w:style w:type="paragraph" w:customStyle="1" w:styleId="Tiret3">
    <w:name w:val="Tiret 3"/>
    <w:basedOn w:val="Point3"/>
    <w:pPr>
      <w:numPr>
        <w:numId w:val="17"/>
      </w:numPr>
    </w:pPr>
  </w:style>
  <w:style w:type="paragraph" w:customStyle="1" w:styleId="Tiret4">
    <w:name w:val="Tiret 4"/>
    <w:basedOn w:val="Point4"/>
    <w:pPr>
      <w:numPr>
        <w:numId w:val="1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1"/>
      </w:numPr>
    </w:pPr>
  </w:style>
  <w:style w:type="paragraph" w:customStyle="1" w:styleId="Point1number">
    <w:name w:val="Point 1 (number)"/>
    <w:basedOn w:val="Normal"/>
    <w:pPr>
      <w:numPr>
        <w:ilvl w:val="2"/>
        <w:numId w:val="21"/>
      </w:numPr>
    </w:pPr>
  </w:style>
  <w:style w:type="paragraph" w:customStyle="1" w:styleId="Point2number">
    <w:name w:val="Point 2 (number)"/>
    <w:basedOn w:val="Normal"/>
    <w:pPr>
      <w:numPr>
        <w:ilvl w:val="4"/>
        <w:numId w:val="21"/>
      </w:numPr>
    </w:pPr>
  </w:style>
  <w:style w:type="paragraph" w:customStyle="1" w:styleId="Point3number">
    <w:name w:val="Point 3 (number)"/>
    <w:basedOn w:val="Normal"/>
    <w:pPr>
      <w:numPr>
        <w:ilvl w:val="6"/>
        <w:numId w:val="21"/>
      </w:numPr>
    </w:pPr>
  </w:style>
  <w:style w:type="paragraph" w:customStyle="1" w:styleId="Point0letter">
    <w:name w:val="Point 0 (letter)"/>
    <w:basedOn w:val="Normal"/>
    <w:pPr>
      <w:numPr>
        <w:ilvl w:val="1"/>
        <w:numId w:val="21"/>
      </w:numPr>
    </w:pPr>
  </w:style>
  <w:style w:type="paragraph" w:customStyle="1" w:styleId="Point1letter">
    <w:name w:val="Point 1 (letter)"/>
    <w:basedOn w:val="Normal"/>
    <w:pPr>
      <w:numPr>
        <w:ilvl w:val="3"/>
        <w:numId w:val="21"/>
      </w:numPr>
    </w:pPr>
  </w:style>
  <w:style w:type="paragraph" w:customStyle="1" w:styleId="Point2letter">
    <w:name w:val="Point 2 (letter)"/>
    <w:basedOn w:val="Normal"/>
    <w:pPr>
      <w:numPr>
        <w:ilvl w:val="5"/>
        <w:numId w:val="21"/>
      </w:numPr>
    </w:pPr>
  </w:style>
  <w:style w:type="paragraph" w:customStyle="1" w:styleId="Point3letter">
    <w:name w:val="Point 3 (letter)"/>
    <w:basedOn w:val="Normal"/>
    <w:pPr>
      <w:numPr>
        <w:ilvl w:val="7"/>
        <w:numId w:val="21"/>
      </w:numPr>
    </w:pPr>
  </w:style>
  <w:style w:type="paragraph" w:customStyle="1" w:styleId="Point4letter">
    <w:name w:val="Point 4 (letter)"/>
    <w:basedOn w:val="Normal"/>
    <w:pPr>
      <w:numPr>
        <w:ilvl w:val="8"/>
        <w:numId w:val="21"/>
      </w:numPr>
    </w:pPr>
  </w:style>
  <w:style w:type="paragraph" w:customStyle="1" w:styleId="Bullet0">
    <w:name w:val="Bullet 0"/>
    <w:basedOn w:val="Normal"/>
    <w:pPr>
      <w:numPr>
        <w:numId w:val="22"/>
      </w:numPr>
    </w:pPr>
  </w:style>
  <w:style w:type="paragraph" w:customStyle="1" w:styleId="Bullet1">
    <w:name w:val="Bullet 1"/>
    <w:basedOn w:val="Normal"/>
    <w:pPr>
      <w:numPr>
        <w:numId w:val="23"/>
      </w:numPr>
    </w:pPr>
  </w:style>
  <w:style w:type="paragraph" w:customStyle="1" w:styleId="Bullet2">
    <w:name w:val="Bullet 2"/>
    <w:basedOn w:val="Normal"/>
    <w:pPr>
      <w:numPr>
        <w:numId w:val="24"/>
      </w:numPr>
    </w:pPr>
  </w:style>
  <w:style w:type="paragraph" w:customStyle="1" w:styleId="Bullet3">
    <w:name w:val="Bullet 3"/>
    <w:basedOn w:val="Normal"/>
    <w:pPr>
      <w:numPr>
        <w:numId w:val="25"/>
      </w:numPr>
    </w:pPr>
  </w:style>
  <w:style w:type="paragraph" w:customStyle="1" w:styleId="Bullet4">
    <w:name w:val="Bullet 4"/>
    <w:basedOn w:val="Normal"/>
    <w:pPr>
      <w:numPr>
        <w:numId w:val="26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sk-S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k-SK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k-SK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1"/>
      </w:numPr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4"/>
      </w:numPr>
    </w:pPr>
  </w:style>
  <w:style w:type="paragraph" w:customStyle="1" w:styleId="Tiret1">
    <w:name w:val="Tiret 1"/>
    <w:basedOn w:val="Point1"/>
    <w:pPr>
      <w:numPr>
        <w:numId w:val="15"/>
      </w:numPr>
    </w:pPr>
  </w:style>
  <w:style w:type="paragraph" w:customStyle="1" w:styleId="Tiret2">
    <w:name w:val="Tiret 2"/>
    <w:basedOn w:val="Point2"/>
    <w:pPr>
      <w:numPr>
        <w:numId w:val="16"/>
      </w:numPr>
    </w:pPr>
  </w:style>
  <w:style w:type="paragraph" w:customStyle="1" w:styleId="Tiret3">
    <w:name w:val="Tiret 3"/>
    <w:basedOn w:val="Point3"/>
    <w:pPr>
      <w:numPr>
        <w:numId w:val="17"/>
      </w:numPr>
    </w:pPr>
  </w:style>
  <w:style w:type="paragraph" w:customStyle="1" w:styleId="Tiret4">
    <w:name w:val="Tiret 4"/>
    <w:basedOn w:val="Point4"/>
    <w:pPr>
      <w:numPr>
        <w:numId w:val="1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1"/>
      </w:numPr>
    </w:pPr>
  </w:style>
  <w:style w:type="paragraph" w:customStyle="1" w:styleId="Point1number">
    <w:name w:val="Point 1 (number)"/>
    <w:basedOn w:val="Normal"/>
    <w:pPr>
      <w:numPr>
        <w:ilvl w:val="2"/>
        <w:numId w:val="21"/>
      </w:numPr>
    </w:pPr>
  </w:style>
  <w:style w:type="paragraph" w:customStyle="1" w:styleId="Point2number">
    <w:name w:val="Point 2 (number)"/>
    <w:basedOn w:val="Normal"/>
    <w:pPr>
      <w:numPr>
        <w:ilvl w:val="4"/>
        <w:numId w:val="21"/>
      </w:numPr>
    </w:pPr>
  </w:style>
  <w:style w:type="paragraph" w:customStyle="1" w:styleId="Point3number">
    <w:name w:val="Point 3 (number)"/>
    <w:basedOn w:val="Normal"/>
    <w:pPr>
      <w:numPr>
        <w:ilvl w:val="6"/>
        <w:numId w:val="21"/>
      </w:numPr>
    </w:pPr>
  </w:style>
  <w:style w:type="paragraph" w:customStyle="1" w:styleId="Point0letter">
    <w:name w:val="Point 0 (letter)"/>
    <w:basedOn w:val="Normal"/>
    <w:pPr>
      <w:numPr>
        <w:ilvl w:val="1"/>
        <w:numId w:val="21"/>
      </w:numPr>
    </w:pPr>
  </w:style>
  <w:style w:type="paragraph" w:customStyle="1" w:styleId="Point1letter">
    <w:name w:val="Point 1 (letter)"/>
    <w:basedOn w:val="Normal"/>
    <w:pPr>
      <w:numPr>
        <w:ilvl w:val="3"/>
        <w:numId w:val="21"/>
      </w:numPr>
    </w:pPr>
  </w:style>
  <w:style w:type="paragraph" w:customStyle="1" w:styleId="Point2letter">
    <w:name w:val="Point 2 (letter)"/>
    <w:basedOn w:val="Normal"/>
    <w:pPr>
      <w:numPr>
        <w:ilvl w:val="5"/>
        <w:numId w:val="21"/>
      </w:numPr>
    </w:pPr>
  </w:style>
  <w:style w:type="paragraph" w:customStyle="1" w:styleId="Point3letter">
    <w:name w:val="Point 3 (letter)"/>
    <w:basedOn w:val="Normal"/>
    <w:pPr>
      <w:numPr>
        <w:ilvl w:val="7"/>
        <w:numId w:val="21"/>
      </w:numPr>
    </w:pPr>
  </w:style>
  <w:style w:type="paragraph" w:customStyle="1" w:styleId="Point4letter">
    <w:name w:val="Point 4 (letter)"/>
    <w:basedOn w:val="Normal"/>
    <w:pPr>
      <w:numPr>
        <w:ilvl w:val="8"/>
        <w:numId w:val="21"/>
      </w:numPr>
    </w:pPr>
  </w:style>
  <w:style w:type="paragraph" w:customStyle="1" w:styleId="Bullet0">
    <w:name w:val="Bullet 0"/>
    <w:basedOn w:val="Normal"/>
    <w:pPr>
      <w:numPr>
        <w:numId w:val="22"/>
      </w:numPr>
    </w:pPr>
  </w:style>
  <w:style w:type="paragraph" w:customStyle="1" w:styleId="Bullet1">
    <w:name w:val="Bullet 1"/>
    <w:basedOn w:val="Normal"/>
    <w:pPr>
      <w:numPr>
        <w:numId w:val="23"/>
      </w:numPr>
    </w:pPr>
  </w:style>
  <w:style w:type="paragraph" w:customStyle="1" w:styleId="Bullet2">
    <w:name w:val="Bullet 2"/>
    <w:basedOn w:val="Normal"/>
    <w:pPr>
      <w:numPr>
        <w:numId w:val="24"/>
      </w:numPr>
    </w:pPr>
  </w:style>
  <w:style w:type="paragraph" w:customStyle="1" w:styleId="Bullet3">
    <w:name w:val="Bullet 3"/>
    <w:basedOn w:val="Normal"/>
    <w:pPr>
      <w:numPr>
        <w:numId w:val="25"/>
      </w:numPr>
    </w:pPr>
  </w:style>
  <w:style w:type="paragraph" w:customStyle="1" w:styleId="Bullet4">
    <w:name w:val="Bullet 4"/>
    <w:basedOn w:val="Normal"/>
    <w:pPr>
      <w:numPr>
        <w:numId w:val="26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liclavoro.gov.it/Normative/Decreto_Legislativo_26_marzo_2001_n.151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3148B-2952-40B0-9E20-B2C17511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13</Pages>
  <Words>3196</Words>
  <Characters>19021</Characters>
  <Application>Microsoft Office Word</Application>
  <DocSecurity>0</DocSecurity>
  <Lines>500</Lines>
  <Paragraphs>284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17</cp:revision>
  <cp:lastPrinted>2017-08-23T08:53:00Z</cp:lastPrinted>
  <dcterms:created xsi:type="dcterms:W3CDTF">2017-09-13T11:37:00Z</dcterms:created>
  <dcterms:modified xsi:type="dcterms:W3CDTF">2017-09-19T11:17:00Z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5.8.3, Build 20140113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SJ-026</vt:lpwstr>
  </property>
  <property fmtid="{D5CDD505-2E9C-101B-9397-08002B2CF9AE}" pid="10" name="DQCStatus">
    <vt:lpwstr>Green (DQC version 03)</vt:lpwstr>
  </property>
</Properties>
</file>