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5E60932504C42818474FB7ED141C4E5" style="width:450.7pt;height:416.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2013/0304 (COD)</w:t>
      </w:r>
    </w:p>
    <w:p>
      <w:pPr>
        <w:pStyle w:val="Typedudocument"/>
        <w:rPr>
          <w:noProof/>
        </w:rPr>
      </w:pPr>
      <w:r>
        <w:rPr>
          <w:noProof/>
        </w:rPr>
        <w:t>KOMISJONI TEATIS</w:t>
      </w:r>
      <w:r>
        <w:rPr>
          <w:noProof/>
        </w:rPr>
        <w:br/>
        <w:t>EUROOPA PARLAMENDILE,</w:t>
      </w:r>
      <w:r>
        <w:rPr>
          <w:noProof/>
        </w:rPr>
        <w:br/>
      </w:r>
      <w:r>
        <w:rPr>
          <w:noProof/>
        </w:rPr>
        <w:br/>
        <w:t>mis on esitatud Euroopa Liidu toimimise lepingu artikli 294 lõike 6 alusel</w:t>
      </w:r>
      <w:r>
        <w:rPr>
          <w:noProof/>
        </w:rPr>
        <w:br/>
      </w:r>
      <w:r>
        <w:rPr>
          <w:noProof/>
        </w:rPr>
        <w:br/>
        <w:t>ning milles käsitletakse</w:t>
      </w:r>
    </w:p>
    <w:p>
      <w:pPr>
        <w:pStyle w:val="Titreobjet"/>
        <w:rPr>
          <w:noProof/>
        </w:rPr>
      </w:pPr>
      <w:r>
        <w:rPr>
          <w:noProof/>
        </w:rPr>
        <w:t>nõukogu seisukohta seoses Euroopa Parlamendi ja nõukogu direktiivi (millega muudetakse nõukogu raamotsust 2004/757/JSK uute psühhoaktiivsete ainete lisamiseks uimasti määratlusse ja millega tunnistatakse kehtetuks nõukogu otsus 2005/387/JSK) vastuvõtmisega</w:t>
      </w:r>
    </w:p>
    <w:p>
      <w:pPr>
        <w:pStyle w:val="ManualHeading1"/>
        <w:rPr>
          <w:noProof/>
          <w:sz w:val="22"/>
        </w:rPr>
      </w:pPr>
      <w:r>
        <w:rPr>
          <w:noProof/>
        </w:rPr>
        <w:t>1.</w:t>
      </w:r>
      <w:r>
        <w:rPr>
          <w:noProof/>
        </w:rPr>
        <w:tab/>
        <w:t>Taust</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Euroopa Parlamendile ja nõukogule ettepaneku edastamise kuupäev</w:t>
            </w:r>
            <w:r>
              <w:rPr>
                <w:noProof/>
              </w:rPr>
              <w:br/>
              <w:t>(dokument COM(2013) 618 final – 2013/0304 COD):</w:t>
            </w:r>
          </w:p>
        </w:tc>
        <w:tc>
          <w:tcPr>
            <w:tcW w:w="2483" w:type="dxa"/>
          </w:tcPr>
          <w:p>
            <w:pPr>
              <w:jc w:val="left"/>
              <w:rPr>
                <w:noProof/>
              </w:rPr>
            </w:pPr>
            <w:r>
              <w:rPr>
                <w:noProof/>
              </w:rPr>
              <w:t>17.9.2013</w:t>
            </w:r>
            <w:r>
              <w:rPr>
                <w:noProof/>
                <w:color w:val="000000" w:themeColor="text1"/>
              </w:rPr>
              <w:t>.</w:t>
            </w:r>
          </w:p>
        </w:tc>
      </w:tr>
      <w:tr>
        <w:tc>
          <w:tcPr>
            <w:tcW w:w="6804" w:type="dxa"/>
          </w:tcPr>
          <w:p>
            <w:pPr>
              <w:rPr>
                <w:noProof/>
              </w:rPr>
            </w:pPr>
            <w:r>
              <w:rPr>
                <w:noProof/>
              </w:rPr>
              <w:t>Euroopa Majandus- ja Sotsiaalkomitee arvamuse kuupäev (ELT C 177, 11.6.2014, lk 52).</w:t>
            </w:r>
          </w:p>
        </w:tc>
        <w:tc>
          <w:tcPr>
            <w:tcW w:w="2483" w:type="dxa"/>
          </w:tcPr>
          <w:p>
            <w:pPr>
              <w:jc w:val="left"/>
              <w:rPr>
                <w:noProof/>
              </w:rPr>
            </w:pPr>
            <w:r>
              <w:rPr>
                <w:noProof/>
              </w:rPr>
              <w:t>21.1.2014.</w:t>
            </w:r>
          </w:p>
        </w:tc>
      </w:tr>
      <w:tr>
        <w:tc>
          <w:tcPr>
            <w:tcW w:w="6804" w:type="dxa"/>
          </w:tcPr>
          <w:p>
            <w:pPr>
              <w:rPr>
                <w:noProof/>
              </w:rPr>
            </w:pPr>
            <w:r>
              <w:rPr>
                <w:noProof/>
              </w:rPr>
              <w:t>Euroopa Parlamendi seisukoha kuupäev, esimene lugemine:</w:t>
            </w:r>
          </w:p>
        </w:tc>
        <w:tc>
          <w:tcPr>
            <w:tcW w:w="2483" w:type="dxa"/>
          </w:tcPr>
          <w:p>
            <w:pPr>
              <w:jc w:val="left"/>
              <w:rPr>
                <w:noProof/>
              </w:rPr>
            </w:pPr>
            <w:r>
              <w:rPr>
                <w:noProof/>
              </w:rPr>
              <w:t>17.4.2014.</w:t>
            </w:r>
          </w:p>
        </w:tc>
      </w:tr>
      <w:tr>
        <w:tc>
          <w:tcPr>
            <w:tcW w:w="6804" w:type="dxa"/>
          </w:tcPr>
          <w:p>
            <w:pPr>
              <w:rPr>
                <w:noProof/>
              </w:rPr>
            </w:pPr>
            <w:r>
              <w:rPr>
                <w:noProof/>
              </w:rPr>
              <w:t>Muudetud ettepaneku edastamise kuupäev:</w:t>
            </w:r>
          </w:p>
        </w:tc>
        <w:tc>
          <w:tcPr>
            <w:tcW w:w="2483" w:type="dxa"/>
          </w:tcPr>
          <w:p>
            <w:pPr>
              <w:jc w:val="left"/>
              <w:rPr>
                <w:noProof/>
              </w:rPr>
            </w:pPr>
            <w:r>
              <w:rPr>
                <w:noProof/>
              </w:rPr>
              <w:t>ei kohaldata.</w:t>
            </w:r>
          </w:p>
        </w:tc>
      </w:tr>
      <w:tr>
        <w:tc>
          <w:tcPr>
            <w:tcW w:w="6804" w:type="dxa"/>
          </w:tcPr>
          <w:p>
            <w:pPr>
              <w:rPr>
                <w:noProof/>
              </w:rPr>
            </w:pPr>
            <w:r>
              <w:rPr>
                <w:noProof/>
              </w:rPr>
              <w:t>Nõukogu seisukoha vastuvõtmise kuupäev:</w:t>
            </w:r>
          </w:p>
        </w:tc>
        <w:tc>
          <w:tcPr>
            <w:tcW w:w="2483" w:type="dxa"/>
          </w:tcPr>
          <w:p>
            <w:pPr>
              <w:jc w:val="left"/>
              <w:rPr>
                <w:noProof/>
              </w:rPr>
            </w:pPr>
            <w:r>
              <w:rPr>
                <w:noProof/>
              </w:rPr>
              <w:t>25.9.2017.</w:t>
            </w:r>
          </w:p>
        </w:tc>
      </w:tr>
    </w:tbl>
    <w:p>
      <w:pPr>
        <w:pStyle w:val="ManualHeading1"/>
        <w:rPr>
          <w:noProof/>
        </w:rPr>
      </w:pPr>
      <w:r>
        <w:rPr>
          <w:noProof/>
        </w:rPr>
        <w:t>2.</w:t>
      </w:r>
      <w:r>
        <w:rPr>
          <w:noProof/>
        </w:rPr>
        <w:tab/>
        <w:t>Komisjoni ettepaneku eesmärk</w:t>
      </w:r>
    </w:p>
    <w:p>
      <w:pPr>
        <w:pBdr>
          <w:top w:val="nil"/>
          <w:left w:val="nil"/>
          <w:bottom w:val="nil"/>
          <w:right w:val="nil"/>
          <w:between w:val="nil"/>
          <w:bar w:val="nil"/>
        </w:pBdr>
        <w:spacing w:before="0" w:after="240"/>
        <w:rPr>
          <w:rFonts w:eastAsia="Arial Unicode MS"/>
          <w:noProof/>
        </w:rPr>
      </w:pPr>
      <w:r>
        <w:rPr>
          <w:noProof/>
        </w:rPr>
        <w:t>Direktiiv kuulub kahest seadusandlikust ettepanekust koosnevasse paketti, mis käsitleb uusi psühhoaktiivseid ained ja mille komisjon esitas 17. septembril 2013: ettepanek võtta vastu määrus uute psühhoaktiivsete ainete kohta</w:t>
      </w:r>
      <w:r>
        <w:rPr>
          <w:rStyle w:val="FootnoteReference"/>
          <w:noProof/>
        </w:rPr>
        <w:footnoteReference w:id="1"/>
      </w:r>
      <w:r>
        <w:rPr>
          <w:noProof/>
        </w:rPr>
        <w:t xml:space="preserve"> ja ettepanek võtta vastu direktiiv, millega muudetakse nõukogu 25. oktoobri 2004. aasta raamotsust 2004/757/JSK (millega kehtestatakse miinimumeeskirjad ebaseadusliku uimastiäri kuriteokoosseisu ja karistuste kohta) uimasti määratluse osas</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Paketi eesmärk oli vähendada ohtu kujutavate uute psühhoaktiivsete ainete kättesaadavust kiirema ja tulemuslikuma tegutsemisega liidu tasandil, võrreldes praegu kasutusel oleva süsteemiga, mis põhineb nõukogu 10. mai 2005. aasta otsusel 2005/387/JSK uusi psühhoaktiivseid aineid käsitleva teabe vahetuse, riski hindamise ja kontrolli kohta</w:t>
      </w:r>
      <w:r>
        <w:rPr>
          <w:rStyle w:val="FootnoteReference"/>
          <w:noProof/>
        </w:rPr>
        <w:footnoteReference w:id="3"/>
      </w:r>
      <w:r>
        <w:rPr>
          <w:noProof/>
        </w:rPr>
        <w:t>.</w:t>
      </w:r>
    </w:p>
    <w:p>
      <w:pPr>
        <w:pStyle w:val="ManualHeading1"/>
        <w:rPr>
          <w:noProof/>
        </w:rPr>
      </w:pPr>
      <w:r>
        <w:rPr>
          <w:noProof/>
        </w:rPr>
        <w:lastRenderedPageBreak/>
        <w:t>3.</w:t>
      </w:r>
      <w:r>
        <w:rPr>
          <w:noProof/>
        </w:rPr>
        <w:tab/>
        <w:t>Märkused nõukogu seisukoha kohta</w:t>
      </w:r>
    </w:p>
    <w:p>
      <w:pPr>
        <w:pBdr>
          <w:top w:val="nil"/>
          <w:left w:val="nil"/>
          <w:bottom w:val="nil"/>
          <w:right w:val="nil"/>
          <w:between w:val="nil"/>
          <w:bar w:val="nil"/>
        </w:pBdr>
        <w:spacing w:before="0" w:after="240"/>
        <w:rPr>
          <w:rFonts w:eastAsia="Arial Unicode MS"/>
          <w:noProof/>
        </w:rPr>
      </w:pPr>
      <w:r>
        <w:rPr>
          <w:noProof/>
        </w:rPr>
        <w:t>Läbirääkimised selle õigusaktide paketi üle on kestnud juba enam kui neli aastat. Ettepanekute läbivaatamisel nõukogus väljendasid liikmesriigid kahtlust seoses Euroopa Liidu toimimise lepingu artikli 114 valimisega määruse ettepaneku õiguslikuks aluseks. Selleks et saavutada sama eesmärki kiiremate ja tulemuslikumate ELi tasandi meetmetega uute psühhoaktiivsete ainete suhtes, kiitis alaliste esindajate komitee (COREPER) 6. aprillil 2016</w:t>
      </w:r>
      <w:r>
        <w:rPr>
          <w:rStyle w:val="FootnoteReference"/>
          <w:noProof/>
        </w:rPr>
        <w:footnoteReference w:id="4"/>
      </w:r>
      <w:r>
        <w:rPr>
          <w:noProof/>
        </w:rPr>
        <w:t xml:space="preserve"> heaks eesistujariigi pakutud uue lähenemisviisi.</w:t>
      </w:r>
    </w:p>
    <w:p>
      <w:pPr>
        <w:pBdr>
          <w:top w:val="nil"/>
          <w:left w:val="nil"/>
          <w:bottom w:val="nil"/>
          <w:right w:val="nil"/>
          <w:between w:val="nil"/>
          <w:bar w:val="nil"/>
        </w:pBdr>
        <w:spacing w:before="0" w:after="240"/>
        <w:rPr>
          <w:rFonts w:eastAsia="Arial Unicode MS"/>
          <w:noProof/>
        </w:rPr>
      </w:pPr>
      <w:r>
        <w:rPr>
          <w:noProof/>
        </w:rPr>
        <w:t>Selles uues lähenemisviisis jäeti uusi psühhoaktiivseid aineid käsitlevas komisjoni 2013. aasta määruse ettepanekus pakutud tuginemine Euroopa Liidu toimimise lepingu artiklile 114 kõrvale. Uusi psühhoaktiivseid aineid käsitleva komisjoni 2013. aasta määruse ettepaneku sätted lisati ühelt poolt nõukogu raamotsust 2004/757/JSK muutva direktiivi teksti ja teiselt poolt komisjonilt palutud uue ettepaneku teksti, millega muudetakse Narkootikumide ja Narkomaania Seirekeskuse (EMCDDA) asutamismäärust (määrus nr 1920/2006). Komisjon võttis ettepaneku (millega muudetakse määrust nr 1920/2006 seoses uusi psühhoaktiivseid aineid käsitleva teabevahetuse, varajase hoiatamise süsteemi ja riskihindamismenetlusega) vastu 29. augustil 2016</w:t>
      </w:r>
      <w:r>
        <w:rPr>
          <w:rStyle w:val="FootnoteReference"/>
          <w:noProof/>
        </w:rPr>
        <w:footnoteReference w:id="5"/>
      </w:r>
      <w:r>
        <w:rPr>
          <w:noProof/>
        </w:rPr>
        <w:t>. 2013. aastal määruse vastuvõtmiseks tehtud ettepanek uute psühhoaktiivsete ainete kohta võeti komisjoni 2017. aasta tööprogrammi raames tagasi.</w:t>
      </w:r>
    </w:p>
    <w:p>
      <w:pPr>
        <w:widowControl w:val="0"/>
        <w:rPr>
          <w:noProof/>
        </w:rPr>
      </w:pPr>
      <w:r>
        <w:rPr>
          <w:noProof/>
        </w:rPr>
        <w:t>Kaasseadusandjad jõudsid kolmepoolsel kohtumisel 29. mail 2017 paketis poliitilisele kokkuleppele ja alaliste esindajate komitee kiitis selle heaks 31. mail 2017 ning kodanikuvabaduste, justiits- ja siseasjade komisjon 8. juunil 2017.</w:t>
      </w:r>
    </w:p>
    <w:p>
      <w:pPr>
        <w:widowControl w:val="0"/>
        <w:rPr>
          <w:noProof/>
        </w:rPr>
      </w:pPr>
      <w:r>
        <w:rPr>
          <w:noProof/>
        </w:rPr>
        <w:t>Eespool nimetatud lähenemisviisist lähtuvalt on direktiivi teksti, võrreldes komisjoni 2013. aasta direktiivi ettepanekuga, millega muudetakse nõukogu 25. oktoobri 2004. aasta raamotsust 2004/757/JSK, tehtud olulisi muudatusi. Eelkõige hõlmab direktiiv nüüd ka sätteid, mis käsitlevad uute psühhoaktiivsete ainete määratlust ja nende ainete suhtes kiiret otsusetegemist liidu tasandil. Ained, mis kvalifitseeruvad uute psühhoaktiivsete ainetena, on loetletud raamotsuse 2004/757/JSK uues lisas, mida komisjonil on õigus delegeeritud õigusaktiga muuta, et lisada uimasti määratlusse uusi psühhoaktiivseid aineid. Kõik lisas loetletud ained on reguleeritud raamotsuses sätestatud kriminaalõiguse normidega kooskõlas raamlepingu õigusliku aluse ehk Euroopa Liidu toimimise lepingu artikli 83 lõikega 1. Pakett vastab võrreldes praegu kasutusel oleva süsteemiga aga jätkuvalt komisjoni algsele eesmärgile vähendada ohtu kujutavate uute psühhoaktiivsete ainete kättesaadavust kiirema ja tulemuslikuma tegutsemisega liidu tasandil.</w:t>
      </w:r>
    </w:p>
    <w:p>
      <w:pPr>
        <w:pStyle w:val="ManualHeading1"/>
        <w:rPr>
          <w:noProof/>
        </w:rPr>
      </w:pPr>
      <w:r>
        <w:rPr>
          <w:noProof/>
        </w:rPr>
        <w:t>4.</w:t>
      </w:r>
      <w:r>
        <w:rPr>
          <w:noProof/>
        </w:rPr>
        <w:tab/>
        <w:t>Kokkuvõte</w:t>
      </w:r>
    </w:p>
    <w:p>
      <w:pPr>
        <w:rPr>
          <w:noProof/>
        </w:rPr>
      </w:pPr>
      <w:r>
        <w:rPr>
          <w:noProof/>
        </w:rPr>
        <w:t>Komisjon toetab täielikult nõukogu seisukohta, sest see vastab jätkuvalt komisjoni algsele eesmärgile.</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COM(2013) 619 final.</w:t>
      </w:r>
    </w:p>
  </w:footnote>
  <w:footnote w:id="2">
    <w:p>
      <w:pPr>
        <w:pStyle w:val="FootnoteText"/>
        <w:rPr>
          <w:lang w:val="pt-PT"/>
        </w:rPr>
      </w:pPr>
      <w:r>
        <w:rPr>
          <w:rStyle w:val="FootnoteReference"/>
        </w:rPr>
        <w:footnoteRef/>
      </w:r>
      <w:r>
        <w:tab/>
        <w:t>COM(2013) 618 final.</w:t>
      </w:r>
    </w:p>
  </w:footnote>
  <w:footnote w:id="3">
    <w:p>
      <w:pPr>
        <w:pStyle w:val="FootnoteText"/>
      </w:pPr>
      <w:r>
        <w:rPr>
          <w:rStyle w:val="FootnoteReference"/>
        </w:rPr>
        <w:footnoteRef/>
      </w:r>
      <w:r>
        <w:tab/>
        <w:t>ELT L 127, 10.5.2005, lk 32. Eri poliitikavalikuid on analüüsitud kummagi ettepanekuga kaasnevas mõjuhinnangus (SWD(2013) 319 final).</w:t>
      </w:r>
    </w:p>
  </w:footnote>
  <w:footnote w:id="4">
    <w:p>
      <w:pPr>
        <w:pStyle w:val="FootnoteText"/>
      </w:pPr>
      <w:r>
        <w:rPr>
          <w:rStyle w:val="FootnoteReference"/>
        </w:rPr>
        <w:footnoteRef/>
      </w:r>
      <w:r>
        <w:tab/>
        <w:t>Kokkuvõttev protokoll, nõukogu 27. mai 2016. aasta dokument 7908/1/16 REV 1.</w:t>
      </w:r>
    </w:p>
  </w:footnote>
  <w:footnote w:id="5">
    <w:p>
      <w:pPr>
        <w:pStyle w:val="FootnoteText"/>
        <w:rPr>
          <w:lang w:val="de-DE"/>
        </w:rPr>
      </w:pPr>
      <w:r>
        <w:rPr>
          <w:rStyle w:val="FootnoteReference"/>
        </w:rPr>
        <w:footnoteRef/>
      </w:r>
      <w:r>
        <w:tab/>
        <w:t>COM(2016) 547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5AAD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F72CD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30AB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EBC3D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CBC15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D0A3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B6E1FA"/>
    <w:lvl w:ilvl="0">
      <w:start w:val="1"/>
      <w:numFmt w:val="decimal"/>
      <w:pStyle w:val="ListNumber"/>
      <w:lvlText w:val="%1."/>
      <w:lvlJc w:val="left"/>
      <w:pPr>
        <w:tabs>
          <w:tab w:val="num" w:pos="360"/>
        </w:tabs>
        <w:ind w:left="360" w:hanging="360"/>
      </w:pPr>
    </w:lvl>
  </w:abstractNum>
  <w:abstractNum w:abstractNumId="7">
    <w:nsid w:val="FFFFFF89"/>
    <w:multiLevelType w:val="singleLevel"/>
    <w:tmpl w:val="372879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25 14:02: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5E60932504C42818474FB7ED141C4E5"/>
    <w:docVar w:name="LW_CROSSREFERENCE" w:val="&lt;UNUSED&gt;"/>
    <w:docVar w:name="LW_DocType" w:val="COM"/>
    <w:docVar w:name="LW_EMISSION" w:val="27.9.2017"/>
    <w:docVar w:name="LW_EMISSION_ISODATE" w:val="2017-09-27"/>
    <w:docVar w:name="LW_EMISSION_LOCATION" w:val="BRX"/>
    <w:docVar w:name="LW_EMISSION_PREFIX" w:val="Brüssel,"/>
    <w:docVar w:name="LW_EMISSION_SUFFIX" w:val=" "/>
    <w:docVar w:name="LW_ID_DOCMODEL" w:val="SJ-028"/>
    <w:docVar w:name="LW_ID_DOCSTRUCTURE" w:val="COM/PL/CODEC"/>
    <w:docVar w:name="LW_ID_DOCTYPE" w:val="SJ-028"/>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304"/>
    <w:docVar w:name="LW_REF.II.NEW.CP_YEAR" w:val="2013"/>
    <w:docVar w:name="LW_REF.INST.NEW" w:val="COM"/>
    <w:docVar w:name="LW_REF.INST.NEW_ADOPTED" w:val="final"/>
    <w:docVar w:name="LW_REF.INST.NEW_TEXT" w:val="(2017) 560"/>
    <w:docVar w:name="LW_REF.INTERNE" w:val="&lt;UNUSED&gt;"/>
    <w:docVar w:name="LW_SOUS.TITRE.OBJ.CP" w:val="&lt;UNUSED&gt;"/>
    <w:docVar w:name="LW_SUPERTITRE" w:val="&lt;UNUSED&gt;"/>
    <w:docVar w:name="LW_TITRE.OBJ.CP" w:val="nõukogu seisukohta seoses Euroopa Parlamendi ja nõukogu direktiivi (millega muudetakse nõukogu raamotsust 2004/757/JSK uute psühhoaktiivsete ainete lisamiseks uimasti määratlusse ja millega tunnistatakse kehtetuks nõukogu otsus 2005/387/JSK) vastuvõtmisega"/>
    <w:docVar w:name="LW_TYPE.DOC.CP" w:val="KOMISJONI TEATIS_x000b_EUROOPA PARLAMENDILE,_x000b__x000b_mis on esitatud Euroopa Liidu toimimise lepingu artikli 294 lõike 6 alusel_x000b__x000b_ning milles käsitletak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18D2-F624-442B-8270-F3FA9A5E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Pages>
  <Words>522</Words>
  <Characters>3927</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2017-09-11T09:24:00Z</cp:lastPrinted>
  <dcterms:created xsi:type="dcterms:W3CDTF">2017-09-20T06:22:00Z</dcterms:created>
  <dcterms:modified xsi:type="dcterms:W3CDTF">2017-09-25T12:02:00Z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