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3C98641995F4B07A19F1E96733FC58A" style="width:450.45pt;height:395.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rPr>
                <w:rFonts w:ascii="Tahoma" w:hAnsi="Tahoma" w:cs="Tahoma"/>
                <w:b/>
                <w:noProof/>
              </w:rPr>
            </w:pPr>
            <w:bookmarkStart w:id="1" w:name="_GoBack"/>
            <w:bookmarkEnd w:id="1"/>
            <w:r>
              <w:rPr>
                <w:rFonts w:ascii="Tahoma" w:hAnsi="Tahoma"/>
                <w:b/>
                <w:noProof/>
              </w:rPr>
              <w:lastRenderedPageBreak/>
              <w:t>Kopsavilkums</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rPr>
            </w:pPr>
            <w:r>
              <w:rPr>
                <w:rFonts w:ascii="Tahoma" w:hAnsi="Tahoma"/>
                <w:b/>
                <w:noProof/>
              </w:rPr>
              <w:t>Ietekmes novērtējums: Regulas (EK) Nr. 1371/2007 par dzelzceļa pasažieru tiesībām un pienākumiem pārskatīšana</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b/>
                <w:noProof/>
              </w:rPr>
              <w:t>A. Rīcības nepieciešamība</w:t>
            </w:r>
          </w:p>
        </w:tc>
      </w:tr>
      <w:tr>
        <w:tc>
          <w:tcPr>
            <w:tcW w:w="10188" w:type="dxa"/>
            <w:tcBorders>
              <w:bottom w:val="single" w:sz="4" w:space="0" w:color="auto"/>
            </w:tcBorders>
            <w:shd w:val="clear" w:color="auto" w:fill="E0E0E0"/>
          </w:tcPr>
          <w:p>
            <w:pPr>
              <w:pStyle w:val="Default"/>
              <w:jc w:val="both"/>
              <w:rPr>
                <w:rFonts w:ascii="Tahoma" w:hAnsi="Tahoma" w:cs="Tahoma"/>
                <w:noProof/>
                <w:sz w:val="20"/>
                <w:szCs w:val="20"/>
              </w:rPr>
            </w:pPr>
            <w:r>
              <w:rPr>
                <w:rFonts w:ascii="Tahoma" w:hAnsi="Tahoma"/>
                <w:b/>
                <w:noProof/>
                <w:sz w:val="20"/>
              </w:rPr>
              <w:t xml:space="preserve">Problēmas būtība un nozīme ES mērogā </w:t>
            </w:r>
          </w:p>
        </w:tc>
      </w:tr>
      <w:tr>
        <w:trPr>
          <w:trHeight w:val="1293"/>
        </w:trP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 xml:space="preserve">Galvenās ar regulu saistītās problēmas ir pārmērīgie nacionālie atbrīvojumi, tiesības pasažieriem ar invaliditāti vai ierobežotām pārvietošanās spējām, nepietiekama informācija, tranzīta biļešu pārdošana, sūdzību izskatīšana, izpildes panākšana, diskriminācija pēc valstspiederības un kompensācijas </w:t>
            </w:r>
            <w:r>
              <w:rPr>
                <w:rFonts w:ascii="Tahoma" w:hAnsi="Tahoma"/>
                <w:i/>
                <w:noProof/>
              </w:rPr>
              <w:t>force majeure</w:t>
            </w:r>
            <w:r>
              <w:rPr>
                <w:rFonts w:ascii="Tahoma" w:hAnsi="Tahoma"/>
                <w:noProof/>
              </w:rPr>
              <w:t xml:space="preserve"> gadījumos. Šīs problēmas nelabvēlīgi ietekmē vienoto tirgu un apgrūtina noteikumu izpildes konsekventu panākšanu. Liberalizētā ES dzelzceļa tirgū tās var izpausties vēl krasāk.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Sasniedzamie mērķi </w:t>
            </w:r>
          </w:p>
        </w:tc>
      </w:tr>
      <w:tr>
        <w:tc>
          <w:tcPr>
            <w:tcW w:w="10188" w:type="dxa"/>
            <w:tcBorders>
              <w:bottom w:val="single" w:sz="4" w:space="0" w:color="auto"/>
            </w:tcBorders>
            <w:shd w:val="clear" w:color="auto" w:fill="auto"/>
          </w:tcPr>
          <w:p>
            <w:pPr>
              <w:numPr>
                <w:ilvl w:val="0"/>
                <w:numId w:val="1"/>
              </w:numPr>
              <w:ind w:left="709" w:hanging="425"/>
              <w:jc w:val="both"/>
              <w:rPr>
                <w:rFonts w:ascii="Tahoma" w:hAnsi="Tahoma" w:cs="Tahoma"/>
                <w:noProof/>
              </w:rPr>
            </w:pPr>
            <w:r>
              <w:rPr>
                <w:rFonts w:ascii="Tahoma" w:hAnsi="Tahoma"/>
                <w:noProof/>
              </w:rPr>
              <w:t>Nodrošināt dzelzceļa lietotājiem Eiropas Savienībā vienlīdzīgas un plašākas tiesības un</w:t>
            </w:r>
          </w:p>
          <w:p>
            <w:pPr>
              <w:numPr>
                <w:ilvl w:val="0"/>
                <w:numId w:val="1"/>
              </w:numPr>
              <w:ind w:left="709" w:hanging="425"/>
              <w:jc w:val="both"/>
              <w:rPr>
                <w:rFonts w:ascii="Tahoma" w:hAnsi="Tahoma" w:cs="Tahoma"/>
                <w:noProof/>
              </w:rPr>
            </w:pPr>
            <w:r>
              <w:rPr>
                <w:rFonts w:ascii="Tahoma" w:hAnsi="Tahoma"/>
                <w:noProof/>
              </w:rPr>
              <w:t>kāpināt dzelzceļa sektora konkurētspēju, tajā pašā laikā nelabvēlīgi neietekmējot pasažieru tiesības.</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Kāda ir ES līmeņa rīcības pievienotā vērtība (subsidiaritāte)? </w:t>
            </w:r>
          </w:p>
        </w:tc>
      </w:tr>
      <w:t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Pašreizējā regula ir visnotaļ plaši interpretējama, un tas liedz nodrošināt konsekventu pasažieru aizsardzību ES. Dalībvalstis šo problēmu nevar atrisināt, rīkodamās vienas pašas. Tāpēc būtu lietderīga ES līmeņa rīcība.</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b/>
                <w:noProof/>
              </w:rPr>
              <w:t>B. Risinājumi</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Risinājuma varianti izvirzīto mērķu sasniegšanai. Vēlamais risinājums (ja ir). Iemesli (ja nav). </w:t>
            </w:r>
          </w:p>
        </w:tc>
      </w:tr>
      <w:tr>
        <w:trPr>
          <w:trHeight w:val="1125"/>
        </w:trPr>
        <w:tc>
          <w:tcPr>
            <w:tcW w:w="10188" w:type="dxa"/>
            <w:tcBorders>
              <w:bottom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258"/>
            </w:tblGrid>
            <w:tr>
              <w:trPr>
                <w:trHeight w:val="854"/>
              </w:trPr>
              <w:tc>
                <w:tcPr>
                  <w:tcW w:w="1350" w:type="pct"/>
                  <w:tcBorders>
                    <w:top w:val="double" w:sz="4" w:space="0" w:color="auto"/>
                    <w:left w:val="double" w:sz="4" w:space="0" w:color="auto"/>
                    <w:bottom w:val="double" w:sz="4" w:space="0" w:color="auto"/>
                    <w:right w:val="double" w:sz="4" w:space="0" w:color="auto"/>
                  </w:tcBorders>
                  <w:shd w:val="clear" w:color="auto" w:fill="auto"/>
                  <w:vAlign w:val="center"/>
                </w:tcPr>
                <w:p>
                  <w:pPr>
                    <w:rPr>
                      <w:rFonts w:ascii="Tahoma" w:hAnsi="Tahoma" w:cs="Tahoma"/>
                      <w:noProof/>
                      <w:sz w:val="20"/>
                      <w:szCs w:val="20"/>
                    </w:rPr>
                  </w:pPr>
                  <w:r>
                    <w:rPr>
                      <w:rFonts w:ascii="Tahoma" w:hAnsi="Tahoma"/>
                      <w:noProof/>
                      <w:sz w:val="20"/>
                    </w:rPr>
                    <w:t>Atbrīvojumi</w:t>
                  </w:r>
                </w:p>
              </w:tc>
              <w:tc>
                <w:tcPr>
                  <w:tcW w:w="3650" w:type="pct"/>
                  <w:tcBorders>
                    <w:top w:val="double" w:sz="4" w:space="0" w:color="auto"/>
                    <w:left w:val="double" w:sz="4" w:space="0" w:color="auto"/>
                    <w:bottom w:val="double" w:sz="4" w:space="0" w:color="auto"/>
                    <w:right w:val="double" w:sz="4" w:space="0" w:color="auto"/>
                  </w:tcBorders>
                  <w:shd w:val="clear" w:color="auto" w:fill="auto"/>
                  <w:vAlign w:val="center"/>
                </w:tcPr>
                <w:p>
                  <w:pPr>
                    <w:ind w:left="28"/>
                    <w:rPr>
                      <w:rFonts w:ascii="Tahoma" w:hAnsi="Tahoma" w:cs="Tahoma"/>
                      <w:noProof/>
                      <w:sz w:val="20"/>
                      <w:szCs w:val="20"/>
                    </w:rPr>
                  </w:pPr>
                  <w:r>
                    <w:rPr>
                      <w:rFonts w:ascii="Tahoma" w:hAnsi="Tahoma"/>
                      <w:noProof/>
                      <w:sz w:val="20"/>
                    </w:rPr>
                    <w:t>- Līdz ar 2020. gadu atcelt atbrīvojumus attiecībā uz iekšzemes tālsatiksmes pārvadājumiem;</w:t>
                  </w:r>
                  <w:r>
                    <w:rPr>
                      <w:rFonts w:ascii="Tahoma" w:eastAsia="Calibri" w:hAnsi="Tahoma" w:cs="Tahoma"/>
                      <w:noProof/>
                      <w:sz w:val="20"/>
                      <w:szCs w:val="20"/>
                    </w:rPr>
                    <w:br/>
                  </w:r>
                  <w:r>
                    <w:rPr>
                      <w:rFonts w:ascii="Tahoma" w:hAnsi="Tahoma"/>
                      <w:noProof/>
                      <w:sz w:val="20"/>
                    </w:rPr>
                    <w:t>- ierobežot atbrīvojumus attiecībā uz pārvadājumiem uz valstīm ārpus ES;</w:t>
                  </w:r>
                  <w:r>
                    <w:rPr>
                      <w:rFonts w:ascii="Tahoma" w:eastAsia="Calibri" w:hAnsi="Tahoma" w:cs="Tahoma"/>
                      <w:noProof/>
                      <w:sz w:val="20"/>
                      <w:szCs w:val="20"/>
                    </w:rPr>
                    <w:br/>
                  </w:r>
                  <w:r>
                    <w:rPr>
                      <w:rFonts w:ascii="Tahoma" w:hAnsi="Tahoma"/>
                      <w:noProof/>
                      <w:sz w:val="20"/>
                    </w:rPr>
                    <w:t>- atcelt atbrīvojumus attiecībā uz pilsētas, piepilsētas un reģionālajiem pārrobežu pārvadājumiem.</w:t>
                  </w:r>
                </w:p>
              </w:tc>
            </w:tr>
            <w:tr>
              <w:trPr>
                <w:trHeight w:val="20"/>
              </w:trPr>
              <w:tc>
                <w:tcPr>
                  <w:tcW w:w="1350" w:type="pct"/>
                  <w:tcBorders>
                    <w:top w:val="double" w:sz="4" w:space="0" w:color="auto"/>
                    <w:left w:val="double" w:sz="4" w:space="0" w:color="auto"/>
                  </w:tcBorders>
                  <w:shd w:val="clear" w:color="auto" w:fill="auto"/>
                  <w:vAlign w:val="center"/>
                </w:tcPr>
                <w:p>
                  <w:pPr>
                    <w:rPr>
                      <w:rFonts w:ascii="Tahoma" w:hAnsi="Tahoma" w:cs="Tahoma"/>
                      <w:noProof/>
                      <w:sz w:val="20"/>
                      <w:szCs w:val="20"/>
                    </w:rPr>
                  </w:pPr>
                  <w:r>
                    <w:rPr>
                      <w:rFonts w:ascii="Tahoma" w:hAnsi="Tahoma"/>
                      <w:noProof/>
                      <w:sz w:val="20"/>
                    </w:rPr>
                    <w:t>Tiesības personām ar ierobežotām pārvietošanās spējām (PIPS)</w:t>
                  </w:r>
                </w:p>
              </w:tc>
              <w:tc>
                <w:tcPr>
                  <w:tcW w:w="3650" w:type="pct"/>
                  <w:tcBorders>
                    <w:top w:val="double" w:sz="4" w:space="0" w:color="auto"/>
                    <w:right w:val="double" w:sz="4" w:space="0" w:color="auto"/>
                  </w:tcBorders>
                  <w:shd w:val="clear" w:color="auto" w:fill="auto"/>
                  <w:vAlign w:val="center"/>
                </w:tcPr>
                <w:p>
                  <w:pPr>
                    <w:jc w:val="both"/>
                    <w:rPr>
                      <w:rFonts w:ascii="Tahoma" w:eastAsia="Calibri" w:hAnsi="Tahoma" w:cs="Tahoma"/>
                      <w:noProof/>
                      <w:sz w:val="20"/>
                      <w:szCs w:val="20"/>
                    </w:rPr>
                  </w:pPr>
                  <w:r>
                    <w:rPr>
                      <w:rFonts w:ascii="Tahoma" w:hAnsi="Tahoma"/>
                      <w:noProof/>
                      <w:sz w:val="20"/>
                    </w:rPr>
                    <w:t>Jauni noteikumi, ar ko uzlabo PIPS piekļuvi dzelzceļa pakalpojumiem un informācijai</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Informācija</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Jauni noteikumi, ar ko uzlabo pasažieru informēšanu</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Tranzīta biļešu pārdošana</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 xml:space="preserve">Skaidrāki noteikumi par tranzīta biļetēm </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Sūdzību izskatīšana un izpildes panākšana</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Skaidrāki noteikumi par sūdzību izskatīšanu VIS un VIS sadarbību</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Diskriminācija</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Jauna nediskriminēšanas klauzula</w:t>
                  </w:r>
                </w:p>
              </w:tc>
            </w:tr>
            <w:tr>
              <w:trPr>
                <w:trHeight w:val="20"/>
              </w:trPr>
              <w:tc>
                <w:tcPr>
                  <w:tcW w:w="1350" w:type="pct"/>
                  <w:tcBorders>
                    <w:left w:val="double" w:sz="4" w:space="0" w:color="auto"/>
                    <w:bottom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i/>
                      <w:noProof/>
                      <w:sz w:val="20"/>
                    </w:rPr>
                    <w:t xml:space="preserve">Force majeure </w:t>
                  </w:r>
                </w:p>
              </w:tc>
              <w:tc>
                <w:tcPr>
                  <w:tcW w:w="3650" w:type="pct"/>
                  <w:tcBorders>
                    <w:bottom w:val="double" w:sz="4" w:space="0" w:color="auto"/>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Klauzula, ar kuru dzelzceļa uzņēmumi tiek atbrīvoti no pienākuma maksāt kompensāciju par kavējumiem, ko izraisījuši bargi klimatiskie apstākļi vai dabas katastrofas un ko nav bijis iespējams paredzēt vai novērst.</w:t>
                  </w:r>
                </w:p>
              </w:tc>
            </w:tr>
          </w:tbl>
          <w:p>
            <w:pPr>
              <w:jc w:val="both"/>
              <w:rPr>
                <w:rFonts w:ascii="Tahoma" w:hAnsi="Tahoma" w:cs="Tahoma"/>
                <w:noProof/>
              </w:rPr>
            </w:pPr>
          </w:p>
        </w:tc>
      </w:tr>
      <w:tr>
        <w:tc>
          <w:tcPr>
            <w:tcW w:w="10188" w:type="dxa"/>
            <w:shd w:val="clear" w:color="auto" w:fill="E6E6E6"/>
          </w:tcPr>
          <w:p>
            <w:pPr>
              <w:pStyle w:val="Default"/>
              <w:jc w:val="both"/>
              <w:rPr>
                <w:rFonts w:ascii="Tahoma" w:hAnsi="Tahoma" w:cs="Tahoma"/>
                <w:b/>
                <w:bCs/>
                <w:noProof/>
                <w:sz w:val="20"/>
                <w:szCs w:val="20"/>
              </w:rPr>
            </w:pPr>
            <w:r>
              <w:rPr>
                <w:rFonts w:ascii="Tahoma" w:hAnsi="Tahoma"/>
                <w:b/>
                <w:noProof/>
                <w:sz w:val="20"/>
              </w:rPr>
              <w:t xml:space="preserve">Ieinteresēto personu viedokļi. Atbalsts konkrētiem risinājumiem </w:t>
            </w:r>
          </w:p>
        </w:tc>
      </w:tr>
      <w:tr>
        <w:tc>
          <w:tcPr>
            <w:tcW w:w="10188" w:type="dxa"/>
            <w:shd w:val="clear" w:color="auto" w:fill="auto"/>
          </w:tcPr>
          <w:p>
            <w:pPr>
              <w:jc w:val="both"/>
              <w:rPr>
                <w:rFonts w:ascii="Tahoma" w:hAnsi="Tahoma" w:cs="Tahoma"/>
                <w:noProof/>
              </w:rPr>
            </w:pPr>
            <w:r>
              <w:rPr>
                <w:rFonts w:ascii="Tahoma" w:hAnsi="Tahoma"/>
                <w:noProof/>
              </w:rPr>
              <w:t xml:space="preserve">Vairums dalībvalstu un dzelzceļa uzņēmumu skeptiski raugās uz atbrīvojumu atcelšanu. Iedzīvotāji atbalsta atbrīvojumu ierobežošanu un pasākumus, kas stiprina pasažieru tiesības. Vairums ieinteresēto personu atbalsta skaidrākus noteikumus, piem., par palīdzību, sūdzību izskatīšanu un izpildes panākšanu. Vairums dzelzceļa uzņēmumu un dalībvalstu atbalsta </w:t>
            </w:r>
            <w:r>
              <w:rPr>
                <w:rFonts w:ascii="Tahoma" w:hAnsi="Tahoma"/>
                <w:i/>
                <w:noProof/>
              </w:rPr>
              <w:t>force majeure</w:t>
            </w:r>
            <w:r>
              <w:rPr>
                <w:rFonts w:ascii="Tahoma" w:hAnsi="Tahoma"/>
                <w:noProof/>
              </w:rPr>
              <w:t xml:space="preserve"> klauzulu, bet iedzīvotāji ir pret to.</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b/>
                <w:noProof/>
              </w:rPr>
              <w:t>C. Vēlamā risinājuma varianta ietekme.</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Kādus ieguvumus nodrošinās vēlamais risinājums (ja tāds ir, pretējā gadījumā — galvenie risinājumi)? </w:t>
            </w:r>
          </w:p>
        </w:tc>
      </w:tr>
      <w:tr>
        <w:trPr>
          <w:trHeight w:val="1339"/>
        </w:trP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Vēlamo risinājumu kombinācija atspoguļo līdzsvarotu pieeju potenciāli pretišķīgiem rīcībpolitikas mērķiem. Atbrīvojumu samazināšana palielinās pasažieru aizsardzību un tiesisko noteiktību. Uzlabojumi jomās, kas skar PIPS, iedrošinās šos ļaudis izmantot dzelzceļu un tādējādi veicinās viņu sociālo iekļaušanu. Skaidri noteikumi par tranzīta biļešu pārdošanu uzlabos pasažieru tiesības savienotajos reisos.</w:t>
            </w:r>
            <w:r>
              <w:rPr>
                <w:rFonts w:ascii="Tahoma" w:hAnsi="Tahoma"/>
                <w:i/>
                <w:noProof/>
              </w:rPr>
              <w:t xml:space="preserve"> Force majeure</w:t>
            </w:r>
            <w:r>
              <w:rPr>
                <w:rFonts w:ascii="Tahoma" w:hAnsi="Tahoma"/>
                <w:noProof/>
              </w:rPr>
              <w:t xml:space="preserve"> klauzula nodrošinās juridisku taisnīgumu un samērīgumu.</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Vēlamā risinājuma (ja tāds ir, pretējā gadījumā — galveno risinājumu) izmaksas </w:t>
            </w:r>
          </w:p>
        </w:tc>
      </w:tr>
      <w:tr>
        <w:tc>
          <w:tcPr>
            <w:tcW w:w="10188" w:type="dxa"/>
            <w:tcBorders>
              <w:bottom w:val="single" w:sz="4" w:space="0" w:color="auto"/>
            </w:tcBorders>
            <w:shd w:val="clear" w:color="auto" w:fill="auto"/>
          </w:tcPr>
          <w:p>
            <w:pPr>
              <w:jc w:val="both"/>
              <w:rPr>
                <w:rFonts w:ascii="Tahoma" w:hAnsi="Tahoma" w:cs="Tahoma"/>
                <w:i/>
                <w:noProof/>
              </w:rPr>
            </w:pPr>
            <w:r>
              <w:rPr>
                <w:rFonts w:ascii="Tahoma" w:hAnsi="Tahoma"/>
                <w:noProof/>
              </w:rPr>
              <w:t xml:space="preserve">Paredzams, ka 15 gadu laikā dzelzceļa uzņēmumu izmaksas palielināsies par 4,98 % salīdzinājumā ar bāzes scenāriju.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lastRenderedPageBreak/>
              <w:t xml:space="preserve">Ietekme uz MVU un konkurētspēju </w:t>
            </w:r>
          </w:p>
        </w:tc>
      </w:tr>
      <w:tr>
        <w:tc>
          <w:tcPr>
            <w:tcW w:w="10188" w:type="dxa"/>
            <w:tcBorders>
              <w:bottom w:val="single" w:sz="4" w:space="0" w:color="auto"/>
            </w:tcBorders>
            <w:shd w:val="clear" w:color="auto" w:fill="auto"/>
          </w:tcPr>
          <w:p>
            <w:pPr>
              <w:jc w:val="both"/>
              <w:rPr>
                <w:rFonts w:ascii="Tahoma" w:hAnsi="Tahoma" w:cs="Tahoma"/>
                <w:i/>
                <w:noProof/>
              </w:rPr>
            </w:pPr>
            <w:r>
              <w:rPr>
                <w:rFonts w:ascii="Tahoma" w:hAnsi="Tahoma"/>
                <w:noProof/>
              </w:rPr>
              <w:t>Paredzams, ka ietekme uz MVU būs tikai netieša un ierobežota.</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Vai tiks būtiski ietekmēti valstu budžeti un pārvaldes iestādes? </w:t>
            </w:r>
          </w:p>
        </w:tc>
      </w:tr>
      <w:tr>
        <w:tc>
          <w:tcPr>
            <w:tcW w:w="10188" w:type="dxa"/>
            <w:shd w:val="clear" w:color="auto" w:fill="auto"/>
          </w:tcPr>
          <w:p>
            <w:pPr>
              <w:jc w:val="both"/>
              <w:rPr>
                <w:rFonts w:ascii="Tahoma" w:hAnsi="Tahoma" w:cs="Tahoma"/>
                <w:noProof/>
              </w:rPr>
            </w:pPr>
            <w:r>
              <w:rPr>
                <w:rFonts w:ascii="Tahoma" w:hAnsi="Tahoma"/>
                <w:noProof/>
              </w:rPr>
              <w:t xml:space="preserve">Paredzama neliela ietekme, jo VIS būs lielāka loma izpildes panākšanā un sūdzību izskatīšanā.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Vai būs kāda cita būtiska ietekme? </w:t>
            </w:r>
          </w:p>
        </w:tc>
      </w:tr>
      <w:t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 xml:space="preserve">Nav paredzama nekāda cita būtiska papildu ietekme.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Proporcionalitāte </w:t>
            </w:r>
          </w:p>
        </w:tc>
      </w:tr>
      <w:tr>
        <w:tc>
          <w:tcPr>
            <w:tcW w:w="10188" w:type="dxa"/>
            <w:shd w:val="clear" w:color="auto" w:fill="auto"/>
          </w:tcPr>
          <w:p>
            <w:pPr>
              <w:jc w:val="both"/>
              <w:rPr>
                <w:rFonts w:ascii="Tahoma" w:hAnsi="Tahoma" w:cs="Tahoma"/>
                <w:i/>
                <w:noProof/>
              </w:rPr>
            </w:pPr>
            <w:r>
              <w:rPr>
                <w:rFonts w:ascii="Tahoma" w:hAnsi="Tahoma"/>
                <w:noProof/>
              </w:rPr>
              <w:t xml:space="preserve">Pašreizējā nesaskanīgā noteikumu piemērošana kavē vienotā tirgus attīstību un liedz saskaņot pasažieru tiesību aizsardzības līmeni ES. Panākt vēlamo rezultātu ar vadlīnijām vien nav izdevies. </w:t>
            </w:r>
          </w:p>
        </w:tc>
      </w:tr>
      <w:tr>
        <w:tc>
          <w:tcPr>
            <w:tcW w:w="10188" w:type="dxa"/>
            <w:tcBorders>
              <w:bottom w:val="single" w:sz="4" w:space="0" w:color="auto"/>
            </w:tcBorders>
            <w:shd w:val="clear" w:color="auto" w:fill="C0C0C0"/>
          </w:tcPr>
          <w:p>
            <w:pPr>
              <w:rPr>
                <w:rFonts w:ascii="Tahoma" w:hAnsi="Tahoma" w:cs="Tahoma"/>
                <w:b/>
                <w:noProof/>
              </w:rPr>
            </w:pPr>
            <w:r>
              <w:rPr>
                <w:rFonts w:ascii="Tahoma" w:hAnsi="Tahoma"/>
                <w:b/>
                <w:noProof/>
              </w:rPr>
              <w:t>D. Turpmākie pasākumi.</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Politikas pārskatīšanas termiņš </w:t>
            </w:r>
          </w:p>
        </w:tc>
      </w:tr>
      <w:tr>
        <w:tc>
          <w:tcPr>
            <w:tcW w:w="10188" w:type="dxa"/>
            <w:tcBorders>
              <w:bottom w:val="single" w:sz="4" w:space="0" w:color="auto"/>
            </w:tcBorders>
            <w:shd w:val="clear" w:color="auto" w:fill="auto"/>
          </w:tcPr>
          <w:p>
            <w:pPr>
              <w:jc w:val="both"/>
              <w:rPr>
                <w:rFonts w:ascii="Tahoma" w:hAnsi="Tahoma" w:cs="Tahoma"/>
                <w:b/>
                <w:noProof/>
              </w:rPr>
            </w:pPr>
            <w:r>
              <w:rPr>
                <w:rFonts w:ascii="Tahoma" w:hAnsi="Tahoma"/>
                <w:noProof/>
              </w:rPr>
              <w:t>Komisija jaunās regulas īstenošanu izvērtēs piecus gadus pēc tās stāšanās spēkā.</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98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44E"/>
    <w:multiLevelType w:val="hybridMultilevel"/>
    <w:tmpl w:val="81C4D7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6B47F7"/>
    <w:multiLevelType w:val="hybridMultilevel"/>
    <w:tmpl w:val="A8D6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F1C6062"/>
    <w:multiLevelType w:val="hybridMultilevel"/>
    <w:tmpl w:val="A8D6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
    <w:docVar w:name="LW_CORRIGENDUM" w:val="&lt;UNUSED&gt;"/>
    <w:docVar w:name="LW_COVERPAGE_GUID" w:val="23C98641995F4B07A19F1E96733FC58A"/>
    <w:docVar w:name="LW_CROSSREFERENCE" w:val="{COM(2017) 548 final}_x000b_{SWD(2017) 318 final}"/>
    <w:docVar w:name="LW_DocType" w:val="NORMAL"/>
    <w:docVar w:name="LW_EMISSION" w:val="27.9.2017"/>
    <w:docVar w:name="LW_EMISSION_ISODATE" w:val="2017-09-27"/>
    <w:docVar w:name="LW_EMISSION_LOCATION" w:val="BRX"/>
    <w:docVar w:name="LW_EMISSION_PREFIX" w:val="Briselē, "/>
    <w:docVar w:name="LW_EMISSION_SUFFIX" w:val="."/>
    <w:docVar w:name="LW_ID_DOCTYPE_NONLW" w:val="CP-027"/>
    <w:docVar w:name="LW_LANGUE" w:val="LV"/>
    <w:docVar w:name="LW_MARKING" w:val="&lt;UNUSED&gt;"/>
    <w:docVar w:name="LW_NOM.INST" w:val="EIROPAS KOMISIJA"/>
    <w:docVar w:name="LW_NOM.INST_JOINTDOC" w:val="&lt;EMPTY&gt;"/>
    <w:docVar w:name="LW_OBJETACTEPRINCIPAL.CP" w:val="par dzelzce\u316?a pasa\u382?ieru ties\u299?b\u257?m un pien\u257?kumiem (p\u257?rstr\u257?d\u257?ta redakcija)"/>
    <w:docVar w:name="LW_PART_NBR" w:val="1"/>
    <w:docVar w:name="LW_PART_NBR_TOTAL" w:val="1"/>
    <w:docVar w:name="LW_REF.INST.NEW" w:val="SWD"/>
    <w:docVar w:name="LW_REF.INST.NEW_ADOPTED" w:val="final"/>
    <w:docVar w:name="LW_REF.INST.NEW_TEXT" w:val="(2017) 317"/>
    <w:docVar w:name="LW_REF.INTERNE" w:val="&lt;UNUSED&gt;"/>
    <w:docVar w:name="LW_SUPERTITRE" w:val="&lt;UNUSED&gt;"/>
    <w:docVar w:name="LW_TITRE.OBJ.CP" w:val="&lt;UNUSED&gt;"/>
    <w:docVar w:name="LW_TYPE.DOC.CP" w:val="KOMISIJAS DIENESTU DARBA DOKUMENTS_x000b__x000b_IETEKMES NOV\u274?RT\u274?JUMA KOPSAVILKUMS_x000b_"/>
    <w:docVar w:name="LW_TYPEACTEPRINCIPAL.CP" w:val="Priek\u353?likums Eiropas Parlamenta un Padomes regulai"/>
    <w:docVar w:name="Stamp" w:val="\\dossiers.dgt.cec.eu.int\dossiers\MOVE\MOVE-2017-00669\MOVE-2017-00669-00-02-EN-REV-00.20170626091559689799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0"/>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0"/>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519</Words>
  <Characters>3720</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2017-07-17T15:29:00Z</dcterms:created>
  <dcterms:modified xsi:type="dcterms:W3CDTF">2017-09-26T14:15:00Z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