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A43FB9262474B3A8BF956F27D199FF5" style="width:450.4pt;height:422.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rPr>
                <w:rFonts w:ascii="Tahoma" w:hAnsi="Tahoma" w:cs="Tahoma"/>
                <w:b/>
                <w:noProof/>
              </w:rPr>
            </w:pPr>
            <w:bookmarkStart w:id="1" w:name="_GoBack"/>
            <w:bookmarkEnd w:id="1"/>
            <w:r>
              <w:rPr>
                <w:rFonts w:ascii="Tahoma" w:hAnsi="Tahoma"/>
                <w:b/>
                <w:noProof/>
              </w:rPr>
              <w:lastRenderedPageBreak/>
              <w:t>Samenvatting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rPr>
            </w:pPr>
            <w:r>
              <w:rPr>
                <w:rFonts w:ascii="Tahoma" w:hAnsi="Tahoma"/>
                <w:b/>
                <w:noProof/>
              </w:rPr>
              <w:t>Effectbeoordeling: herziening van Verordening (EG) nr. 1371/2007 inzake de rechten en verplichtingen van reizigers in het spoorvervoer</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b/>
                <w:noProof/>
              </w:rPr>
              <w:t>A. Behoefte aan actie</w:t>
            </w:r>
          </w:p>
        </w:tc>
      </w:tr>
      <w:tr>
        <w:tc>
          <w:tcPr>
            <w:tcW w:w="10188" w:type="dxa"/>
            <w:tcBorders>
              <w:bottom w:val="single" w:sz="4" w:space="0" w:color="auto"/>
            </w:tcBorders>
            <w:shd w:val="clear" w:color="auto" w:fill="E0E0E0"/>
          </w:tcPr>
          <w:p>
            <w:pPr>
              <w:pStyle w:val="Default"/>
              <w:jc w:val="both"/>
              <w:rPr>
                <w:rFonts w:ascii="Tahoma" w:hAnsi="Tahoma" w:cs="Tahoma"/>
                <w:noProof/>
                <w:sz w:val="20"/>
                <w:szCs w:val="20"/>
              </w:rPr>
            </w:pPr>
            <w:r>
              <w:rPr>
                <w:rFonts w:ascii="Tahoma" w:hAnsi="Tahoma"/>
                <w:b/>
                <w:noProof/>
                <w:sz w:val="20"/>
              </w:rPr>
              <w:t xml:space="preserve">Wat is het probleem en waarom is het een probleem op EU-niveau? </w:t>
            </w:r>
          </w:p>
        </w:tc>
      </w:tr>
      <w:tr>
        <w:trPr>
          <w:trHeight w:val="1293"/>
        </w:trP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 xml:space="preserve">De belangrijkste problemen met de verordening houden verband met buitensporige nationale vrijstellingen, de rechten van passagiers met een handicap of met beperkte mobiliteit, ontoereikende informatie, rechtstreekse vervoersbewijzen, behandeling van klachten, discriminatie op basis van nationaliteit en vergoedingen na gebeurtenissen die te wijten zijn aan overmacht. Deze problemen hebben een negatief effect op de interne markt en staan consequente handhaving in de weg. Het gevaar bestaat dat ze nog groter worden in een geliberaliseerde EU-spoorwegmarkt.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Wat is het streefdoel? </w:t>
            </w:r>
          </w:p>
        </w:tc>
      </w:tr>
      <w:tr>
        <w:tc>
          <w:tcPr>
            <w:tcW w:w="10188" w:type="dxa"/>
            <w:tcBorders>
              <w:bottom w:val="single" w:sz="4" w:space="0" w:color="auto"/>
            </w:tcBorders>
            <w:shd w:val="clear" w:color="auto" w:fill="auto"/>
          </w:tcPr>
          <w:p>
            <w:pPr>
              <w:numPr>
                <w:ilvl w:val="0"/>
                <w:numId w:val="1"/>
              </w:numPr>
              <w:ind w:left="709" w:hanging="425"/>
              <w:jc w:val="both"/>
              <w:rPr>
                <w:rFonts w:ascii="Tahoma" w:hAnsi="Tahoma" w:cs="Tahoma"/>
                <w:noProof/>
              </w:rPr>
            </w:pPr>
            <w:r>
              <w:rPr>
                <w:rFonts w:ascii="Tahoma" w:hAnsi="Tahoma"/>
                <w:noProof/>
              </w:rPr>
              <w:t>gelijke en versterkte rechten voor spoorgebruikers in de EU bevorderen; en</w:t>
            </w:r>
          </w:p>
          <w:p>
            <w:pPr>
              <w:numPr>
                <w:ilvl w:val="0"/>
                <w:numId w:val="1"/>
              </w:numPr>
              <w:ind w:left="709" w:hanging="425"/>
              <w:jc w:val="both"/>
              <w:rPr>
                <w:rFonts w:ascii="Tahoma" w:hAnsi="Tahoma" w:cs="Tahoma"/>
                <w:noProof/>
              </w:rPr>
            </w:pPr>
            <w:r>
              <w:rPr>
                <w:rFonts w:ascii="Tahoma" w:hAnsi="Tahoma"/>
                <w:noProof/>
              </w:rPr>
              <w:t>het concurrentievermogen van de spoorwegsector verbeteren zonder nadelige gevolgen voor de passagiersrechten.</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Wat is de meerwaarde van EU-maatregelen (subsidiariteit)? </w:t>
            </w:r>
          </w:p>
        </w:tc>
      </w:tr>
      <w:t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De huidige verordening laat ruimte voor interpretatie, waardoor een consequent niveau van passagiersbescherming in de hele EU wordt belemmerd. De lidstaten kunnen deze problemen niet alleen oplossen. Optreden van de EU lijkt dan ook passend.</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b/>
                <w:noProof/>
              </w:rPr>
              <w:t>B. Oplossingen</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Welke opties dienen zich aan? Is er een voorkeursoptie? Zo neen, waarom niet? </w:t>
            </w:r>
          </w:p>
        </w:tc>
      </w:tr>
      <w:tr>
        <w:trPr>
          <w:trHeight w:val="1125"/>
        </w:trPr>
        <w:tc>
          <w:tcPr>
            <w:tcW w:w="10188" w:type="dxa"/>
            <w:tcBorders>
              <w:bottom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258"/>
            </w:tblGrid>
            <w:tr>
              <w:trPr>
                <w:trHeight w:val="854"/>
              </w:trPr>
              <w:tc>
                <w:tcPr>
                  <w:tcW w:w="1350" w:type="pct"/>
                  <w:tcBorders>
                    <w:top w:val="double" w:sz="4" w:space="0" w:color="auto"/>
                    <w:left w:val="double" w:sz="4" w:space="0" w:color="auto"/>
                    <w:bottom w:val="double" w:sz="4" w:space="0" w:color="auto"/>
                    <w:right w:val="double" w:sz="4" w:space="0" w:color="auto"/>
                  </w:tcBorders>
                  <w:shd w:val="clear" w:color="auto" w:fill="auto"/>
                  <w:vAlign w:val="center"/>
                </w:tcPr>
                <w:p>
                  <w:pPr>
                    <w:rPr>
                      <w:rFonts w:ascii="Tahoma" w:hAnsi="Tahoma" w:cs="Tahoma"/>
                      <w:noProof/>
                      <w:sz w:val="20"/>
                      <w:szCs w:val="20"/>
                    </w:rPr>
                  </w:pPr>
                  <w:r>
                    <w:rPr>
                      <w:rFonts w:ascii="Tahoma" w:hAnsi="Tahoma"/>
                      <w:noProof/>
                      <w:sz w:val="20"/>
                    </w:rPr>
                    <w:t>Vrijstellingen</w:t>
                  </w:r>
                </w:p>
              </w:tc>
              <w:tc>
                <w:tcPr>
                  <w:tcW w:w="3650" w:type="pct"/>
                  <w:tcBorders>
                    <w:top w:val="double" w:sz="4" w:space="0" w:color="auto"/>
                    <w:left w:val="double" w:sz="4" w:space="0" w:color="auto"/>
                    <w:bottom w:val="double" w:sz="4" w:space="0" w:color="auto"/>
                    <w:right w:val="double" w:sz="4" w:space="0" w:color="auto"/>
                  </w:tcBorders>
                  <w:shd w:val="clear" w:color="auto" w:fill="auto"/>
                  <w:vAlign w:val="center"/>
                </w:tcPr>
                <w:p>
                  <w:pPr>
                    <w:ind w:left="28"/>
                    <w:rPr>
                      <w:rFonts w:ascii="Tahoma" w:hAnsi="Tahoma" w:cs="Tahoma"/>
                      <w:noProof/>
                      <w:sz w:val="20"/>
                      <w:szCs w:val="20"/>
                    </w:rPr>
                  </w:pPr>
                  <w:r>
                    <w:rPr>
                      <w:rFonts w:ascii="Tahoma" w:hAnsi="Tahoma"/>
                      <w:noProof/>
                      <w:sz w:val="20"/>
                    </w:rPr>
                    <w:t>- Vrijstellingen voor binnenlandse langeafstandsdiensten opheffen tegen 2020</w:t>
                  </w:r>
                  <w:r>
                    <w:rPr>
                      <w:rFonts w:ascii="Tahoma" w:eastAsia="Calibri" w:hAnsi="Tahoma" w:cs="Tahoma"/>
                      <w:noProof/>
                      <w:sz w:val="20"/>
                      <w:szCs w:val="20"/>
                    </w:rPr>
                    <w:br/>
                  </w:r>
                  <w:r>
                    <w:rPr>
                      <w:rFonts w:ascii="Tahoma" w:hAnsi="Tahoma"/>
                      <w:noProof/>
                      <w:sz w:val="20"/>
                    </w:rPr>
                    <w:t>- Vrijstellingen voor diensten met niet-EU-landen beperken</w:t>
                  </w:r>
                  <w:r>
                    <w:rPr>
                      <w:rFonts w:ascii="Tahoma" w:eastAsia="Calibri" w:hAnsi="Tahoma" w:cs="Tahoma"/>
                      <w:noProof/>
                      <w:sz w:val="20"/>
                      <w:szCs w:val="20"/>
                    </w:rPr>
                    <w:br/>
                  </w:r>
                  <w:r>
                    <w:rPr>
                      <w:rFonts w:ascii="Tahoma" w:hAnsi="Tahoma"/>
                      <w:noProof/>
                      <w:sz w:val="20"/>
                    </w:rPr>
                    <w:t>- Vrijstellingen voor grensoverschrijdende stads-, voorstads- en regionale diensten opheffen</w:t>
                  </w:r>
                </w:p>
              </w:tc>
            </w:tr>
            <w:tr>
              <w:trPr>
                <w:trHeight w:val="20"/>
              </w:trPr>
              <w:tc>
                <w:tcPr>
                  <w:tcW w:w="1350" w:type="pct"/>
                  <w:tcBorders>
                    <w:top w:val="double" w:sz="4" w:space="0" w:color="auto"/>
                    <w:left w:val="double" w:sz="4" w:space="0" w:color="auto"/>
                  </w:tcBorders>
                  <w:shd w:val="clear" w:color="auto" w:fill="auto"/>
                  <w:vAlign w:val="center"/>
                </w:tcPr>
                <w:p>
                  <w:pPr>
                    <w:rPr>
                      <w:rFonts w:ascii="Tahoma" w:hAnsi="Tahoma" w:cs="Tahoma"/>
                      <w:noProof/>
                      <w:sz w:val="20"/>
                      <w:szCs w:val="20"/>
                    </w:rPr>
                  </w:pPr>
                  <w:r>
                    <w:rPr>
                      <w:rFonts w:ascii="Tahoma" w:hAnsi="Tahoma"/>
                      <w:noProof/>
                      <w:sz w:val="20"/>
                    </w:rPr>
                    <w:t>Rechten van personen met beperkte mobiliteit</w:t>
                  </w:r>
                </w:p>
              </w:tc>
              <w:tc>
                <w:tcPr>
                  <w:tcW w:w="3650" w:type="pct"/>
                  <w:tcBorders>
                    <w:top w:val="double" w:sz="4" w:space="0" w:color="auto"/>
                    <w:right w:val="double" w:sz="4" w:space="0" w:color="auto"/>
                  </w:tcBorders>
                  <w:shd w:val="clear" w:color="auto" w:fill="auto"/>
                  <w:vAlign w:val="center"/>
                </w:tcPr>
                <w:p>
                  <w:pPr>
                    <w:jc w:val="both"/>
                    <w:rPr>
                      <w:rFonts w:ascii="Tahoma" w:eastAsia="Calibri" w:hAnsi="Tahoma" w:cs="Tahoma"/>
                      <w:noProof/>
                      <w:sz w:val="20"/>
                      <w:szCs w:val="20"/>
                    </w:rPr>
                  </w:pPr>
                  <w:r>
                    <w:rPr>
                      <w:rFonts w:ascii="Tahoma" w:hAnsi="Tahoma"/>
                      <w:noProof/>
                      <w:sz w:val="20"/>
                    </w:rPr>
                    <w:t>Nieuwe regels om de toegang van personen met beperkte mobiliteit tot spoorwegdiensten en informatie te verbeteren</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Informatie</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Nieuwe regels om de informatie aan passagiers te verbeteren</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Rechtstreekse vervoersbewijzen</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 xml:space="preserve">Duidelijker regels omtrent rechtstreekse vervoersbewijzen </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Behandeling van klachten en handhaving</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Duidelijker regels voor de behandeling van klachten door en samenwerking tussen nationale handhavingsinstanties</w:t>
                  </w:r>
                </w:p>
              </w:tc>
            </w:tr>
            <w:tr>
              <w:trPr>
                <w:trHeight w:val="20"/>
              </w:trPr>
              <w:tc>
                <w:tcPr>
                  <w:tcW w:w="1350" w:type="pct"/>
                  <w:tcBorders>
                    <w:left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noProof/>
                      <w:sz w:val="20"/>
                    </w:rPr>
                    <w:t>Discriminatie</w:t>
                  </w:r>
                </w:p>
              </w:tc>
              <w:tc>
                <w:tcPr>
                  <w:tcW w:w="3650" w:type="pct"/>
                  <w:tcBorders>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Nieuwe non-discriminatiebepaling</w:t>
                  </w:r>
                </w:p>
              </w:tc>
            </w:tr>
            <w:tr>
              <w:trPr>
                <w:trHeight w:val="20"/>
              </w:trPr>
              <w:tc>
                <w:tcPr>
                  <w:tcW w:w="1350" w:type="pct"/>
                  <w:tcBorders>
                    <w:left w:val="double" w:sz="4" w:space="0" w:color="auto"/>
                    <w:bottom w:val="double" w:sz="4" w:space="0" w:color="auto"/>
                  </w:tcBorders>
                  <w:shd w:val="clear" w:color="auto" w:fill="auto"/>
                  <w:vAlign w:val="center"/>
                </w:tcPr>
                <w:p>
                  <w:pPr>
                    <w:pStyle w:val="ListParagraph"/>
                    <w:ind w:left="29"/>
                    <w:jc w:val="left"/>
                    <w:rPr>
                      <w:rFonts w:ascii="Tahoma" w:hAnsi="Tahoma" w:cs="Tahoma"/>
                      <w:noProof/>
                      <w:sz w:val="20"/>
                      <w:szCs w:val="20"/>
                    </w:rPr>
                  </w:pPr>
                  <w:r>
                    <w:rPr>
                      <w:rFonts w:ascii="Tahoma" w:hAnsi="Tahoma"/>
                      <w:i/>
                      <w:noProof/>
                      <w:sz w:val="20"/>
                    </w:rPr>
                    <w:t xml:space="preserve">Overmacht </w:t>
                  </w:r>
                </w:p>
              </w:tc>
              <w:tc>
                <w:tcPr>
                  <w:tcW w:w="3650" w:type="pct"/>
                  <w:tcBorders>
                    <w:bottom w:val="double" w:sz="4" w:space="0" w:color="auto"/>
                    <w:right w:val="double" w:sz="4" w:space="0" w:color="auto"/>
                  </w:tcBorders>
                  <w:shd w:val="clear" w:color="auto" w:fill="auto"/>
                  <w:vAlign w:val="center"/>
                </w:tcPr>
                <w:p>
                  <w:pPr>
                    <w:pStyle w:val="ListParagraph"/>
                    <w:ind w:left="0"/>
                    <w:rPr>
                      <w:rFonts w:ascii="Tahoma" w:hAnsi="Tahoma" w:cs="Tahoma"/>
                      <w:noProof/>
                      <w:sz w:val="20"/>
                      <w:szCs w:val="20"/>
                    </w:rPr>
                  </w:pPr>
                  <w:r>
                    <w:rPr>
                      <w:rFonts w:ascii="Tahoma" w:hAnsi="Tahoma"/>
                      <w:noProof/>
                      <w:sz w:val="20"/>
                    </w:rPr>
                    <w:t>Bepaling die spoorwegondernemingen vrijstelt van de verplichting om een vergoeding te betalen voor vertragingen die worden veroorzaakt door zeer slechte weersomstandigheden of natuurrampen die niet konden worden voorzien of voorkomen</w:t>
                  </w:r>
                </w:p>
              </w:tc>
            </w:tr>
          </w:tbl>
          <w:p>
            <w:pPr>
              <w:jc w:val="both"/>
              <w:rPr>
                <w:rFonts w:ascii="Tahoma" w:hAnsi="Tahoma" w:cs="Tahoma"/>
                <w:noProof/>
              </w:rPr>
            </w:pPr>
          </w:p>
        </w:tc>
      </w:tr>
      <w:tr>
        <w:tc>
          <w:tcPr>
            <w:tcW w:w="10188" w:type="dxa"/>
            <w:shd w:val="clear" w:color="auto" w:fill="E6E6E6"/>
          </w:tcPr>
          <w:p>
            <w:pPr>
              <w:pStyle w:val="Default"/>
              <w:jc w:val="both"/>
              <w:rPr>
                <w:rFonts w:ascii="Tahoma" w:hAnsi="Tahoma" w:cs="Tahoma"/>
                <w:b/>
                <w:bCs/>
                <w:noProof/>
                <w:sz w:val="20"/>
                <w:szCs w:val="20"/>
              </w:rPr>
            </w:pPr>
            <w:r>
              <w:rPr>
                <w:rFonts w:ascii="Tahoma" w:hAnsi="Tahoma"/>
                <w:b/>
                <w:noProof/>
                <w:sz w:val="20"/>
              </w:rPr>
              <w:t xml:space="preserve">Wat is het standpunt van de diverse belanghebbenden? Wie steunt welke optie? </w:t>
            </w:r>
          </w:p>
        </w:tc>
      </w:tr>
      <w:tr>
        <w:tc>
          <w:tcPr>
            <w:tcW w:w="10188" w:type="dxa"/>
            <w:shd w:val="clear" w:color="auto" w:fill="auto"/>
          </w:tcPr>
          <w:p>
            <w:pPr>
              <w:jc w:val="both"/>
              <w:rPr>
                <w:rFonts w:ascii="Tahoma" w:hAnsi="Tahoma" w:cs="Tahoma"/>
                <w:noProof/>
              </w:rPr>
            </w:pPr>
            <w:r>
              <w:rPr>
                <w:rFonts w:ascii="Tahoma" w:hAnsi="Tahoma"/>
                <w:noProof/>
              </w:rPr>
              <w:t>De meeste lidstaten en spoorwegondernemingen staan afkerig tegenover de opheffing van de vrijstellingen. De burgers zijn voorstander van een beperking van de vrijstellingen en steunen maatregelen om de passagiersrechten te versterken. De meeste belanghebbenden zijn voorstander van duidelijker regels, bijv. inzake bijstand, klachtenbehandeling en handhaving. De meeste spoorwegondernemingen en lidstaten zijn voorstander van een overmachtsbepaling, de meeste burgers niet.</w:t>
            </w:r>
          </w:p>
        </w:tc>
      </w:tr>
      <w:tr>
        <w:tc>
          <w:tcPr>
            <w:tcW w:w="10188" w:type="dxa"/>
            <w:tcBorders>
              <w:bottom w:val="single" w:sz="4" w:space="0" w:color="auto"/>
            </w:tcBorders>
            <w:shd w:val="clear" w:color="auto" w:fill="CCCCCC"/>
          </w:tcPr>
          <w:p>
            <w:pPr>
              <w:rPr>
                <w:rFonts w:ascii="Tahoma" w:hAnsi="Tahoma" w:cs="Tahoma"/>
                <w:b/>
                <w:noProof/>
              </w:rPr>
            </w:pPr>
            <w:r>
              <w:rPr>
                <w:rFonts w:ascii="Tahoma" w:hAnsi="Tahoma"/>
                <w:b/>
                <w:noProof/>
              </w:rPr>
              <w:t>C. Effecten van de voorkeursoptie</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Wat zijn de voordelen van de voorkeursoptie (indien er een voorkeur is, anders van de belangrijkste opties)? </w:t>
            </w:r>
          </w:p>
        </w:tc>
      </w:tr>
      <w:tr>
        <w:trPr>
          <w:trHeight w:val="1339"/>
        </w:trP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De combinatie van voorkeursopties vormt een evenwichtige aanpak van de potentieel tegenstrijdige beleidsdoelstellingen. Een beperking van de vrijstellingen zorgt voor een betere passagiersbescherming en meer rechtszekerheid. Verbeteringen voor personen met beperkte mobiliteit zal deze personen ertoe aanzetten per spoor te reizen en zal hun sociale integratie bevorderen. Duidelijker regels inzake rechtstreekse vervoersbewijzen zullen de rechten van passagiers op aansluitende diensten verbeteren. Een overmachtsbepaling zal zorgen voor juridische billijkheid en evenredigheid.</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Wat zijn de kosten van de voorkeursoptie (indien er een voorkeur is, anders van de belangrijkste opties)? </w:t>
            </w:r>
          </w:p>
        </w:tc>
      </w:tr>
      <w:tr>
        <w:tc>
          <w:tcPr>
            <w:tcW w:w="10188" w:type="dxa"/>
            <w:tcBorders>
              <w:bottom w:val="single" w:sz="4" w:space="0" w:color="auto"/>
            </w:tcBorders>
            <w:shd w:val="clear" w:color="auto" w:fill="auto"/>
          </w:tcPr>
          <w:p>
            <w:pPr>
              <w:jc w:val="both"/>
              <w:rPr>
                <w:rFonts w:ascii="Tahoma" w:hAnsi="Tahoma" w:cs="Tahoma"/>
                <w:i/>
                <w:noProof/>
              </w:rPr>
            </w:pPr>
            <w:r>
              <w:rPr>
                <w:rFonts w:ascii="Tahoma" w:hAnsi="Tahoma"/>
                <w:noProof/>
              </w:rPr>
              <w:t xml:space="preserve">Naar verwachting zullen de kosten van spoorwegondernemingen over een periode van 15 jaar met 4,98 % stijgen ten opzichte van het basisscenario.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Wat zijn de gevolgen voor kleine en middelgrote ondernemingen en het concurrentievermogen? </w:t>
            </w:r>
          </w:p>
        </w:tc>
      </w:tr>
      <w:tr>
        <w:tc>
          <w:tcPr>
            <w:tcW w:w="10188" w:type="dxa"/>
            <w:tcBorders>
              <w:bottom w:val="single" w:sz="4" w:space="0" w:color="auto"/>
            </w:tcBorders>
            <w:shd w:val="clear" w:color="auto" w:fill="auto"/>
          </w:tcPr>
          <w:p>
            <w:pPr>
              <w:jc w:val="both"/>
              <w:rPr>
                <w:rFonts w:ascii="Tahoma" w:hAnsi="Tahoma" w:cs="Tahoma"/>
                <w:i/>
                <w:noProof/>
              </w:rPr>
            </w:pPr>
            <w:r>
              <w:rPr>
                <w:rFonts w:ascii="Tahoma" w:hAnsi="Tahoma"/>
                <w:noProof/>
              </w:rPr>
              <w:t>Er worden slechts beperkte indirecte gevolgen voor kmo's verwacht.</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Zijn er significante effecten voor de nationale begrotingen en overheden? </w:t>
            </w:r>
          </w:p>
        </w:tc>
      </w:tr>
      <w:tr>
        <w:tc>
          <w:tcPr>
            <w:tcW w:w="10188" w:type="dxa"/>
            <w:shd w:val="clear" w:color="auto" w:fill="auto"/>
          </w:tcPr>
          <w:p>
            <w:pPr>
              <w:jc w:val="both"/>
              <w:rPr>
                <w:rFonts w:ascii="Tahoma" w:hAnsi="Tahoma" w:cs="Tahoma"/>
                <w:noProof/>
              </w:rPr>
            </w:pPr>
            <w:r>
              <w:rPr>
                <w:rFonts w:ascii="Tahoma" w:hAnsi="Tahoma"/>
                <w:noProof/>
              </w:rPr>
              <w:t xml:space="preserve">Er worden slechts heel kleine effecten verwacht ten gevolge van de versterkte handhaving en klachtenbehandeling door nationale handhavingsinstanties.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Zijn er nog andere significante effecten? </w:t>
            </w:r>
          </w:p>
        </w:tc>
      </w:tr>
      <w:tr>
        <w:tc>
          <w:tcPr>
            <w:tcW w:w="10188" w:type="dxa"/>
            <w:tcBorders>
              <w:bottom w:val="single" w:sz="4" w:space="0" w:color="auto"/>
            </w:tcBorders>
            <w:shd w:val="clear" w:color="auto" w:fill="auto"/>
          </w:tcPr>
          <w:p>
            <w:pPr>
              <w:jc w:val="both"/>
              <w:rPr>
                <w:rFonts w:ascii="Tahoma" w:hAnsi="Tahoma" w:cs="Tahoma"/>
                <w:noProof/>
              </w:rPr>
            </w:pPr>
            <w:r>
              <w:rPr>
                <w:rFonts w:ascii="Tahoma" w:hAnsi="Tahoma"/>
                <w:noProof/>
              </w:rPr>
              <w:t xml:space="preserve">Er worden geen aanvullende significante effecten verwacht. </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Is de evenredigheid gewaarborgd? </w:t>
            </w:r>
          </w:p>
        </w:tc>
      </w:tr>
      <w:tr>
        <w:tc>
          <w:tcPr>
            <w:tcW w:w="10188" w:type="dxa"/>
            <w:shd w:val="clear" w:color="auto" w:fill="auto"/>
          </w:tcPr>
          <w:p>
            <w:pPr>
              <w:jc w:val="both"/>
              <w:rPr>
                <w:rFonts w:ascii="Tahoma" w:hAnsi="Tahoma" w:cs="Tahoma"/>
                <w:i/>
                <w:noProof/>
              </w:rPr>
            </w:pPr>
            <w:r>
              <w:rPr>
                <w:rFonts w:ascii="Tahoma" w:hAnsi="Tahoma"/>
                <w:noProof/>
              </w:rPr>
              <w:t xml:space="preserve">De huidige uiteenlopende toepassing van de regels verstoort de interne markt en verhindert een geharmoniseerd niveau van passagiersrechten in de hele EU. Richtsnoeren hebben nog niet voldoende resultaten opgeleverd. </w:t>
            </w:r>
          </w:p>
        </w:tc>
      </w:tr>
      <w:tr>
        <w:tc>
          <w:tcPr>
            <w:tcW w:w="10188" w:type="dxa"/>
            <w:tcBorders>
              <w:bottom w:val="single" w:sz="4" w:space="0" w:color="auto"/>
            </w:tcBorders>
            <w:shd w:val="clear" w:color="auto" w:fill="C0C0C0"/>
          </w:tcPr>
          <w:p>
            <w:pPr>
              <w:rPr>
                <w:rFonts w:ascii="Tahoma" w:hAnsi="Tahoma" w:cs="Tahoma"/>
                <w:b/>
                <w:noProof/>
              </w:rPr>
            </w:pPr>
            <w:r>
              <w:rPr>
                <w:rFonts w:ascii="Tahoma" w:hAnsi="Tahoma"/>
                <w:b/>
                <w:noProof/>
              </w:rPr>
              <w:t>D. Follow</w:t>
            </w:r>
            <w:r>
              <w:rPr>
                <w:noProof/>
              </w:rPr>
              <w:noBreakHyphen/>
            </w:r>
            <w:r>
              <w:rPr>
                <w:rFonts w:ascii="Tahoma" w:hAnsi="Tahoma"/>
                <w:b/>
                <w:noProof/>
              </w:rPr>
              <w:t>up</w:t>
            </w:r>
          </w:p>
        </w:tc>
      </w:tr>
      <w:tr>
        <w:tc>
          <w:tcPr>
            <w:tcW w:w="10188" w:type="dxa"/>
            <w:tcBorders>
              <w:bottom w:val="single" w:sz="4" w:space="0" w:color="auto"/>
            </w:tcBorders>
            <w:shd w:val="clear" w:color="auto" w:fill="E6E6E6"/>
          </w:tcPr>
          <w:p>
            <w:pPr>
              <w:pStyle w:val="Default"/>
              <w:jc w:val="both"/>
              <w:rPr>
                <w:rFonts w:ascii="Tahoma" w:hAnsi="Tahoma" w:cs="Tahoma"/>
                <w:noProof/>
                <w:sz w:val="20"/>
                <w:szCs w:val="20"/>
              </w:rPr>
            </w:pPr>
            <w:r>
              <w:rPr>
                <w:rFonts w:ascii="Tahoma" w:hAnsi="Tahoma"/>
                <w:b/>
                <w:noProof/>
                <w:sz w:val="20"/>
              </w:rPr>
              <w:t xml:space="preserve">Wanneer wordt dit beleid geëvalueerd? </w:t>
            </w:r>
          </w:p>
        </w:tc>
      </w:tr>
      <w:tr>
        <w:tc>
          <w:tcPr>
            <w:tcW w:w="10188" w:type="dxa"/>
            <w:tcBorders>
              <w:bottom w:val="single" w:sz="4" w:space="0" w:color="auto"/>
            </w:tcBorders>
            <w:shd w:val="clear" w:color="auto" w:fill="auto"/>
          </w:tcPr>
          <w:p>
            <w:pPr>
              <w:jc w:val="both"/>
              <w:rPr>
                <w:rFonts w:ascii="Tahoma" w:hAnsi="Tahoma" w:cs="Tahoma"/>
                <w:b/>
                <w:noProof/>
              </w:rPr>
            </w:pPr>
            <w:r>
              <w:rPr>
                <w:rFonts w:ascii="Tahoma" w:hAnsi="Tahoma"/>
                <w:noProof/>
              </w:rPr>
              <w:t>Vijf jaar na de inwerkingtreding van de nieuwe verordening zal de Commissie de toepassing ervan evalueren.</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98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44E"/>
    <w:multiLevelType w:val="hybridMultilevel"/>
    <w:tmpl w:val="81C4D7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6B47F7"/>
    <w:multiLevelType w:val="hybridMultilevel"/>
    <w:tmpl w:val="A8D6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F1C6062"/>
    <w:multiLevelType w:val="hybridMultilevel"/>
    <w:tmpl w:val="A8D6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bij"/>
    <w:docVar w:name="LW_CONFIDENCE" w:val=" "/>
    <w:docVar w:name="LW_CONST_RESTREINT_UE" w:val="RESTREINT UE"/>
    <w:docVar w:name="LW_CORRIGENDUM" w:val="&lt;UNUSED&gt;"/>
    <w:docVar w:name="LW_COVERPAGE_GUID" w:val="0A43FB9262474B3A8BF956F27D199FF5"/>
    <w:docVar w:name="LW_CROSSREFERENCE" w:val="{COM(2017) 548 final}_x000b_{SWD(2017) 318 final}"/>
    <w:docVar w:name="LW_DocType" w:val="NORMAL"/>
    <w:docVar w:name="LW_EMISSION" w:val="27.9.2017"/>
    <w:docVar w:name="LW_EMISSION_ISODATE" w:val="2017-09-27"/>
    <w:docVar w:name="LW_EMISSION_LOCATION" w:val="BRX"/>
    <w:docVar w:name="LW_EMISSION_PREFIX" w:val="Brussel, "/>
    <w:docVar w:name="LW_EMISSION_SUFFIX" w:val=" "/>
    <w:docVar w:name="LW_ID_DOCTYPE_NONLW" w:val="CP-027"/>
    <w:docVar w:name="LW_LANGUE" w:val="NL"/>
    <w:docVar w:name="LW_MARKING" w:val="&lt;UNUSED&gt;"/>
    <w:docVar w:name="LW_NOM.INST" w:val="EUROPESE COMMISSIE"/>
    <w:docVar w:name="LW_NOM.INST_JOINTDOC" w:val="&lt;EMPTY&gt;"/>
    <w:docVar w:name="LW_OBJETACTEPRINCIPAL.CP" w:val="betreffende de rechten en verplichtingen van rezigers in het treinverkeer_x000b__x000b_(herschikking)"/>
    <w:docVar w:name="LW_PART_NBR" w:val="1"/>
    <w:docVar w:name="LW_PART_NBR_TOTAL" w:val="1"/>
    <w:docVar w:name="LW_REF.INST.NEW" w:val="SWD"/>
    <w:docVar w:name="LW_REF.INST.NEW_ADOPTED" w:val="final"/>
    <w:docVar w:name="LW_REF.INST.NEW_TEXT" w:val="(2017) 317"/>
    <w:docVar w:name="LW_REF.INTERNE" w:val="&lt;UNUSED&gt;"/>
    <w:docVar w:name="LW_SUPERTITRE" w:val="&lt;UNUSED&gt;"/>
    <w:docVar w:name="LW_TITRE.OBJ.CP" w:val="&lt;UNUSED&gt;"/>
    <w:docVar w:name="LW_TYPE.DOC.CP" w:val="WERKDOCUMENT VAN DE DIENSTEN VAN DE COMMISSIE_x000b__x000b_SAMENVATTING VAN DE EFFECTBEOORDELING_x000b_"/>
    <w:docVar w:name="LW_TYPEACTEPRINCIPAL.CP" w:val="Voorstel voor een Verordening van het Europees Parlement en de Raad"/>
    <w:docVar w:name="Stamp" w:val="\\dossiers.dgt.cec.eu.int\dossiers\MOVE\MOVE-2017-00669\MOVE-2017-00669-00-02-EN-REV-00.20170626091559689799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0"/>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0"/>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4237</Characters>
  <Application>Microsoft Office Word</Application>
  <DocSecurity>0</DocSecurity>
  <Lines>83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2017-09-18T11:13:00Z</dcterms:created>
  <dcterms:modified xsi:type="dcterms:W3CDTF">2017-09-26T14:14:00Z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