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A8D1E5E436E4164B9E3A4E6E2D2A1C5"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rPr>
        <w:t>•</w:t>
      </w:r>
      <w:r>
        <w:rPr>
          <w:noProof/>
        </w:rPr>
        <w:tab/>
        <w:t>Przyczyny i cele wniosku</w:t>
      </w:r>
    </w:p>
    <w:p>
      <w:pPr>
        <w:rPr>
          <w:noProof/>
        </w:rPr>
      </w:pPr>
      <w:r>
        <w:rPr>
          <w:noProof/>
        </w:rPr>
        <w:t>Celem projektu decyzji Wspólnego Komitetu EOG (załączony do niniejszego wniosku w sprawie decyzji Rady) jest zmiana protokołu 31 do Porozumienia EOG w celu rozszerzenia współpracy umawiających się stron Porozumienia EOG, tak aby uwzględnić udział państw EOG–EFTA w działaniu przygotowawczym Unii w zakresie badań nad obronnością (dalej „działanie przygotowawcze”). Z uwagi na fakt, że Liechtenstein i Islandia nie wyraziły zainteresowania uczestnictwem w tym działaniu przygotowawczym, projekt decyzji Wspólnego Komitetu EOG dotyczy zatem jedynie Norwegii.</w:t>
      </w:r>
    </w:p>
    <w:p>
      <w:pPr>
        <w:pStyle w:val="ManualHeading2"/>
        <w:rPr>
          <w:rFonts w:eastAsia="Arial Unicode MS"/>
          <w:noProof/>
          <w:color w:val="000000"/>
          <w:u w:color="000000"/>
        </w:rPr>
      </w:pPr>
      <w:r>
        <w:rPr>
          <w:noProof/>
          <w:color w:val="000000"/>
          <w:u w:color="000000"/>
        </w:rPr>
        <w:t>•</w:t>
      </w:r>
      <w:r>
        <w:rPr>
          <w:noProof/>
        </w:rPr>
        <w:tab/>
        <w:t>Spójność z przepisami obowiązującymi w tej dziedzinie polityki</w:t>
      </w:r>
    </w:p>
    <w:p>
      <w:pPr>
        <w:rPr>
          <w:noProof/>
        </w:rPr>
      </w:pPr>
      <w:r>
        <w:rPr>
          <w:noProof/>
        </w:rPr>
        <w:t>Art. 78 Porozumienia EOG stanowi, że umawiające się strony wzmacniają i poszerzają współpracę w ramach działań UE w dziedzinie badań i rozwoju technologii. Komisja finansuje obecnie za pośrednictwem programu „Horyzont 2020” wyłącznie badania i rozwój cywilne lub podwójnego zastosowania i jest zdania, że działanie przygotowawcze jest ważnym narzędziem sprawdzenia wartości dodanej badań w dziedzinie obronności finansowanych z budżetu UE. </w:t>
      </w:r>
    </w:p>
    <w:p>
      <w:pPr>
        <w:rPr>
          <w:noProof/>
        </w:rPr>
      </w:pPr>
      <w:r>
        <w:rPr>
          <w:noProof/>
        </w:rPr>
        <w:t>Z uwagi na to, że Norwegia zawarła porozumienie administracyjne z Europejską Agencją Obrony, a powiązana dyrektywa w sprawie zamówień w dziedzinach obronności i bezpieczeństwa (2009/81/WE), która ma zapewnić rzeczywistą konkurencję i równe traktowanie w tej dziedzinie, została włączona do Porozumienia EOG już w 2014 r., udział Norwegii w działaniu przygotowawczym jest zgodny z przepisami obowiązującymi w tym obszarze polityki.</w:t>
      </w:r>
    </w:p>
    <w:p>
      <w:pPr>
        <w:pStyle w:val="ManualHeading2"/>
        <w:rPr>
          <w:rFonts w:eastAsia="Arial Unicode MS"/>
          <w:noProof/>
        </w:rPr>
      </w:pPr>
      <w:r>
        <w:rPr>
          <w:noProof/>
          <w:color w:val="000000"/>
          <w:u w:color="000000"/>
        </w:rPr>
        <w:t>•</w:t>
      </w:r>
      <w:r>
        <w:rPr>
          <w:noProof/>
        </w:rPr>
        <w:tab/>
        <w:t>Spójność z innymi politykami Unii</w:t>
      </w:r>
    </w:p>
    <w:p>
      <w:pPr>
        <w:rPr>
          <w:noProof/>
        </w:rPr>
      </w:pPr>
      <w:r>
        <w:rPr>
          <w:noProof/>
        </w:rPr>
        <w:t xml:space="preserve">Wspólne badania naukowe w dziedzinie obrony służące opracowaniu nowatorskich technologii, produktów i usług mają kluczowe znaczenie dla utrzymania długoterminowej konkurencyjności sektora obrony, a w rezultacie zachowania strategicznej autonomii Europy. Współpraca z Norwegią umożliwiłaby zwiększenie wysiłków UE w tej dziedzinie. </w:t>
      </w:r>
    </w:p>
    <w:p>
      <w:pPr>
        <w:rPr>
          <w:noProof/>
        </w:rPr>
      </w:pPr>
      <w:r>
        <w:rPr>
          <w:noProof/>
        </w:rPr>
        <w:t xml:space="preserve">Komisja uznaje, że działanie przygotowawcze jest częścią jej strategii politycznych w zakresie rynku wewnętrznego, przemysłu i badań naukowych. Dalsze zacieśnianie współpracy w tej dziedzinie jest zatem zgodne z celami Porozumienia EOG. </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rPr>
      </w:pPr>
      <w:r>
        <w:rPr>
          <w:noProof/>
        </w:rPr>
        <w:t>•</w:t>
      </w:r>
      <w:r>
        <w:rPr>
          <w:noProof/>
        </w:rPr>
        <w:tab/>
        <w:t>Podstawa prawna</w:t>
      </w:r>
    </w:p>
    <w:p>
      <w:pPr>
        <w:rPr>
          <w:noProof/>
          <w:color w:val="000000"/>
        </w:rPr>
      </w:pPr>
      <w:r>
        <w:rPr>
          <w:noProof/>
        </w:rPr>
        <w:t>Podstawą prawną jest art. 54 ust. 2 lit. b), art. 84 ust. 2 i art. 124 rozporządzenia Parlamentu Europejskiego i Rady (UE, Euratom) nr 966/2012 z dnia 25 października 2012 r. w sprawie zasad finansowych mających zastosowanie do budżetu ogólnego Unii oraz uchylającego rozporządzenie Rady (WE, Euratom) nr 1605/2002</w:t>
      </w:r>
      <w:r>
        <w:rPr>
          <w:rStyle w:val="FootnoteReference"/>
          <w:noProof/>
        </w:rPr>
        <w:footnoteReference w:id="1"/>
      </w:r>
      <w:r>
        <w:rPr>
          <w:noProof/>
        </w:rPr>
        <w:t>, w związku z </w:t>
      </w:r>
      <w:r>
        <w:rPr>
          <w:noProof/>
          <w:color w:val="000000"/>
        </w:rPr>
        <w:t>art. 1 ust. 3 rozporządzenia Rady (WE) nr 2894/94</w:t>
      </w:r>
      <w:r>
        <w:rPr>
          <w:rStyle w:val="FootnoteReference"/>
          <w:noProof/>
        </w:rPr>
        <w:footnoteReference w:id="2"/>
      </w:r>
      <w:r>
        <w:rPr>
          <w:noProof/>
          <w:color w:val="000000"/>
        </w:rPr>
        <w:t xml:space="preserve"> w sprawie uzgodnień dotyczących stosowania Porozumienia EOG, przewidującym, że stanowisko, jakie należy przyjąć w imieniu Unii w odniesieniu do takich decyzji, ustala Rada na wniosek Komisji. </w:t>
      </w:r>
    </w:p>
    <w:p>
      <w:pPr>
        <w:rPr>
          <w:noProof/>
        </w:rPr>
      </w:pPr>
      <w:r>
        <w:rPr>
          <w:noProof/>
        </w:rPr>
        <w:t>Komisja we współpracy z ESDZ przedkłada projekt decyzji Wspólnego Komitetu EOG do przyjęcia przez Radę jako stanowisko Unii. Komisja ma nadzieję, że będzie mogła przedstawić stanowisko UE Wspólnemu Komitetowi EOG w najbliższym możliwym terminie.</w:t>
      </w:r>
    </w:p>
    <w:p>
      <w:pPr>
        <w:pStyle w:val="ManualHeading2"/>
        <w:rPr>
          <w:rFonts w:eastAsia="Arial Unicode MS"/>
          <w:noProof/>
          <w:u w:color="000000"/>
        </w:rPr>
      </w:pPr>
      <w:r>
        <w:rPr>
          <w:noProof/>
        </w:rPr>
        <w:t>•</w:t>
      </w:r>
      <w:r>
        <w:rPr>
          <w:noProof/>
        </w:rPr>
        <w:tab/>
        <w:t xml:space="preserve">Pomocniczość (w przypadku kompetencji niewyłącznych) </w:t>
      </w:r>
    </w:p>
    <w:p>
      <w:pPr>
        <w:rPr>
          <w:rFonts w:cs="EUAlbertina"/>
          <w:noProof/>
          <w:color w:val="000000"/>
        </w:rPr>
      </w:pPr>
      <w:r>
        <w:rPr>
          <w:noProof/>
        </w:rPr>
        <w:t xml:space="preserve">Wniosek jest zgodny z zasadą pomocniczości z następującego względu. </w:t>
      </w:r>
    </w:p>
    <w:p>
      <w:pPr>
        <w:rPr>
          <w:rFonts w:cs="EUAlbertina"/>
          <w:noProof/>
          <w:color w:val="000000"/>
          <w:szCs w:val="24"/>
        </w:rPr>
      </w:pPr>
      <w:r>
        <w:rPr>
          <w:noProof/>
          <w:color w:val="000000"/>
        </w:rPr>
        <w:t xml:space="preserve">Państwa członkowskie nie mogą w sposób wystarczający osiągnąć celu niniejszego wniosku, jakim jest ustanowienie współpracy z państwami EOG–EFTA w dziedzinie badań nad obronnością przez ich udział w działaniu przygotowawczym finansowanym z budżetu UE, natomiast z uwagi na skutki proponowanych działań możliwe jest lepsze jego osiągnięcie na poziomie Unii. </w:t>
      </w:r>
    </w:p>
    <w:p>
      <w:pPr>
        <w:pStyle w:val="ManualHeading2"/>
        <w:rPr>
          <w:rFonts w:eastAsia="Arial Unicode MS"/>
          <w:noProof/>
          <w:u w:color="000000"/>
        </w:rPr>
      </w:pPr>
      <w:r>
        <w:rPr>
          <w:noProof/>
        </w:rPr>
        <w:t>•</w:t>
      </w:r>
      <w:r>
        <w:rPr>
          <w:noProof/>
        </w:rPr>
        <w:tab/>
        <w:t>Proporcjonalność</w:t>
      </w:r>
    </w:p>
    <w:p>
      <w:pPr>
        <w:spacing w:before="0" w:after="240"/>
        <w:rPr>
          <w:rFonts w:cs="EUAlbertina"/>
          <w:noProof/>
          <w:color w:val="000000"/>
          <w:szCs w:val="24"/>
        </w:rPr>
      </w:pPr>
      <w:r>
        <w:rPr>
          <w:noProof/>
          <w:color w:val="000000"/>
        </w:rPr>
        <w:t>Zgodnie z zasadą proporcjonalności niniejszy wniosek nie wykracza poza to, co jest konieczne do osiągnięcia jego celu – wzmacnia i poszerza współpracę w ramach działań UE w dziedzinie badań i rozwoju technologii.</w:t>
      </w:r>
    </w:p>
    <w:p>
      <w:pPr>
        <w:pStyle w:val="ManualHeading2"/>
        <w:rPr>
          <w:rFonts w:eastAsia="Arial Unicode MS"/>
          <w:noProof/>
          <w:u w:color="000000"/>
        </w:rPr>
      </w:pPr>
      <w:r>
        <w:rPr>
          <w:noProof/>
        </w:rPr>
        <w:t>•</w:t>
      </w:r>
      <w:r>
        <w:rPr>
          <w:noProof/>
        </w:rPr>
        <w:tab/>
        <w:t>Wybór instrumentu</w:t>
      </w:r>
    </w:p>
    <w:p>
      <w:pPr>
        <w:spacing w:before="0" w:after="240"/>
        <w:rPr>
          <w:bCs/>
          <w:noProof/>
          <w:szCs w:val="24"/>
        </w:rPr>
      </w:pPr>
      <w:r>
        <w:rPr>
          <w:noProof/>
        </w:rPr>
        <w:t xml:space="preserve">Zgodnie z art. 98 Porozumienia EOG wybranym instrumentem jest decyzja Wspólnego Komitetu EOG. Wspólny Komitet EOG zapewnia skuteczną realizację i funkcjonowanie Porozumienia EOG. W tym celu Komitet podejmuje decyzje w przypadkach przewidzianych w Porozumieniu EOG. </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rPr>
      </w:pPr>
      <w:r>
        <w:rPr>
          <w:noProof/>
        </w:rPr>
        <w:t>•</w:t>
      </w:r>
      <w:r>
        <w:rPr>
          <w:noProof/>
        </w:rPr>
        <w:tab/>
        <w:t xml:space="preserve">Gromadzenie i wykorzystanie wiedzy eksperckiej oraz ocena skutków </w:t>
      </w:r>
    </w:p>
    <w:p>
      <w:pPr>
        <w:autoSpaceDE w:val="0"/>
        <w:autoSpaceDN w:val="0"/>
        <w:adjustRightInd w:val="0"/>
        <w:spacing w:before="0" w:after="0"/>
        <w:rPr>
          <w:noProof/>
          <w:szCs w:val="24"/>
        </w:rPr>
      </w:pPr>
      <w:r>
        <w:rPr>
          <w:noProof/>
        </w:rPr>
        <w:t>W 2013 r. Komisja rozważyła rozpoczęcie działania przygotowawczego</w:t>
      </w:r>
      <w:r>
        <w:rPr>
          <w:rStyle w:val="FootnoteReference"/>
          <w:noProof/>
        </w:rPr>
        <w:footnoteReference w:id="3"/>
      </w:r>
      <w:r>
        <w:rPr>
          <w:noProof/>
        </w:rPr>
        <w:t xml:space="preserve"> w zakresie badań nad obronnością w celu wspierania bardziej konkurencyjnego i wydajnego sektora obronności i bezpieczeństwa</w:t>
      </w:r>
      <w:r>
        <w:rPr>
          <w:rStyle w:val="FootnoteReference"/>
          <w:noProof/>
        </w:rPr>
        <w:footnoteReference w:id="4"/>
      </w:r>
      <w:r>
        <w:rPr>
          <w:noProof/>
        </w:rPr>
        <w:t>. Parlament Europejski</w:t>
      </w:r>
      <w:r>
        <w:rPr>
          <w:rStyle w:val="FootnoteReference"/>
          <w:noProof/>
        </w:rPr>
        <w:footnoteReference w:id="5"/>
      </w:r>
      <w:r>
        <w:rPr>
          <w:noProof/>
        </w:rPr>
        <w:t xml:space="preserve"> i Rada</w:t>
      </w:r>
      <w:r>
        <w:rPr>
          <w:rStyle w:val="FootnoteReference"/>
          <w:noProof/>
        </w:rPr>
        <w:footnoteReference w:id="6"/>
      </w:r>
      <w:r>
        <w:rPr>
          <w:noProof/>
        </w:rPr>
        <w:t xml:space="preserve"> z zadowoleniem przyjęły tę inicjatywę i zwróciły się do Komisji o opracowanie wniosku mającego na celu wdrożenie działania przygotowawczego. W 2015 r. Rada Europejska</w:t>
      </w:r>
      <w:r>
        <w:rPr>
          <w:rStyle w:val="FootnoteReference"/>
          <w:noProof/>
        </w:rPr>
        <w:footnoteReference w:id="7"/>
      </w:r>
      <w:r>
        <w:rPr>
          <w:noProof/>
        </w:rPr>
        <w:t xml:space="preserve"> podkreśliła potrzebę zapewnienia odpowiedniego finansowania działania przygotowawczego, otwierając drogę dla przyszłego programu w dziedzinie badań i technologii obronnych</w:t>
      </w:r>
      <w:r>
        <w:rPr>
          <w:rStyle w:val="FootnoteReference"/>
          <w:noProof/>
        </w:rPr>
        <w:footnoteReference w:id="8"/>
      </w:r>
      <w:r>
        <w:rPr>
          <w:noProof/>
        </w:rPr>
        <w:t>.</w:t>
      </w:r>
    </w:p>
    <w:p>
      <w:pPr>
        <w:pStyle w:val="ManualHeading2"/>
        <w:rPr>
          <w:noProof/>
        </w:rPr>
      </w:pPr>
      <w:r>
        <w:rPr>
          <w:noProof/>
        </w:rPr>
        <w:t>4.</w:t>
      </w:r>
      <w:r>
        <w:rPr>
          <w:noProof/>
        </w:rPr>
        <w:tab/>
        <w:t>WPŁYW NA BUDŻET</w:t>
      </w:r>
    </w:p>
    <w:p>
      <w:pPr>
        <w:autoSpaceDE w:val="0"/>
        <w:autoSpaceDN w:val="0"/>
        <w:adjustRightInd w:val="0"/>
        <w:spacing w:before="0" w:after="0"/>
        <w:rPr>
          <w:noProof/>
        </w:rPr>
      </w:pPr>
      <w:r>
        <w:rPr>
          <w:noProof/>
        </w:rPr>
        <w:t>Norwegia wnosi wkład finansowy do linii budżetowej 02 04 77 03: „Działanie przygotowawcze — Badania nad obronnością”. Spodziewany wkład Norwegii na 2017 r. wyniesie: 585 000 EUR.</w:t>
      </w:r>
    </w:p>
    <w:p>
      <w:pPr>
        <w:pStyle w:val="ManualHeading1"/>
        <w:rPr>
          <w:noProof/>
        </w:rPr>
      </w:pPr>
      <w:r>
        <w:rPr>
          <w:noProof/>
        </w:rPr>
        <w:t>5.</w:t>
      </w:r>
      <w:r>
        <w:rPr>
          <w:noProof/>
        </w:rPr>
        <w:tab/>
        <w:t>ELEMENTY FAKULTATYWNE</w:t>
      </w:r>
    </w:p>
    <w:p>
      <w:pPr>
        <w:spacing w:before="0" w:after="240"/>
        <w:rPr>
          <w:noProof/>
        </w:rPr>
      </w:pPr>
      <w:r>
        <w:rPr>
          <w:noProof/>
        </w:rPr>
        <w:t>Zgodnie z unijną polityką budżetową jakiekolwiek uczestnictwo w działaniach UE może mieć miejsce jedynie w przypadku, gdy wpłacony zostanie odpowiedni wkład finansowy. Płatność może jednak nastąpić dopiero po przyjęciu niniejszego projektu decyzji Rady oraz przedstawieniu państwom EOG–EFTA wezwania UE do wniesienia środków ustanowionego przez Komisję Europejską.</w:t>
      </w:r>
    </w:p>
    <w:p>
      <w:pPr>
        <w:spacing w:before="0" w:after="240"/>
        <w:rPr>
          <w:noProof/>
        </w:rPr>
      </w:pPr>
      <w:r>
        <w:rPr>
          <w:noProof/>
        </w:rPr>
        <w:t>W związku z tym, w celu uzupełnienia luki w finansowaniu w okresie między przyjęciem decyzji Komisji w sprawie finansowania działania przygotowawczego w zakresie badań nad obronnością i wykorzystania kosztów jednostkowych na rok 2017 w dniu 11 kwietnia 2017 r. a otrzymaniem odpowiedniej płatności, projekt decyzji Wspólnego Komitetu stosuje się z mocą wsteczną od dnia 11 kwietnia 2017 r. Instytucjom, przedsiębiorstwom, organizacjom i obywatelom Norwegii powinno zatem przysługiwać prawo do udziału w działalności, która rozpoczyna się przed wejściem w życie niniejszej decyzji Wspólnego Komitetu EOG. Koszty związane z ich udziałem w takiej działalności, której realizacja rozpoczyna się po dniu 11 kwietnia 2017 r., należy uznać za kwalifikowalne na takich samych zasadach jak koszty poniesione przez instytucje, przedsiębiorstwa, organizacje i obywateli państw członkowskich UE, o ile niniejsza decyzja wejdzie w życie przed zakończeniem odnośnego działania przygotowawczego.</w:t>
      </w:r>
    </w:p>
    <w:p>
      <w:pPr>
        <w:spacing w:before="0" w:after="240"/>
        <w:rPr>
          <w:noProof/>
        </w:rPr>
      </w:pPr>
      <w:r>
        <w:rPr>
          <w:noProof/>
        </w:rPr>
        <w:t xml:space="preserve">Stosowanie z mocą wsteczną nie ma wpływu na prawa i obowiązki zainteresowanych podmiotów i nie narusza zasady uzasadnionych oczekiwań. </w:t>
      </w:r>
    </w:p>
    <w:p>
      <w:pPr>
        <w:rPr>
          <w:noProof/>
        </w:rPr>
      </w:pPr>
      <w:r>
        <w:rPr>
          <w:noProof/>
        </w:rPr>
        <w:t xml:space="preserve">Ponadto, zgodnie z art. 1 ust. 8 protokołu 32 do Porozumienia EOG, do dnia 10 lipca należy przyjąć decyzję Wspólnego Komitetu EOG ustanawiającą udział państwa EOG–EFTA w działaniu ujętym w załączniku do budżetu ogólnego Unii Europejskiej dotyczącym EOG. W przeciwnym razie współpraca zostaje odroczona do następnego roku, chyba że uzgodniono inaczej. </w:t>
      </w:r>
    </w:p>
    <w:p>
      <w:pPr>
        <w:rPr>
          <w:noProof/>
        </w:rPr>
      </w:pPr>
      <w:r>
        <w:rPr>
          <w:noProof/>
        </w:rPr>
        <w:t>Z uwagi na znaczenie rozpoczęcia współpracy od początku działania przygotowawczego, załączona decyzja Wspólnego Komitetu EOG przewiduje, iż współpraca ma rozpocząć się od dnia 11 kwietnia 2017 r., nawet jeśli niniejsza decyzja Wspólnego Komitetu EOG zostanie przyjęta po dniu 10 lipca 2017 r.</w:t>
      </w:r>
    </w:p>
    <w:p>
      <w:pPr>
        <w:rPr>
          <w:noProof/>
        </w:rPr>
      </w:pPr>
      <w:r>
        <w:rPr>
          <w:noProof/>
        </w:rPr>
        <w:br w:type="page"/>
      </w:r>
    </w:p>
    <w:p>
      <w:pPr>
        <w:pStyle w:val="Rfrenceinterinstitutionnelle"/>
        <w:rPr>
          <w:noProof/>
        </w:rPr>
      </w:pPr>
      <w:r>
        <w:rPr>
          <w:noProof/>
        </w:rPr>
        <w:t>2017/0253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należy przyjąć w imieniu Unii Europejskiej we Wspólnym Komitecie EOG, dotyczącego zmiany protokołu 31 do Porozumienia EOG</w:t>
      </w:r>
      <w:r>
        <w:rPr>
          <w:noProof/>
        </w:rPr>
        <w:br/>
      </w:r>
      <w:r>
        <w:rPr>
          <w:noProof/>
        </w:rPr>
        <w:br/>
        <w:t>(Działanie przygotowawcze Unii w zakresie badań nad obronnością)</w:t>
      </w:r>
    </w:p>
    <w:p>
      <w:pPr>
        <w:pStyle w:val="Institutionquiagit"/>
        <w:rPr>
          <w:noProof/>
        </w:rPr>
      </w:pPr>
      <w:r>
        <w:rPr>
          <w:noProof/>
        </w:rPr>
        <w:t>RADA UNII EUROPEJSKIEJ,</w:t>
      </w:r>
    </w:p>
    <w:p>
      <w:pPr>
        <w:rPr>
          <w:noProof/>
        </w:rPr>
      </w:pPr>
      <w:r>
        <w:rPr>
          <w:noProof/>
        </w:rPr>
        <w:t>uwzględniając Traktat o funkcjonowaniu Unii Europejskiej, w szczególności jego art. 218 ust. 9,</w:t>
      </w:r>
    </w:p>
    <w:p>
      <w:pPr>
        <w:rPr>
          <w:noProof/>
        </w:rPr>
      </w:pPr>
      <w:r>
        <w:rPr>
          <w:noProof/>
        </w:rPr>
        <w:t>uwzględniając rozporządzenie Rady (WE) nr 2894/94 z dnia 28 listopada 1994 r. w sprawie uzgodnień dotyczących stosowania Porozumienia o Europejskim Obszarze Gospodarczym</w:t>
      </w:r>
      <w:r>
        <w:rPr>
          <w:rStyle w:val="FootnoteReference"/>
          <w:noProof/>
        </w:rPr>
        <w:footnoteReference w:id="9"/>
      </w:r>
      <w:r>
        <w:rPr>
          <w:noProof/>
        </w:rPr>
        <w:t>, w szczególności jego art. 1 ust. 3,</w:t>
      </w:r>
    </w:p>
    <w:p>
      <w:pPr>
        <w:rPr>
          <w:noProof/>
        </w:rPr>
      </w:pPr>
      <w:r>
        <w:rPr>
          <w:noProof/>
        </w:rPr>
        <w:t>uwzględniając rozporządzenie Parlamentu Europejskiego i Rady (UE, Euratom) nr 966/2012 z dnia 25 października 2012 r. w sprawie zasad finansowych mających zastosowanie do budżetu ogólnego Unii oraz uchylające rozporządzenie Rady (WE, Euratom) nr 1605/2002</w:t>
      </w:r>
      <w:r>
        <w:rPr>
          <w:rStyle w:val="FootnoteReference"/>
          <w:noProof/>
        </w:rPr>
        <w:footnoteReference w:id="10"/>
      </w:r>
      <w:r>
        <w:rPr>
          <w:noProof/>
        </w:rPr>
        <w:t xml:space="preserve">, w szczególności jego art. 54 ust. 2 lit. b), art. 84 ust. 2 i art. 124, </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Porozumienie o Europejskim Obszarze Gospodarczym</w:t>
      </w:r>
      <w:r>
        <w:rPr>
          <w:rStyle w:val="FootnoteReference"/>
          <w:noProof/>
        </w:rPr>
        <w:footnoteReference w:id="11"/>
      </w:r>
      <w:r>
        <w:rPr>
          <w:noProof/>
        </w:rPr>
        <w:t xml:space="preserve"> („Porozumienie EOG”) weszło w życie dnia 1 stycznia 1994 r.</w:t>
      </w:r>
    </w:p>
    <w:p>
      <w:pPr>
        <w:pStyle w:val="ManualConsidrant"/>
        <w:rPr>
          <w:noProof/>
        </w:rPr>
      </w:pPr>
      <w:r>
        <w:t>(2)</w:t>
      </w:r>
      <w:r>
        <w:tab/>
      </w:r>
      <w:r>
        <w:rPr>
          <w:noProof/>
        </w:rPr>
        <w:t>Zgodnie z art. 98 Porozumienia EOG Wspólny Komitet EOG może podjąć decyzję o zmianie, między innymi, protokołu 31 do Porozumienia EOG (zwanego dalej „protokołem 31”).</w:t>
      </w:r>
    </w:p>
    <w:p>
      <w:pPr>
        <w:pStyle w:val="ManualConsidrant"/>
        <w:rPr>
          <w:noProof/>
        </w:rPr>
      </w:pPr>
      <w:r>
        <w:t>(3)</w:t>
      </w:r>
      <w:r>
        <w:tab/>
      </w:r>
      <w:r>
        <w:rPr>
          <w:noProof/>
        </w:rPr>
        <w:t>Protokół 31 do Porozumienia EOG zawiera postanowienia dotyczące współpracy w konkretnych dziedzinach poza czterema swobodami.</w:t>
      </w:r>
    </w:p>
    <w:p>
      <w:pPr>
        <w:pStyle w:val="ManualConsidrant"/>
        <w:rPr>
          <w:noProof/>
        </w:rPr>
      </w:pPr>
      <w:r>
        <w:t>(4)</w:t>
      </w:r>
      <w:r>
        <w:tab/>
      </w:r>
      <w:r>
        <w:rPr>
          <w:noProof/>
        </w:rPr>
        <w:t>Należy rozszerzyć współpracę pomiędzy umawiającymi się stronami Porozumienia EOG, tak aby uwzględnić udział państw EFTA w działaniu przygotowawczym Unii w zakresie badań nad obronnością, które jest finansowane z budżetu ogólnego Unii Europejskiej.</w:t>
      </w:r>
    </w:p>
    <w:p>
      <w:pPr>
        <w:pStyle w:val="ManualConsidrant"/>
        <w:rPr>
          <w:noProof/>
        </w:rPr>
      </w:pPr>
      <w:r>
        <w:t>(5)</w:t>
      </w:r>
      <w:r>
        <w:tab/>
      </w:r>
      <w:r>
        <w:rPr>
          <w:noProof/>
        </w:rPr>
        <w:t>Właściwe jest, aby udział państw EFTA w działalności związanej z tym działaniem przygotowawczym i finansowanej z linii budżetowej 02 04 77 03 rozpoczął się od dnia 11 kwietnia 2017 r., nawet jeżeli załączona decyzja Wspólnego Komitetu EOG jest przyjęta lub spełnienie wymogów konstytucyjnych dotyczących niniejszej decyzji, o ile takie istnieją, zgłoszono po dniu 10 lipca 2017 r.</w:t>
      </w:r>
    </w:p>
    <w:p>
      <w:pPr>
        <w:pStyle w:val="ManualConsidrant"/>
        <w:rPr>
          <w:noProof/>
        </w:rPr>
      </w:pPr>
      <w:r>
        <w:t>(6)</w:t>
      </w:r>
      <w:r>
        <w:tab/>
      </w:r>
      <w:r>
        <w:rPr>
          <w:noProof/>
        </w:rPr>
        <w:t>Instytucjom, przedsiębiorstwom, organizacjom i obywatelom państw EFTA powinno przysługiwać prawo do udziału w działalności, która rozpoczyna się przed wejściem w życie niniejszej decyzji. Koszty związane z ich udziałem w takiej działalności, której realizacja rozpoczyna się po dniu 11 kwietnia 2017 r., należy uznać za kwalifikowalne na takich samych zasadach jak koszty poniesione przez instytucje, przedsiębiorstwa, organizacje i obywateli państw członkowskich UE, o ile załączona decyzja Wspólnego Komitetu EOG wejdzie w życie przez zakończeniem odnośnego działania przygotowawczego.</w:t>
      </w:r>
    </w:p>
    <w:p>
      <w:pPr>
        <w:pStyle w:val="ManualConsidrant"/>
        <w:rPr>
          <w:noProof/>
        </w:rPr>
      </w:pPr>
      <w:r>
        <w:t>(7)</w:t>
      </w:r>
      <w:r>
        <w:tab/>
      </w:r>
      <w:r>
        <w:rPr>
          <w:noProof/>
        </w:rPr>
        <w:t>Należy zatem zmienić protokół 31 do Porozumienia EOG, aby umożliwić realizację rozszerzonej współpracy od dnia 11 kwietnia 2017 r.</w:t>
      </w:r>
    </w:p>
    <w:p>
      <w:pPr>
        <w:pStyle w:val="ManualConsidrant"/>
        <w:rPr>
          <w:noProof/>
        </w:rPr>
      </w:pPr>
      <w:r>
        <w:t>(8)</w:t>
      </w:r>
      <w:r>
        <w:tab/>
      </w:r>
      <w:r>
        <w:rPr>
          <w:noProof/>
        </w:rPr>
        <w:t>Stanowisko Unii w ramach Wspólnego Komitetu EOG powinno zatem być oparte na dołączonym projekcie decyzji,</w:t>
      </w:r>
    </w:p>
    <w:p>
      <w:pPr>
        <w:pStyle w:val="Formuledadoption"/>
        <w:rPr>
          <w:noProof/>
        </w:rPr>
      </w:pPr>
      <w:r>
        <w:rPr>
          <w:noProof/>
        </w:rPr>
        <w:t xml:space="preserve">PRZYJMUJE NINIEJSZĄ DECYZJĘ: </w:t>
      </w:r>
    </w:p>
    <w:p>
      <w:pPr>
        <w:pStyle w:val="Titrearticle"/>
        <w:rPr>
          <w:noProof/>
        </w:rPr>
      </w:pPr>
      <w:r>
        <w:rPr>
          <w:noProof/>
        </w:rPr>
        <w:t>Artykuł 1</w:t>
      </w:r>
    </w:p>
    <w:p>
      <w:pPr>
        <w:rPr>
          <w:noProof/>
        </w:rPr>
      </w:pPr>
      <w:r>
        <w:rPr>
          <w:noProof/>
        </w:rPr>
        <w:t>Stanowisko, jakie należy przyjąć w imieniu Unii we Wspólnym Komitecie EOG, dotyczące proponowanej zmiany protokołu 31 do Porozumienia EOG w sprawie współpracy w konkretnych dziedzinach poza czterema swobodami, opiera się na projekcie decyzji Wspólnego Komitetu EOG dołączonym do niniejszej decyzji.</w:t>
      </w:r>
    </w:p>
    <w:p>
      <w:pPr>
        <w:pStyle w:val="Titrearticle"/>
        <w:rPr>
          <w:noProof/>
        </w:rPr>
      </w:pPr>
      <w:r>
        <w:rPr>
          <w:noProof/>
        </w:rPr>
        <w:t>Artykuł 2</w:t>
      </w:r>
    </w:p>
    <w:p>
      <w:pPr>
        <w:keepLines/>
        <w:rPr>
          <w:noProof/>
        </w:rPr>
      </w:pPr>
      <w:r>
        <w:rPr>
          <w:noProof/>
        </w:rPr>
        <w:t>Niniejsza decyzja wchodzi w życie z dniem jej przyjęcia.</w:t>
      </w:r>
    </w:p>
    <w:p>
      <w:pPr>
        <w:pStyle w:val="Fait"/>
        <w:rPr>
          <w:noProof/>
        </w:rPr>
      </w:pPr>
      <w:r>
        <w:rPr>
          <w:noProof/>
        </w:rPr>
        <w:t>Sporządzono w Brukseli dnia  r.</w:t>
      </w:r>
    </w:p>
    <w:p>
      <w:pPr>
        <w:pStyle w:val="Institutionquisigne"/>
        <w:rPr>
          <w:noProof/>
        </w:rPr>
      </w:pPr>
      <w:r>
        <w:rPr>
          <w:noProof/>
        </w:rPr>
        <w:tab/>
        <w:t>W imieniu Rady</w:t>
      </w:r>
    </w:p>
    <w:p>
      <w:pPr>
        <w:pStyle w:val="Personnequisigne"/>
        <w:rPr>
          <w:noProof/>
        </w:rPr>
      </w:pPr>
      <w:r>
        <w:rPr>
          <w:noProof/>
        </w:rPr>
        <w:tab/>
        <w:t>Przewodniczący</w:t>
      </w:r>
    </w:p>
    <w:sectPr>
      <w:footerReference w:type="default" r:id="rId11"/>
      <w:footerReference w:type="first" r:id="rId12"/>
      <w:pgSz w:w="11907" w:h="16839"/>
      <w:pgMar w:top="1134" w:right="1417" w:bottom="1134" w:left="141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248 z 16.9.2002, s. 1.</w:t>
      </w:r>
    </w:p>
  </w:footnote>
  <w:footnote w:id="2">
    <w:p>
      <w:pPr>
        <w:pStyle w:val="FootnoteText"/>
      </w:pPr>
      <w:r>
        <w:rPr>
          <w:rStyle w:val="FootnoteReference"/>
        </w:rPr>
        <w:footnoteRef/>
      </w:r>
      <w:r>
        <w:tab/>
        <w:t>Dz.U. L 305 z 30.11.1994, s. 6-8.</w:t>
      </w:r>
    </w:p>
  </w:footnote>
  <w:footnote w:id="3">
    <w:p>
      <w:pPr>
        <w:pStyle w:val="FootnoteText"/>
      </w:pPr>
      <w:r>
        <w:rPr>
          <w:rStyle w:val="FootnoteReference"/>
        </w:rPr>
        <w:footnoteRef/>
      </w:r>
      <w:r>
        <w:tab/>
        <w:t>Działanie przygotowawcze w rozumieniu art. 54 ust. 2 rozporządzenia Parlamentu Europejskiego i Rady (UE, Euratom) nr 966/2012 z dnia 25 października 2012 r. w sprawie zasad finansowych mających zastosowanie do budżetu ogólnego Unii oraz uchylającego rozporządzenie Rady (WE, Euratom) nr 1605/2002 (Dz.U. L 298 z 26.10.2012, s. 1).</w:t>
      </w:r>
    </w:p>
  </w:footnote>
  <w:footnote w:id="4">
    <w:p>
      <w:pPr>
        <w:pStyle w:val="FootnoteText"/>
      </w:pPr>
      <w:r>
        <w:rPr>
          <w:rStyle w:val="FootnoteReference"/>
        </w:rPr>
        <w:footnoteRef/>
      </w:r>
      <w:r>
        <w:tab/>
        <w:t>COM(2013) 542: W kierunku bardziej konkurencyjnego i wydajnego sektora obronności i bezpieczeństwa.</w:t>
      </w:r>
    </w:p>
  </w:footnote>
  <w:footnote w:id="5">
    <w:p>
      <w:pPr>
        <w:pStyle w:val="FootnoteText"/>
      </w:pPr>
      <w:r>
        <w:rPr>
          <w:rStyle w:val="FootnoteReference"/>
        </w:rPr>
        <w:footnoteRef/>
      </w:r>
      <w:r>
        <w:tab/>
        <w:t>Rezolucja Parlamentu Europejskiego z dnia 21 listopada 2013 r. w sprawie europejskiej bazy technologiczno-przemysłowej sektora obronnego (2013/2125(INI)).</w:t>
      </w:r>
    </w:p>
  </w:footnote>
  <w:footnote w:id="6">
    <w:p>
      <w:pPr>
        <w:pStyle w:val="FootnoteText"/>
      </w:pPr>
      <w:r>
        <w:rPr>
          <w:rStyle w:val="FootnoteReference"/>
        </w:rPr>
        <w:footnoteRef/>
      </w:r>
      <w:r>
        <w:tab/>
        <w:t>Konkluzje Rady Europejskiej z 19–20 grudnia 2013 r. (EUCO 217/13).</w:t>
      </w:r>
    </w:p>
  </w:footnote>
  <w:footnote w:id="7">
    <w:p>
      <w:pPr>
        <w:pStyle w:val="FootnoteText"/>
      </w:pPr>
      <w:r>
        <w:rPr>
          <w:rStyle w:val="FootnoteReference"/>
        </w:rPr>
        <w:footnoteRef/>
      </w:r>
      <w:r>
        <w:tab/>
        <w:t>Konkluzje Rady Europejskiej z 25-26 czerwca 2015 r. (EUCO 22/15).</w:t>
      </w:r>
    </w:p>
  </w:footnote>
  <w:footnote w:id="8">
    <w:p>
      <w:pPr>
        <w:pStyle w:val="FootnoteText"/>
      </w:pPr>
      <w:r>
        <w:rPr>
          <w:rStyle w:val="FootnoteReference"/>
        </w:rPr>
        <w:footnoteRef/>
      </w:r>
      <w:r>
        <w:tab/>
        <w:t>Europejska Agencja Obrony określa „badania i technologie” jako badania w dziedzinie obronności kształtujące się pomiędzy poziomem 1 i 6 gotowości technologicznej.</w:t>
      </w:r>
    </w:p>
  </w:footnote>
  <w:footnote w:id="9">
    <w:p>
      <w:pPr>
        <w:pStyle w:val="FootnoteText"/>
      </w:pPr>
      <w:r>
        <w:rPr>
          <w:rStyle w:val="FootnoteReference"/>
        </w:rPr>
        <w:footnoteRef/>
      </w:r>
      <w:r>
        <w:tab/>
        <w:t>Dz.U. L 305 z 30.11.1994, s. 6-8.</w:t>
      </w:r>
    </w:p>
  </w:footnote>
  <w:footnote w:id="10">
    <w:p>
      <w:pPr>
        <w:pStyle w:val="FootnoteText"/>
      </w:pPr>
      <w:r>
        <w:rPr>
          <w:rStyle w:val="FootnoteReference"/>
        </w:rPr>
        <w:footnoteRef/>
      </w:r>
      <w:r>
        <w:tab/>
        <w:t>Dz.U. L 248 z 16.9.2002, s. 1.</w:t>
      </w:r>
    </w:p>
  </w:footnote>
  <w:footnote w:id="11">
    <w:p>
      <w:pPr>
        <w:pStyle w:val="FootnoteText"/>
      </w:pPr>
      <w:r>
        <w:rPr>
          <w:rStyle w:val="FootnoteReference"/>
        </w:rPr>
        <w:footnoteRef/>
      </w:r>
      <w:r>
        <w:tab/>
        <w:t xml:space="preserve">Dz.U. L 1 z 3.1.1994, s.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4677B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C4EE0E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C5A8725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B0F05B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025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CE31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DE7DC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80626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num>
  <w:num w:numId="11">
    <w:abstractNumId w:val="12"/>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10-02 09:51: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A8D1E5E436E4164B9E3A4E6E2D2A1C5"/>
    <w:docVar w:name="LW_CROSSREFERENCE" w:val="&lt;UNUSED&gt;"/>
    <w:docVar w:name="LW_DocType" w:val="COM"/>
    <w:docVar w:name="LW_EMISSION" w:val="5.10.2017"/>
    <w:docVar w:name="LW_EMISSION_ISODATE" w:val="2017-10-05"/>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STATUT" w:val="SJ-019"/>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NLE"/>
    <w:docVar w:name="LW_REF.II.NEW.CP_NUMBER" w:val="0253"/>
    <w:docVar w:name="LW_REF.II.NEW.CP_YEAR" w:val="2017"/>
    <w:docVar w:name="LW_REF.INST.NEW" w:val="COM"/>
    <w:docVar w:name="LW_REF.INST.NEW_ADOPTED" w:val="final"/>
    <w:docVar w:name="LW_REF.INST.NEW_TEXT" w:val="(2017) 582"/>
    <w:docVar w:name="LW_REF.INTERNE" w:val="&lt;UNUSED&gt;"/>
    <w:docVar w:name="LW_SOUS.TITRE.OBJ.CP" w:val="&lt;UNUSED&gt;"/>
    <w:docVar w:name="LW_STATUT.CP" w:val="Wniosek"/>
    <w:docVar w:name="LW_SUPERTITRE" w:val="&lt;UNUSED&gt;"/>
    <w:docVar w:name="LW_TITRE.OBJ.CP" w:val="w sprawie stanowiska, jakie nale\u380?y przyj\u261?\u263? w imieniu Unii Europejskiej we Wspólnym Komitecie EOG, dotycz\u261?cego zmiany protoko\u322?u 31 do Porozumienia EOG_x000b__x000b_(Dzia\u322?anie przygotowawcze Unii w zakresie bada\u324? nad obronno\u347?ci\u261?)"/>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Strong">
    <w:name w:val="Strong"/>
    <w:uiPriority w:val="22"/>
    <w:qFormat/>
    <w:rPr>
      <w:b/>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character" w:styleId="Hyperlink">
    <w:name w:val="Hyperlink"/>
    <w:uiPriority w:val="99"/>
    <w:unhideWhenUsed/>
    <w:rPr>
      <w:color w:val="0000FF"/>
      <w:u w:val="single"/>
    </w:rPr>
  </w:style>
  <w:style w:type="paragraph" w:styleId="Revision">
    <w:name w:val="Revision"/>
    <w:hidden/>
    <w:uiPriority w:val="99"/>
    <w:semiHidden/>
    <w:rPr>
      <w:rFonts w:ascii="Times New Roman" w:hAnsi="Times New Roman"/>
      <w:sz w:val="24"/>
    </w:rPr>
  </w:style>
  <w:style w:type="character" w:customStyle="1" w:styleId="Point0Char">
    <w:name w:val="Point 0 Char"/>
    <w:rPr>
      <w:rFonts w:ascii="Times New Roman" w:hAnsi="Times New Roman"/>
      <w:sz w:val="22"/>
      <w:lang w:val="pl-PL" w:eastAsia="pl-PL"/>
    </w:rPr>
  </w:style>
  <w:style w:type="paragraph" w:styleId="ListParagraph">
    <w:name w:val="List Paragraph"/>
    <w:basedOn w:val="Normal"/>
    <w:uiPriority w:val="34"/>
    <w:qFormat/>
    <w:pPr>
      <w:spacing w:before="0" w:after="200" w:line="276" w:lineRule="auto"/>
      <w:ind w:left="720"/>
      <w:contextualSpacing/>
      <w:jc w:val="left"/>
    </w:pPr>
    <w:rPr>
      <w:sz w:val="20"/>
      <w:szCs w:val="20"/>
    </w:rPr>
  </w:style>
  <w:style w:type="paragraph" w:styleId="BodyTextIndent">
    <w:name w:val="Body Text Indent"/>
    <w:basedOn w:val="Normal"/>
    <w:link w:val="BodyTextIndentChar"/>
    <w:uiPriority w:val="99"/>
    <w:unhideWhenUsed/>
    <w:pPr>
      <w:spacing w:before="0"/>
      <w:ind w:left="283"/>
      <w:jc w:val="left"/>
    </w:pPr>
    <w:rPr>
      <w:szCs w:val="24"/>
    </w:rPr>
  </w:style>
  <w:style w:type="character" w:customStyle="1" w:styleId="BodyTextIndentChar">
    <w:name w:val="Body Text Indent Char"/>
    <w:link w:val="BodyTextIndent"/>
    <w:uiPriority w:val="99"/>
    <w:locked/>
    <w:rPr>
      <w:rFonts w:ascii="Times New Roman" w:hAnsi="Times New Roman"/>
      <w:sz w:val="24"/>
      <w:lang w:val="pl-PL" w:eastAsia="pl-PL"/>
    </w:rPr>
  </w:style>
  <w:style w:type="character" w:styleId="Emphasis">
    <w:name w:val="Emphasis"/>
    <w:uiPriority w:val="20"/>
    <w:qFormat/>
    <w:rPr>
      <w:b/>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rPr>
  </w:style>
  <w:style w:type="character" w:styleId="EndnoteReference">
    <w:name w:val="endnote reference"/>
    <w:uiPriority w:val="99"/>
    <w:semiHidden/>
    <w:unhideWhenUsed/>
    <w:rPr>
      <w:vertAlign w:val="superscript"/>
    </w:rPr>
  </w:style>
  <w:style w:type="paragraph" w:customStyle="1" w:styleId="ListDash4">
    <w:name w:val="List Dash 4"/>
    <w:basedOn w:val="Normal"/>
    <w:pPr>
      <w:numPr>
        <w:numId w:val="11"/>
      </w:numPr>
    </w:pPr>
    <w:rPr>
      <w:szCs w:val="24"/>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92025">
      <w:marLeft w:val="0"/>
      <w:marRight w:val="0"/>
      <w:marTop w:val="0"/>
      <w:marBottom w:val="0"/>
      <w:divBdr>
        <w:top w:val="none" w:sz="0" w:space="0" w:color="auto"/>
        <w:left w:val="none" w:sz="0" w:space="0" w:color="auto"/>
        <w:bottom w:val="none" w:sz="0" w:space="0" w:color="auto"/>
        <w:right w:val="none" w:sz="0" w:space="0" w:color="auto"/>
      </w:divBdr>
    </w:div>
    <w:div w:id="1016692026">
      <w:marLeft w:val="0"/>
      <w:marRight w:val="0"/>
      <w:marTop w:val="0"/>
      <w:marBottom w:val="0"/>
      <w:divBdr>
        <w:top w:val="none" w:sz="0" w:space="0" w:color="auto"/>
        <w:left w:val="none" w:sz="0" w:space="0" w:color="auto"/>
        <w:bottom w:val="none" w:sz="0" w:space="0" w:color="auto"/>
        <w:right w:val="none" w:sz="0" w:space="0" w:color="auto"/>
      </w:divBdr>
    </w:div>
    <w:div w:id="101669202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 w:id="1016692029">
      <w:marLeft w:val="0"/>
      <w:marRight w:val="0"/>
      <w:marTop w:val="0"/>
      <w:marBottom w:val="0"/>
      <w:divBdr>
        <w:top w:val="none" w:sz="0" w:space="0" w:color="auto"/>
        <w:left w:val="none" w:sz="0" w:space="0" w:color="auto"/>
        <w:bottom w:val="none" w:sz="0" w:space="0" w:color="auto"/>
        <w:right w:val="none" w:sz="0" w:space="0" w:color="auto"/>
      </w:divBdr>
    </w:div>
    <w:div w:id="1016692030">
      <w:marLeft w:val="0"/>
      <w:marRight w:val="0"/>
      <w:marTop w:val="0"/>
      <w:marBottom w:val="0"/>
      <w:divBdr>
        <w:top w:val="none" w:sz="0" w:space="0" w:color="auto"/>
        <w:left w:val="none" w:sz="0" w:space="0" w:color="auto"/>
        <w:bottom w:val="none" w:sz="0" w:space="0" w:color="auto"/>
        <w:right w:val="none" w:sz="0" w:space="0" w:color="auto"/>
      </w:divBdr>
    </w:div>
    <w:div w:id="1016692031">
      <w:marLeft w:val="0"/>
      <w:marRight w:val="0"/>
      <w:marTop w:val="0"/>
      <w:marBottom w:val="0"/>
      <w:divBdr>
        <w:top w:val="none" w:sz="0" w:space="0" w:color="auto"/>
        <w:left w:val="none" w:sz="0" w:space="0" w:color="auto"/>
        <w:bottom w:val="none" w:sz="0" w:space="0" w:color="auto"/>
        <w:right w:val="none" w:sz="0" w:space="0" w:color="auto"/>
      </w:divBdr>
    </w:div>
    <w:div w:id="1016692032">
      <w:marLeft w:val="0"/>
      <w:marRight w:val="0"/>
      <w:marTop w:val="0"/>
      <w:marBottom w:val="0"/>
      <w:divBdr>
        <w:top w:val="none" w:sz="0" w:space="0" w:color="auto"/>
        <w:left w:val="none" w:sz="0" w:space="0" w:color="auto"/>
        <w:bottom w:val="none" w:sz="0" w:space="0" w:color="auto"/>
        <w:right w:val="none" w:sz="0" w:space="0" w:color="auto"/>
      </w:divBdr>
    </w:div>
    <w:div w:id="1016692033">
      <w:marLeft w:val="0"/>
      <w:marRight w:val="0"/>
      <w:marTop w:val="0"/>
      <w:marBottom w:val="0"/>
      <w:divBdr>
        <w:top w:val="none" w:sz="0" w:space="0" w:color="auto"/>
        <w:left w:val="none" w:sz="0" w:space="0" w:color="auto"/>
        <w:bottom w:val="none" w:sz="0" w:space="0" w:color="auto"/>
        <w:right w:val="none" w:sz="0" w:space="0" w:color="auto"/>
      </w:divBdr>
    </w:div>
    <w:div w:id="1016692034">
      <w:marLeft w:val="0"/>
      <w:marRight w:val="0"/>
      <w:marTop w:val="0"/>
      <w:marBottom w:val="0"/>
      <w:divBdr>
        <w:top w:val="none" w:sz="0" w:space="0" w:color="auto"/>
        <w:left w:val="none" w:sz="0" w:space="0" w:color="auto"/>
        <w:bottom w:val="none" w:sz="0" w:space="0" w:color="auto"/>
        <w:right w:val="none" w:sz="0" w:space="0" w:color="auto"/>
      </w:divBdr>
    </w:div>
    <w:div w:id="1016692035">
      <w:marLeft w:val="0"/>
      <w:marRight w:val="0"/>
      <w:marTop w:val="0"/>
      <w:marBottom w:val="0"/>
      <w:divBdr>
        <w:top w:val="none" w:sz="0" w:space="0" w:color="auto"/>
        <w:left w:val="none" w:sz="0" w:space="0" w:color="auto"/>
        <w:bottom w:val="none" w:sz="0" w:space="0" w:color="auto"/>
        <w:right w:val="none" w:sz="0" w:space="0" w:color="auto"/>
      </w:divBdr>
    </w:div>
    <w:div w:id="1016692036">
      <w:marLeft w:val="0"/>
      <w:marRight w:val="0"/>
      <w:marTop w:val="0"/>
      <w:marBottom w:val="0"/>
      <w:divBdr>
        <w:top w:val="none" w:sz="0" w:space="0" w:color="auto"/>
        <w:left w:val="none" w:sz="0" w:space="0" w:color="auto"/>
        <w:bottom w:val="none" w:sz="0" w:space="0" w:color="auto"/>
        <w:right w:val="none" w:sz="0" w:space="0" w:color="auto"/>
      </w:divBdr>
    </w:div>
    <w:div w:id="1016692037">
      <w:marLeft w:val="0"/>
      <w:marRight w:val="0"/>
      <w:marTop w:val="0"/>
      <w:marBottom w:val="0"/>
      <w:divBdr>
        <w:top w:val="none" w:sz="0" w:space="0" w:color="auto"/>
        <w:left w:val="none" w:sz="0" w:space="0" w:color="auto"/>
        <w:bottom w:val="none" w:sz="0" w:space="0" w:color="auto"/>
        <w:right w:val="none" w:sz="0" w:space="0" w:color="auto"/>
      </w:divBdr>
    </w:div>
    <w:div w:id="16875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7E4E-6E39-434D-AD45-B52E229B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1436</Words>
  <Characters>9036</Characters>
  <Application>Microsoft Office Word</Application>
  <DocSecurity>0</DocSecurity>
  <Lines>167</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2016-10-03T15:45:00Z</cp:lastPrinted>
  <dcterms:created xsi:type="dcterms:W3CDTF">2017-09-26T15:31:00Z</dcterms:created>
  <dcterms:modified xsi:type="dcterms:W3CDTF">2017-10-02T07:51:00Z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