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FA4B076D75B84D979E2B67111A0D3AB6" style="width:450.55pt;height:379.4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</w:rPr>
        <w:t>•</w:t>
      </w:r>
      <w:r>
        <w:rPr>
          <w:noProof/>
        </w:rPr>
        <w:tab/>
        <w:t>Ir-raġunijiet għall-proposta u l-għanijiet tagħha</w:t>
      </w:r>
    </w:p>
    <w:p>
      <w:pPr>
        <w:rPr>
          <w:noProof/>
        </w:rPr>
      </w:pPr>
      <w:r>
        <w:rPr>
          <w:noProof/>
        </w:rPr>
        <w:t>L-abbozz tad-Deċiżjoni tal-Kumitat Konġunt taż-ŻEE (anness mad-Deċiżjoni tal-Kunsill proposta) għandu l-għan li jemenda l-Protokoll 31 tal-Ftehim taż-ŻEE sabiex tiġi estiża l-kooperazzjoni tal-Partijiet Kontraenti tal-Ftehim ŻEE biex tinkludi l-parteċipazzjoni tal-Istati taż-ŻEE EFTA tal-Unjoni rigward l-Azzjoni Preparatorja għar-Riċerka dwar id-Difiża (minn hawn ’il quddiem “Azzjoni Preparatorja”). Billi l-Liechtenstein u l-Iżlanda ma esprimewx l-interess tagħhom li jipparteċipaw f’din l-Azzjoni Preparatorja, għaldaqstant l-abbozz ta’ Deċiżjoni tal-Kumitat Konġunt taż-ŻEE jikkonċerna biss lin-Norveġja.</w:t>
      </w:r>
    </w:p>
    <w:p>
      <w:pPr>
        <w:pStyle w:val="ManualHeading2"/>
        <w:rPr>
          <w:rFonts w:eastAsia="Arial Unicode MS"/>
          <w:noProof/>
          <w:color w:val="000000"/>
          <w:u w:color="000000"/>
        </w:rPr>
      </w:pPr>
      <w:r>
        <w:rPr>
          <w:noProof/>
          <w:color w:val="000000"/>
          <w:u w:color="000000"/>
        </w:rPr>
        <w:t>•</w:t>
      </w:r>
      <w:r>
        <w:rPr>
          <w:noProof/>
        </w:rPr>
        <w:tab/>
        <w:t>Konsistenza ma' dispożizzjonijiet ta' politika attwali fil-qasam tal-politika</w:t>
      </w:r>
    </w:p>
    <w:p>
      <w:pPr>
        <w:rPr>
          <w:noProof/>
        </w:rPr>
      </w:pPr>
      <w:r>
        <w:rPr>
          <w:noProof/>
        </w:rPr>
        <w:t>Il-Ftehim taż-ŻEE jipprevedi fl-Artikolu 78 li l-Partijiet Kontraenti għandhom isaħħu u jwessgħu l-kooperazzjoni fil-qafas tal-attivitajiet tal-UE fl-oqsma tar-riċerka u l-iżvilupp teknoloġiku. Il-Kummissjoni, li bħalissa tiffinanzja esklussivament ir-Riċerka u l-Iżvilupp ċivili jew b’użu doppju permezz tal-programm Orizzont 2020, tqis l-Azzjoni Preparatorja bħala strument ewlieni biex ikun eżaminat il-valur miżjud tar-riċerka relatata mad-difiża mill-baġit tal-UE </w:t>
      </w:r>
    </w:p>
    <w:p>
      <w:pPr>
        <w:rPr>
          <w:noProof/>
        </w:rPr>
      </w:pPr>
      <w:r>
        <w:rPr>
          <w:noProof/>
        </w:rPr>
        <w:t>Peress li n-Norveġja kkonkludiet Arranġament Amministrattiv mal-Aġenzija Ewropea għad-Difiża u d-Direttiva dwar l-Akkwist tad-Difiża u s-Sigurtà relatata (2009/81/KE), li għandha tiżgura kompetizzjoni ġenwina u trattament ugwali f’dan il-qasam, ġiet inkorporata fil-Ftehim taż-ŻEE diġà fl-2014, il-parteċipazzjoni tan-Norveġja fl-Azzjoni Preparatorja hija konsistenti mad-dispożizzjonijiet ta’ politika eżistenti fil-qasam ta’ politika.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</w:rPr>
        <w:t>•</w:t>
      </w:r>
      <w:r>
        <w:rPr>
          <w:noProof/>
        </w:rPr>
        <w:tab/>
        <w:t>Konsistenza ma' politiki oħra tal-Unjoni</w:t>
      </w:r>
    </w:p>
    <w:p>
      <w:pPr>
        <w:rPr>
          <w:noProof/>
        </w:rPr>
      </w:pPr>
      <w:r>
        <w:rPr>
          <w:noProof/>
        </w:rPr>
        <w:t xml:space="preserve">Il-kooperazzjoni fil-qasam tar-riċerka f’teknoloġiji, prodotti u servizzi innovattivi hija kruċjali biex tiġi salvagwardjata l-kompetittività fuq tul ta’ żmien twil tas-settur tad-difiża u, fl-aħħar mill-aħħar, tal-awtonomija strateġika tal-Ewropa. Il-kooperazzjoni man-Norveġja se tikkontribwixxi b’mod pożittiv għall-isforzi tal-UE f’dan il-qasam. </w:t>
      </w:r>
    </w:p>
    <w:p>
      <w:pPr>
        <w:rPr>
          <w:noProof/>
        </w:rPr>
      </w:pPr>
      <w:r>
        <w:rPr>
          <w:noProof/>
        </w:rPr>
        <w:t xml:space="preserve">Il-Kummissjoni tirrikonoxxi li l-Azzjoni Preparatorja hija parti mill-politiki tagħha marbuta mas-suq intern, l-industrija u r-riċerka. Aktar tisħiħ tal-kooperazzjoni f’dan il-qasam huwa għalhekk konformi mal-għanijiet tal-Ftehim taż-ŻEE.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IL-BAŻI ĠURIDIKA, IS-SUSSIDJARJETÀ U L-PROPORZJONALITÀ</w:t>
      </w:r>
    </w:p>
    <w:p>
      <w:pPr>
        <w:pStyle w:val="ManualHeading2"/>
        <w:rPr>
          <w:rFonts w:eastAsia="Arial Unicode MS"/>
          <w:noProof/>
          <w:u w:color="000000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rPr>
          <w:noProof/>
          <w:color w:val="000000"/>
        </w:rPr>
      </w:pPr>
      <w:r>
        <w:rPr>
          <w:noProof/>
        </w:rPr>
        <w:t>Il-bażi ġuridika hija l-Artikoli 54(2)(b), 84(2) u l-Artikolu 124 tar-Regolament (UE, Euratom) Nru 966/2012 tal-Parlament Ewropew u tal-Kunsill tal-25 ta’ Ottubru 2012 dwar ir-regoli finanzjarji applikabbli għall-baġit ġenerali tal-Unjoni u li jħassar ir-Regolament tal-Kunsill (KE, Euratom) Nru 1605/2002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flimkien mal-</w:t>
      </w:r>
      <w:r>
        <w:rPr>
          <w:noProof/>
          <w:color w:val="000000"/>
        </w:rPr>
        <w:t>Artikolu 1(3) tar-Regolament tal-Kunsill (KE) Nru 2894/94</w:t>
      </w:r>
      <w:r>
        <w:rPr>
          <w:rStyle w:val="FootnoteReference"/>
          <w:noProof/>
        </w:rPr>
        <w:footnoteReference w:id="2"/>
      </w:r>
      <w:r>
        <w:rPr>
          <w:noProof/>
          <w:color w:val="000000"/>
        </w:rPr>
        <w:t xml:space="preserve"> dwar l-arranġamenti għall-implimentazzjoni tal-Ftehim taż-ŻEE li jipprovdi li l-Kunsill jistabbilixxi l-pożizzjoni li għandha tiġi adottata f’isem l-Unjoni dwar Deċiżjonijiet bħal dawn, fuq proposta mill-Kummissjoni. </w:t>
      </w:r>
    </w:p>
    <w:p>
      <w:pPr>
        <w:rPr>
          <w:noProof/>
        </w:rPr>
      </w:pPr>
      <w:r>
        <w:rPr>
          <w:noProof/>
        </w:rPr>
        <w:lastRenderedPageBreak/>
        <w:t>Il-Kummissjoni tippreżenta, f'kooperazzjoni mas-SEAE, l-abbozz tad-Deċiżjoni tal-Kumitat Konġunt taż-ŻEE għall-adozzjoni mill-Kunsill bħala l-pożizzjoni tal-Unjoni. Il-Kummissjoni tittama li tkun fil-qagħda li tippreżentah fil-Kumitat Konġunt taż-ŻEE kemm jista’ ikun malajr.</w:t>
      </w:r>
    </w:p>
    <w:p>
      <w:pPr>
        <w:pStyle w:val="ManualHeading2"/>
        <w:rPr>
          <w:rFonts w:eastAsia="Arial Unicode MS"/>
          <w:noProof/>
          <w:u w:color="000000"/>
        </w:rPr>
      </w:pPr>
      <w:r>
        <w:rPr>
          <w:noProof/>
        </w:rPr>
        <w:t>•</w:t>
      </w:r>
      <w:r>
        <w:rPr>
          <w:noProof/>
        </w:rPr>
        <w:tab/>
        <w:t xml:space="preserve">Sussidjarjetà (għall-kompetenza mhux esklużiva) </w:t>
      </w:r>
    </w:p>
    <w:p>
      <w:pPr>
        <w:rPr>
          <w:rFonts w:cs="EUAlbertina"/>
          <w:noProof/>
          <w:color w:val="000000"/>
        </w:rPr>
      </w:pPr>
      <w:r>
        <w:rPr>
          <w:noProof/>
        </w:rPr>
        <w:t xml:space="preserve">Il-proposta hija konformi mal-prinċipju tas-sussidjarjetà għar-raġuni li ġejja. </w:t>
      </w:r>
    </w:p>
    <w:p>
      <w:pPr>
        <w:rPr>
          <w:rFonts w:cs="EUAlbertina"/>
          <w:noProof/>
          <w:color w:val="000000"/>
          <w:szCs w:val="24"/>
        </w:rPr>
      </w:pPr>
      <w:r>
        <w:rPr>
          <w:noProof/>
          <w:color w:val="000000"/>
        </w:rPr>
        <w:t xml:space="preserve">L-objettiv ta’ din il-proposta, partikolarment biex tiġi stabbilita kooperazzjoni fil-qasam tar-riċerka dwar id-difiża ma-Istati tal-EFTA taż-ŻEE permezz tal-parteċipazzjoni tagħha f’Azzjoni Preparatorja ffinanzjata mill-baġit tal-UE, ma jistax jinkiseb b’mod suffiċjenti mill-Istati Membri u jista’ għalhekk, minħabba l-effetti, jintlaħaq aħjar fil-livell tal-Unjoni. </w:t>
      </w:r>
    </w:p>
    <w:p>
      <w:pPr>
        <w:pStyle w:val="ManualHeading2"/>
        <w:rPr>
          <w:rFonts w:eastAsia="Arial Unicode MS"/>
          <w:noProof/>
          <w:u w:color="000000"/>
        </w:rPr>
      </w:pPr>
      <w:r>
        <w:rPr>
          <w:noProof/>
        </w:rPr>
        <w:t>•</w:t>
      </w:r>
      <w:r>
        <w:rPr>
          <w:noProof/>
        </w:rPr>
        <w:tab/>
        <w:t>Il-proporzjonalità</w:t>
      </w:r>
    </w:p>
    <w:p>
      <w:pPr>
        <w:spacing w:before="0" w:after="240"/>
        <w:rPr>
          <w:rFonts w:cs="EUAlbertina"/>
          <w:noProof/>
          <w:color w:val="000000"/>
          <w:szCs w:val="24"/>
        </w:rPr>
      </w:pPr>
      <w:r>
        <w:rPr>
          <w:noProof/>
          <w:color w:val="000000"/>
        </w:rPr>
        <w:t>F’konformità mal-prinċipju tal-proporzjonalità, il-proposta ma tmurx lil hinn minn dak li hu meħtieġ sabiex jintlaħaq l-għan tagħha – li tissaħħaħ u titwessa’ l-kooperazzjoni fil-qafas tal-attivitajiet tal-UE fl-oqsma tar-riċerka u l-iżvilupp teknoloġiku.</w:t>
      </w:r>
    </w:p>
    <w:p>
      <w:pPr>
        <w:pStyle w:val="ManualHeading2"/>
        <w:rPr>
          <w:rFonts w:eastAsia="Arial Unicode MS"/>
          <w:noProof/>
          <w:u w:color="000000"/>
        </w:rPr>
      </w:pPr>
      <w:r>
        <w:rPr>
          <w:noProof/>
        </w:rPr>
        <w:t>•</w:t>
      </w:r>
      <w:r>
        <w:rPr>
          <w:noProof/>
        </w:rPr>
        <w:tab/>
        <w:t>L-għażla tal-istrument</w:t>
      </w:r>
    </w:p>
    <w:p>
      <w:pPr>
        <w:spacing w:before="0" w:after="240"/>
        <w:rPr>
          <w:bCs/>
          <w:noProof/>
          <w:szCs w:val="24"/>
        </w:rPr>
      </w:pPr>
      <w:r>
        <w:rPr>
          <w:noProof/>
        </w:rPr>
        <w:t xml:space="preserve">F'konformità mal-Artikolu 98 tal-Ftehim ŻEE, l-istrument magħżul huwa d-Deċiżjoni tal-Kumitat Konġunt taż-ŻEE. Il-Kumitat Konġunt taż-ŻEE għandu jiżgura l-implimentazzjoni u l-operat effettivi tal-Ftehim dwar iż-ŻEE. Għal dan l-għan, għandu jieħu deċiżjonijiet fil-każijiet previsti fil-Ftehim ŻEE.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RIŻULTATI TAL-EVALWAZZJONIJIET EX POST,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</w:rPr>
      </w:pPr>
      <w:r>
        <w:rPr>
          <w:noProof/>
        </w:rPr>
        <w:t>•</w:t>
      </w:r>
      <w:r>
        <w:rPr>
          <w:noProof/>
        </w:rPr>
        <w:tab/>
        <w:t xml:space="preserve">Ġbir u użu tal-kompetenzi u l-valutazzjoni tal-impatt 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Fl-2013, il-Kummissjoni qieset li tniedi Azzjoni Preparatorja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għar-Riċerka dwar id-Difiża f’appoġġ ta’ suq aktar kompetittiv u effiċjenti fis-settur tad-difiża u s-sigurtà</w:t>
      </w:r>
      <w:r>
        <w:rPr>
          <w:rStyle w:val="FootnoteReference"/>
          <w:noProof/>
        </w:rPr>
        <w:footnoteReference w:id="4"/>
      </w:r>
      <w:r>
        <w:rPr>
          <w:noProof/>
        </w:rPr>
        <w:t>. Il-Parlament Ewropew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u l-Kunsill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laqgħu din l-inizjattiva u stiednu lill-Kummissjoni biex tiżviluppa proposta biex timplimenta l-Azzjoni Preparatorja. Fl-2015, il-Kunsill Ewropew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innota l-ħtieġa li jiġi żgurat finanzjament adatt għall-Azzjoni Preparatorja, li jwitti t-triq għall-programm futur għar-riċerka u t-teknoloġija tad-difiża</w:t>
      </w:r>
      <w:r>
        <w:rPr>
          <w:rStyle w:val="FootnoteReference"/>
          <w:noProof/>
        </w:rPr>
        <w:footnoteReference w:id="8"/>
      </w:r>
      <w:r>
        <w:rPr>
          <w:noProof/>
        </w:rPr>
        <w:t>.</w:t>
      </w:r>
    </w:p>
    <w:p>
      <w:pPr>
        <w:pStyle w:val="ManualHeading2"/>
        <w:rPr>
          <w:noProof/>
        </w:rPr>
      </w:pPr>
      <w:r>
        <w:rPr>
          <w:noProof/>
        </w:rPr>
        <w:lastRenderedPageBreak/>
        <w:t>4.</w:t>
      </w:r>
      <w:r>
        <w:rPr>
          <w:noProof/>
        </w:rPr>
        <w:tab/>
        <w:t>L-IMPLIKAZZJONIJIET BAĠITARJI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>In-Norveġja għandha tikkontribwixxi finanzjarjament għall-Linja tal-Baġit 02 04 77 03: “Azzjoni preparatorja fuq ir-riċerka dwar id-Difiża”. Il-kontribuzzjoni Norveġiża għall-2017 hija mistennija li tkun: EUR 585 000.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spacing w:before="0" w:after="240"/>
        <w:rPr>
          <w:noProof/>
        </w:rPr>
      </w:pPr>
      <w:r>
        <w:rPr>
          <w:noProof/>
        </w:rPr>
        <w:t>Skont il-politika baġitarja tal-UE, kull parteċipazzjoni f’attività tal-UE tista’ sseħħ biss wara li jitħallsu l-kontribuzzjonijiet finanzjarji korrispondenti. Il-ħlas jista’ madankollu jseħħ ladarba dan l-abbozz ta’ Deċiżjoni tal-Kunsill jiġi adottat u wara li s-sejħa għal fondi tal-UE stabbilita mill-Kummissjoni Ewropea tkun sottomessa lill-Istati tal-EFTA taż-ŻEE.</w:t>
      </w:r>
    </w:p>
    <w:p>
      <w:pPr>
        <w:spacing w:before="0" w:after="240"/>
        <w:rPr>
          <w:noProof/>
        </w:rPr>
      </w:pPr>
      <w:r>
        <w:rPr>
          <w:noProof/>
        </w:rPr>
        <w:t>Għalhekk, sabiex jiġi inkluż il-perjodu bejn l-adozzjoni tad-“Deċiżjoni tal-Kummissjoni dwar il-finanzjament tal- “Azzjoni preparatorja fuq ir-riċerka dwar id-Difiża” u l-użu tal-ispejjeż għal kull unità għas-sena 2017” fl-11 ta’ April 2017, u l-ilqugħ tal-ħlas rispettiv, l-abbozz tad-Deċiżjoni tal-Kumitat Konġunt għandha tkun applikabbli b’mod retroattiv mill-11 ta’ April 2017. L-istituzzjonijiet, l-impriżi, l-organizzazzjonijiet u ċ-ċittadini tan-Norveġja għandhom għalhekk ikunu intitolati li jipparteċipaw f’attivitajiet li jibdew qabel id-dħul fis-seħħ ta’ din id-Deċiżjoni tal-Kumitat Konġunt taż-ŻEE. L-ispejjeż sostnuti għall-parteċipazzjoni tagħhom għal dawn l-attivitajiet, li l-implimentazzjoni tagħhom tibda wara l-11 ta’ April 2017, għandhom jitqiesu bħala eliġibbli taħt l-istess kundizzjonijiet bħal dawk applikabbli għal spejjeż imġarrba minn istituzzjonijiet, impriżi, organizzazzjonijiet u ċittadini tal-Istati Membri tal-UE, sakemm din id-Deċiżjoni tidħol fis-seħħ qabel it-tmiem tal-azzjoni preparatorja kkonċernata.</w:t>
      </w:r>
    </w:p>
    <w:p>
      <w:pPr>
        <w:spacing w:before="0" w:after="240"/>
        <w:rPr>
          <w:noProof/>
        </w:rPr>
      </w:pPr>
      <w:r>
        <w:rPr>
          <w:noProof/>
        </w:rPr>
        <w:t xml:space="preserve">Ir-retroattività ma taffettwax id-drittijiet u l-obbligi tal-persuni kkonċernati u tirrispetta l-prinċipju tal-aspettattivi leġittimi. </w:t>
      </w:r>
    </w:p>
    <w:p>
      <w:pPr>
        <w:rPr>
          <w:noProof/>
        </w:rPr>
      </w:pPr>
      <w:r>
        <w:rPr>
          <w:noProof/>
        </w:rPr>
        <w:t xml:space="preserve">Barra minn hekk, f'konformità mal-Protokoll 32, l-Artikolu 1(8) taż-ŻEE, Deċiżjoni tal-Kumitat Konġunt taż-ŻEE li tistabbilixxi parteċipazzjoni tal-Istat tal-EFTA taż-ŻEE f'attività inkluża fl-Anness taż-ŻEE għall-baġit ġenerali tal-Unjoni Ewropea għandha tiġi adottata sal-10 ta’ Lulju. Jekk le, il-kooperazzjoni għandha tkun differita għas-sena ta’ wara, sakemm ma jkunx miftiehem mod ieħor. </w:t>
      </w:r>
    </w:p>
    <w:p>
      <w:pPr>
        <w:rPr>
          <w:noProof/>
        </w:rPr>
      </w:pPr>
      <w:r>
        <w:rPr>
          <w:noProof/>
        </w:rPr>
        <w:t>Minħabba l-importanza li l-kooperazzjoni tinbeda mill-bidu tal-Azzjoni Preparatorja, id-Deċiżjoni tal-Kumitat Konġunt taż-ŻEE mehmuża tipprevedi li l-kooperazzjoni għandha tibda mill-11 ta’ April 2017, anki jekk din id-Deċiżjoni tal-Kumitat Konġunt taż-ŻEE tiġi adottata wara l-10 ta’ Lulju 2017.</w:t>
      </w:r>
    </w:p>
    <w:p>
      <w:pPr>
        <w:rPr>
          <w:noProof/>
        </w:rPr>
      </w:pPr>
      <w:r>
        <w:rPr>
          <w:noProof/>
        </w:rPr>
        <w:br w:type="page"/>
      </w:r>
    </w:p>
    <w:p>
      <w:pPr>
        <w:pStyle w:val="Rfrenceinterinstitutionnelle"/>
        <w:rPr>
          <w:noProof/>
        </w:rPr>
      </w:pPr>
      <w:r>
        <w:rPr>
          <w:noProof/>
        </w:rPr>
        <w:t>2017/0253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għandha tiġi adottata, f'isem l-Unjoni Ewropea, fil-Kumitat Konġunt taż-ŻEE fir-rigward ta' emenda għall-Protokoll 31 tal-Ftehim ŻEE</w:t>
      </w:r>
      <w:r>
        <w:rPr>
          <w:noProof/>
        </w:rPr>
        <w:br/>
      </w:r>
      <w:r>
        <w:rPr>
          <w:noProof/>
        </w:rPr>
        <w:br/>
        <w:t>(Azzjoni preparatorja tal-Unjoni fuq ir-Riċerka dwar id-Difiża)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b'mod partikolari l-Artikolu 218(9) tiegħu,</w:t>
      </w:r>
    </w:p>
    <w:p>
      <w:pPr>
        <w:rPr>
          <w:noProof/>
        </w:rPr>
      </w:pPr>
      <w:r>
        <w:rPr>
          <w:noProof/>
        </w:rPr>
        <w:t>Wara li kkunsidra r-Regolament tal-Kunsill (KE) Nru 2894/94 tat-28 ta' Novembru 1994 dwar l-arranġamenti għall-implimentazzjoni tal-Ftehim dwar iż-Żona Ekonomika Ewropea</w:t>
      </w:r>
      <w:r>
        <w:rPr>
          <w:rStyle w:val="FootnoteReference"/>
          <w:noProof/>
        </w:rPr>
        <w:footnoteReference w:id="9"/>
      </w:r>
      <w:r>
        <w:rPr>
          <w:noProof/>
        </w:rPr>
        <w:t>, u b'mod partikolari l-Artikolu 1(3) tiegħu,</w:t>
      </w:r>
    </w:p>
    <w:p>
      <w:pPr>
        <w:rPr>
          <w:noProof/>
        </w:rPr>
      </w:pPr>
      <w:r>
        <w:rPr>
          <w:noProof/>
        </w:rPr>
        <w:t>Wara li kkunsidra ir-Regolament (UE, Euratom) Nru 966/2012 tal-Parlament Ewropew u tal-Kunsill tal-25 ta' Ottubru 2012 dwar ir-regoli finanzjarji applikabbli għall-baġit ġenerali tal-Unjoni u li jħassar ir-Regolament tal-Kunsill (KE, Euratom) Nru 1605/2002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, u b'mod partikolari l-Artikoli 54(2), 84(2)(b) u l-Artikolu 124 tiegħu, </w:t>
      </w:r>
    </w:p>
    <w:p>
      <w:pPr>
        <w:rPr>
          <w:noProof/>
        </w:rPr>
      </w:pPr>
      <w:r>
        <w:rPr>
          <w:noProof/>
        </w:rPr>
        <w:t>Wara li kkunsidra l-proposta mill-Kummissjoni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Il-Ftehim dwar iż-Żona Ekonomika Ewropea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(“il-Ftehim dwar iż-ŻEE”) daħal fis-seħħ fl-1 ta' Jannar 1994.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Skont l-Artikolu 98 tal-Ftehim ŻEE, il-Kumitat Konġunt taż-ŻEE jista' jiddeċiedi li jemenda, fost l-oħrajn, il-Protokoll 31 għall-Ftehim ŻEE (“Protokoll 31”).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Il-Protokoll 31 għall-Ftehim ŻEE fih dispożizzjonijiet dwar il-kooperazzjoni f'oqsma speċifiċi li ma jagħmlux parti mill-erba' libertajiet.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Huwa xieraq li tiġi estiża l-kooperazzjoni tal-Partijiet Kontraenti mal-Ftehim ŻEE sabiex tinkludi l-parteċipazzjoni tal-Istati tal-EFTA fl-azzjoni preparatorja tal-Unjoni fuq ir-riċerka dwar id-Difiża li hija ffinanzjata mill-baġit ġenerali tal-Unjoni Ewropea.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Huwa xieraq li l-parteċipazzjoni tal-Istati tal-EFTA fl-attivitajiet relatati ma’ din l-azzjoni preparatorja u ffinanzjati mil-linja tal-baġit 02 04 77 03 jibdew mill-11 ta’ April 2017 anki jekk id-deċiżjoni mehmuża tal-Kumitat Konġunt taż-ŻEE tiġi adottata, jew jekk it-twettiq tar-rekwiżiti kostituzzjonali għal din id-deċiżjoni, jekk ikun hemm, jiġi nnotifikat wara l-10 ta’ Lulju 2017.</w:t>
      </w:r>
    </w:p>
    <w:p>
      <w:pPr>
        <w:pStyle w:val="ManualConsidrant"/>
        <w:rPr>
          <w:noProof/>
        </w:rPr>
      </w:pPr>
      <w:r>
        <w:lastRenderedPageBreak/>
        <w:t>(6)</w:t>
      </w:r>
      <w:r>
        <w:tab/>
      </w:r>
      <w:r>
        <w:rPr>
          <w:noProof/>
        </w:rPr>
        <w:t>L-istituzzjonijiet, l-impriżi, l-organizzazzjonijiet u ċ-ċittadini tal-Istati tal-EFTA għandhom ikunu intitolati li jipparteċipaw f’attivitajiet li jibdew qabel id-dħul fis-seħħ ta’ din id-Deċiżjoni. L-ispejjeż sostnuti għall-parteċipazzjoni tagħhom f’dawn l-attivitajiet, li l-implimentazzjoni tagħhom tibda wara l-11 ta’ April 2017, għandhom jitqiesu bħala eliġibbli taħt l-istess kundizzjonijiet bħal dawk applikabbli għall-ispejjeż imġarrba mill-istituzzjonijiet, l-impriżi, l-organizzazzjonijiet u ċ-ċittadini tal-Istati Membri tal-UE sakemm id-deċiżjoni mehmuża tal-Kumitat Konġunt taż-ŻEE tidħol fis-seħħ qabel it-tmiem tal-azzjoni preparatorja kkonċernata.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Il-Protokoll 31 għall-Ftehim dwar iż-ŻEE jenħtieġ li għalhekk jiġi emendat sabiex din il-kooperazzjoni estiża tkun tista' tibda sseħħ mill-11 ta’ April 2017.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Il-pożizzjoni tal-Unjoni fi ħdan il-Kumitat Konġunt taż-ŻEE għandha tkun ibbażata fuq l-abbozz ta' Deċiżjoni mehmuż,</w:t>
      </w:r>
    </w:p>
    <w:p>
      <w:pPr>
        <w:pStyle w:val="Formuledadoption"/>
        <w:rPr>
          <w:noProof/>
        </w:rPr>
      </w:pPr>
      <w:r>
        <w:rPr>
          <w:noProof/>
        </w:rPr>
        <w:t xml:space="preserve">ADOTTA DIN ID-DEĊIŻJONI: 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rPr>
          <w:noProof/>
        </w:rPr>
      </w:pPr>
      <w:r>
        <w:rPr>
          <w:noProof/>
        </w:rPr>
        <w:t>Il-pożizzjoni li għandha tiġi adottata, f'isem l-Unjoni, fil-Kumitat Konġunt taż-ŻEE dwar l-emenda proposta fil-Protokoll 31 tal-Ftehim ŻEE, dwar kooperazzjoni f'oqsma speċifiċi barra mill-erba' libertajiet, għandha tkun ibbażata fuq l-abbozz tad-deċiżjoni tal-Kumitat Konġunt taż-ŻEE mehmuż ma' din id-Deċiżjoni.</w:t>
      </w:r>
    </w:p>
    <w:p>
      <w:pPr>
        <w:pStyle w:val="Titrearticle"/>
        <w:rPr>
          <w:noProof/>
        </w:rPr>
      </w:pPr>
      <w:r>
        <w:rPr>
          <w:noProof/>
        </w:rPr>
        <w:t>Artikolu 2</w:t>
      </w:r>
    </w:p>
    <w:p>
      <w:pPr>
        <w:keepLines/>
        <w:rPr>
          <w:noProof/>
        </w:rPr>
      </w:pPr>
      <w:r>
        <w:rPr>
          <w:noProof/>
        </w:rPr>
        <w:t>Din id-Deċiżjoni għandha tidħol fis-seħħ fil-jum tal-adozzjoni tagħha.</w:t>
      </w:r>
    </w:p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footerReference w:type="default" r:id="rId11"/>
      <w:footerReference w:type="first" r:id="rId12"/>
      <w:pgSz w:w="11907" w:h="16839"/>
      <w:pgMar w:top="1134" w:right="1417" w:bottom="1134" w:left="141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ĠU L 248, 16.09.2002, p.1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ĠU L 305, 30.11.1994, p. 6-8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Azzjonijiet ta’ tħejjija skont it-tifsira tal-Artikolu 54(2) tar-Regolament (UE, Euratom) Nru 966/2012 tal-Parlament Ewropew u tal-Kunsill tal-25 ta’ Ottubru 2012 dwar ir-regoli finanzjarji applikabbli għall-baġit ġenerali tal-Unjoni u li jħassar ir-Regolament tal-Kunsill (KE, Euratom) Nru 1605/2002 (ĠU L 298, 26.10.2012, p.1).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COM(2013)542: Lejn suq aktar kompetittiv u effiċjenti fis-settur tad-difiża u s-sigurtà.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Riżoluzzjoni tal-Parlament Ewropew tal-21 ta’ Novembru 2013 dwar il-Bażi Industrijali u Teknoloġika tad-Difiża Ewropea (2013/2125(INI)).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Il-konklużjonijiet tal-Kunsill Ewropew tal-19-20 ta' Diċembru 2013 (EUCO 217/13)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Konklużjonijiet tal-Kunsill Ewropew tat-25-26 ta’ Ġunju 2015 (EUCO 22/15)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L-Aġenzija tad-Difiża Ewropea tiddefinixxi r-Riċerka u t-Teknoloġija bħala l-attivitajiet ta’ riċerka relatati mad-difiża b’livell ta’ tħejjija teknoloġika bejn il-1 u s-6.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ĠU L 305, 30.11.1994, p. 6-8.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ĠU L 248, 16.09.2002, p.1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 xml:space="preserve">ĠU L 1, 3.1.1994, p. 3.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34677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AC4EE0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C5A872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B0F05B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AD025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9CE31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4DE7D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080626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31CD398A"/>
    <w:multiLevelType w:val="singleLevel"/>
    <w:tmpl w:val="0276BF00"/>
    <w:name w:val="List Dash 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2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2"/>
  </w:num>
  <w:num w:numId="11">
    <w:abstractNumId w:val="12"/>
  </w:num>
  <w:num w:numId="12">
    <w:abstractNumId w:val="19"/>
  </w:num>
  <w:num w:numId="13">
    <w:abstractNumId w:val="13"/>
  </w:num>
  <w:num w:numId="14">
    <w:abstractNumId w:val="21"/>
  </w:num>
  <w:num w:numId="15">
    <w:abstractNumId w:val="11"/>
  </w:num>
  <w:num w:numId="16">
    <w:abstractNumId w:val="14"/>
  </w:num>
  <w:num w:numId="17">
    <w:abstractNumId w:val="9"/>
  </w:num>
  <w:num w:numId="18">
    <w:abstractNumId w:val="20"/>
  </w:num>
  <w:num w:numId="19">
    <w:abstractNumId w:val="8"/>
  </w:num>
  <w:num w:numId="20">
    <w:abstractNumId w:val="15"/>
  </w:num>
  <w:num w:numId="21">
    <w:abstractNumId w:val="17"/>
  </w:num>
  <w:num w:numId="22">
    <w:abstractNumId w:val="18"/>
  </w:num>
  <w:num w:numId="23">
    <w:abstractNumId w:val="10"/>
  </w:num>
  <w:num w:numId="24">
    <w:abstractNumId w:val="16"/>
  </w:num>
  <w:num w:numId="25">
    <w:abstractNumId w:val="22"/>
  </w:num>
  <w:num w:numId="26">
    <w:abstractNumId w:val="19"/>
  </w:num>
  <w:num w:numId="27">
    <w:abstractNumId w:val="13"/>
  </w:num>
  <w:num w:numId="28">
    <w:abstractNumId w:val="21"/>
  </w:num>
  <w:num w:numId="29">
    <w:abstractNumId w:val="11"/>
  </w:num>
  <w:num w:numId="30">
    <w:abstractNumId w:val="14"/>
  </w:num>
  <w:num w:numId="31">
    <w:abstractNumId w:val="9"/>
  </w:num>
  <w:num w:numId="32">
    <w:abstractNumId w:val="20"/>
  </w:num>
  <w:num w:numId="33">
    <w:abstractNumId w:val="8"/>
  </w:num>
  <w:num w:numId="34">
    <w:abstractNumId w:val="15"/>
  </w:num>
  <w:num w:numId="35">
    <w:abstractNumId w:val="17"/>
  </w:num>
  <w:num w:numId="36">
    <w:abstractNumId w:val="18"/>
  </w:num>
  <w:num w:numId="37">
    <w:abstractNumId w:val="10"/>
  </w:num>
  <w:num w:numId="38">
    <w:abstractNumId w:val="16"/>
  </w:num>
  <w:num w:numId="3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oNotTrackMoves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OVERPAGE_EXISTS" w:val="True"/>
    <w:docVar w:name="DQCDateTime" w:val="2017-10-02 09:51:1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CONFIDENCE" w:val=" "/>
    <w:docVar w:name="LW_CONST_RESTREINT_UE" w:val="RESTREINT UE"/>
    <w:docVar w:name="LW_CORRIGENDUM" w:val="&lt;UNUSED&gt;"/>
    <w:docVar w:name="LW_COVERPAGE_GUID" w:val="FA4B076D75B84D979E2B67111A0D3AB6"/>
    <w:docVar w:name="LW_CROSSREFERENCE" w:val="&lt;UNUSED&gt;"/>
    <w:docVar w:name="LW_DocType" w:val="COM"/>
    <w:docVar w:name="LW_EMISSION" w:val="5.10.2017"/>
    <w:docVar w:name="LW_EMISSION_ISODATE" w:val="2017-10-05"/>
    <w:docVar w:name="LW_EMISSION_LOCATION" w:val="BRX"/>
    <w:docVar w:name="LW_EMISSION_PREFIX" w:val="Brussel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STATUT" w:val="SJ-019"/>
    <w:docVar w:name="LW_INTERETEEE.CP" w:val="&lt;UNUSED&gt;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53"/>
    <w:docVar w:name="LW_REF.II.NEW.CP_YEAR" w:val="2017"/>
    <w:docVar w:name="LW_REF.INST.NEW" w:val="COM"/>
    <w:docVar w:name="LW_REF.INST.NEW_ADOPTED" w:val="final"/>
    <w:docVar w:name="LW_REF.INST.NEW_TEXT" w:val="(2017) 582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dwar il-po\u380?izzjoni li g\u295?andha ti\u289?i adottata, f'isem l-Unjoni Ewropea, fil-Kumitat Kon\u289?unt ta\u380?-\u379?EE fir-rigward ta' emenda g\u295?all-Protokoll 31 tal-Ftehim \u379?EE_x000b__x000b_(Azzjoni preparatorja tal-Unjoni fuq ir-Ri\u267?erka dwar id-Difi\u380?a)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Strong">
    <w:name w:val="Strong"/>
    <w:uiPriority w:val="22"/>
    <w:qFormat/>
    <w:rPr>
      <w:b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paragraph" w:customStyle="1" w:styleId="CM1">
    <w:name w:val="CM1"/>
    <w:basedOn w:val="Default"/>
    <w:next w:val="Default"/>
    <w:uiPriority w:val="99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EUAlbertina" w:hAnsi="EUAlbertina"/>
      <w:color w:val="auto"/>
    </w:rPr>
  </w:style>
  <w:style w:type="character" w:styleId="CommentReference">
    <w:name w:val="annotation reference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Times New Roman" w:hAnsi="Times New Roman"/>
      <w:b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</w:rPr>
  </w:style>
  <w:style w:type="character" w:customStyle="1" w:styleId="Point0Char">
    <w:name w:val="Point 0 Char"/>
    <w:rPr>
      <w:rFonts w:ascii="Times New Roman" w:hAnsi="Times New Roman"/>
      <w:sz w:val="22"/>
      <w:lang w:val="mt-MT" w:eastAsia="mt-MT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pPr>
      <w:spacing w:before="0"/>
      <w:ind w:left="283"/>
      <w:jc w:val="left"/>
    </w:pPr>
    <w:rPr>
      <w:szCs w:val="24"/>
    </w:rPr>
  </w:style>
  <w:style w:type="character" w:customStyle="1" w:styleId="BodyTextIndentChar">
    <w:name w:val="Body Text Indent Char"/>
    <w:link w:val="BodyTextIndent"/>
    <w:uiPriority w:val="99"/>
    <w:locked/>
    <w:rPr>
      <w:rFonts w:ascii="Times New Roman" w:hAnsi="Times New Roman"/>
      <w:sz w:val="24"/>
      <w:lang w:val="mt-MT" w:eastAsia="mt-MT"/>
    </w:rPr>
  </w:style>
  <w:style w:type="character" w:styleId="Emphasis">
    <w:name w:val="Emphasis"/>
    <w:uiPriority w:val="20"/>
    <w:qFormat/>
    <w:rPr>
      <w:b/>
    </w:rPr>
  </w:style>
  <w:style w:type="character" w:customStyle="1" w:styleId="st1">
    <w:name w:val="st1"/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customStyle="1" w:styleId="ListDash4">
    <w:name w:val="List Dash 4"/>
    <w:basedOn w:val="Normal"/>
    <w:pPr>
      <w:numPr>
        <w:numId w:val="11"/>
      </w:numPr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rFonts w:eastAsia="Calibri"/>
      <w:lang w:eastAsia="en-US" w:bidi="ar-SA"/>
    </w:rPr>
  </w:style>
  <w:style w:type="character" w:customStyle="1" w:styleId="HeaderChar">
    <w:name w:val="Header Char"/>
    <w:link w:val="Header"/>
    <w:uiPriority w:val="99"/>
    <w:rPr>
      <w:rFonts w:ascii="Times New Roman" w:eastAsia="Calibri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="Calibri"/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464E-0AF7-470C-A61B-D82A03FE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1281</Words>
  <Characters>9856</Characters>
  <Application>Microsoft Office Word</Application>
  <DocSecurity>0</DocSecurity>
  <Lines>161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DIGIT/A3</cp:lastModifiedBy>
  <cp:revision>18</cp:revision>
  <cp:lastPrinted>2016-10-03T15:45:00Z</cp:lastPrinted>
  <dcterms:created xsi:type="dcterms:W3CDTF">2017-09-29T12:10:00Z</dcterms:created>
  <dcterms:modified xsi:type="dcterms:W3CDTF">2017-10-02T07:51:00Z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20141001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