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87ED1F9A71C47B3949EAB6EBED99ADD" style="width:450.75pt;height:419.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itreannex"/>
      </w:pPr>
      <w:bookmarkStart w:id="0" w:name="_GoBack"/>
      <w:bookmarkEnd w:id="0"/>
      <w:r>
        <w:lastRenderedPageBreak/>
        <w:t>DECIZIA NR. …/2017 A COMITETULUI MIXT AL SEE</w:t>
      </w:r>
      <w:r>
        <w:br/>
      </w:r>
      <w:r>
        <w:br/>
        <w:t xml:space="preserve">din </w:t>
      </w:r>
      <w:r>
        <w:br/>
      </w:r>
      <w:r>
        <w:br/>
        <w:t>de modificare a Protocolului 31 la Acordul privind SEE</w:t>
      </w:r>
      <w:r>
        <w:br/>
        <w:t>referitor la cooperarea în domenii specifice în afara celor patru libertăți</w:t>
      </w:r>
    </w:p>
    <w:p>
      <w:pPr>
        <w:pStyle w:val="Institutionquiagit"/>
        <w:rPr>
          <w:noProof/>
        </w:rPr>
      </w:pPr>
      <w:r>
        <w:rPr>
          <w:noProof/>
        </w:rPr>
        <w:t>COMITETUL MIXT AL SEE,</w:t>
      </w:r>
    </w:p>
    <w:p>
      <w:pPr>
        <w:rPr>
          <w:noProof/>
        </w:rPr>
      </w:pPr>
      <w:r>
        <w:rPr>
          <w:noProof/>
        </w:rPr>
        <w:t>având în vedere Acordul privind Spațiul Economic European („Acordul privind SEE”), în special articolele 86 și 98,</w:t>
      </w:r>
    </w:p>
    <w:p>
      <w:pPr>
        <w:rPr>
          <w:noProof/>
        </w:rPr>
      </w:pPr>
      <w:r>
        <w:rPr>
          <w:noProof/>
        </w:rPr>
        <w:t>întrucât:</w:t>
      </w:r>
    </w:p>
    <w:p>
      <w:pPr>
        <w:pStyle w:val="Considrant"/>
        <w:numPr>
          <w:ilvl w:val="0"/>
          <w:numId w:val="10"/>
        </w:numPr>
        <w:rPr>
          <w:noProof/>
        </w:rPr>
      </w:pPr>
      <w:r>
        <w:rPr>
          <w:noProof/>
        </w:rPr>
        <w:t>Este oportun să se extindă cooperarea dintre părțile contractante la Acordul privind SEE pentru a include participarea statelor AELS la acțiunea pregătitoare a Uniunii privind cercetarea în materie de apărare, care este finanțată de la bugetul general al Uniunii Europene.</w:t>
      </w:r>
    </w:p>
    <w:p>
      <w:pPr>
        <w:pStyle w:val="Considrant"/>
        <w:numPr>
          <w:ilvl w:val="0"/>
          <w:numId w:val="10"/>
        </w:numPr>
        <w:rPr>
          <w:noProof/>
        </w:rPr>
      </w:pPr>
      <w:r>
        <w:rPr>
          <w:noProof/>
        </w:rPr>
        <w:t>Este oportun ca participarea statelor AELS la activitățile legate de această acțiune pregătitoare și care sunt finanțate de la linia bugetară 02 04 77 03 să înceapă de la 11 aprilie 2017, chiar dacă prezenta decizie este adoptată după data de 10 iulie 2017 sau chiar dacă îndeplinirea eventualelor obligații constituționale aferente prezentei decizii este notificată după această dată.</w:t>
      </w:r>
    </w:p>
    <w:p>
      <w:pPr>
        <w:pStyle w:val="Considrant"/>
        <w:numPr>
          <w:ilvl w:val="0"/>
          <w:numId w:val="10"/>
        </w:numPr>
        <w:rPr>
          <w:noProof/>
        </w:rPr>
      </w:pPr>
      <w:r>
        <w:rPr>
          <w:noProof/>
        </w:rPr>
        <w:t>Instituțiile, întreprinderile, organizațiile și resortisanții statelor AELS ar trebui să aibă dreptul de a participa la activitățile care încep înainte de intrarea în vigoare a prezentei decizii. Cheltuielile suportate de acestea pentru participarea la activitățile a căror punere în aplicare începe după 11 aprilie 2017 ar trebui să fie considerate eligibile în aceleași condiții ca cele aplicabile costurilor suportate de instituțiile, întreprinderile, organizațiile și resortisanții statelor membre ale UE, cu condiția ca prezenta decizie să intre în vigoare înainte de încheierea acțiunii pregătitoare în cauză.</w:t>
      </w:r>
    </w:p>
    <w:p>
      <w:pPr>
        <w:pStyle w:val="Considrant"/>
        <w:numPr>
          <w:ilvl w:val="0"/>
          <w:numId w:val="10"/>
        </w:numPr>
        <w:rPr>
          <w:noProof/>
        </w:rPr>
      </w:pPr>
      <w:r>
        <w:rPr>
          <w:noProof/>
        </w:rPr>
        <w:t>Prin urmare, Protocolul 31 la Acordul privind SEE ar trebui modificat, astfel încât această cooperare extinsă să poată fi realizată începând cu 11 aprilie 2017,</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La articolul 1 din Protocolul 31 la Acordul privind SEE, se adaugă următorul alineat:</w:t>
      </w:r>
    </w:p>
    <w:p>
      <w:pPr>
        <w:pStyle w:val="Point0"/>
        <w:tabs>
          <w:tab w:val="left" w:pos="851"/>
        </w:tabs>
        <w:ind w:left="1418" w:hanging="1418"/>
        <w:rPr>
          <w:noProof/>
        </w:rPr>
      </w:pPr>
      <w:r>
        <w:rPr>
          <w:noProof/>
        </w:rPr>
        <w:t>„13.</w:t>
      </w:r>
      <w:r>
        <w:rPr>
          <w:noProof/>
        </w:rPr>
        <w:tab/>
        <w:t>(a)</w:t>
      </w:r>
      <w:r>
        <w:rPr>
          <w:noProof/>
        </w:rPr>
        <w:tab/>
        <w:t>De la 11 aprilie 2017, statele AELS participă la activitățile Uniunii aferente următoarei linii bugetare, înscrise în bugetul general al Uniunii Europene pentru exercițiul financiar 2017:</w:t>
      </w:r>
    </w:p>
    <w:p>
      <w:pPr>
        <w:pStyle w:val="Point2"/>
        <w:rPr>
          <w:noProof/>
        </w:rPr>
      </w:pPr>
      <w:r>
        <w:rPr>
          <w:noProof/>
        </w:rPr>
        <w:t>-</w:t>
      </w:r>
      <w:r>
        <w:rPr>
          <w:noProof/>
        </w:rPr>
        <w:tab/>
      </w:r>
      <w:r>
        <w:rPr>
          <w:b/>
          <w:noProof/>
        </w:rPr>
        <w:t>linia bugetară 02 04 77 03</w:t>
      </w:r>
      <w:r>
        <w:rPr>
          <w:noProof/>
        </w:rPr>
        <w:t>: „Acțiune pregătitoare privind cercetarea în materie de apărare”.</w:t>
      </w:r>
    </w:p>
    <w:p>
      <w:pPr>
        <w:pStyle w:val="Point1"/>
        <w:rPr>
          <w:noProof/>
        </w:rPr>
      </w:pPr>
      <w:r>
        <w:rPr>
          <w:noProof/>
        </w:rPr>
        <w:t>(b)</w:t>
      </w:r>
      <w:r>
        <w:rPr>
          <w:noProof/>
        </w:rPr>
        <w:tab/>
        <w:t>Statele AELS contribuie financiar la activitățile menționate la litera (a), în conformitate cu articolul 82 alineatul (1) litera (a) din acord.</w:t>
      </w:r>
    </w:p>
    <w:p>
      <w:pPr>
        <w:pStyle w:val="Point1"/>
        <w:rPr>
          <w:noProof/>
        </w:rPr>
      </w:pPr>
      <w:r>
        <w:rPr>
          <w:noProof/>
        </w:rPr>
        <w:lastRenderedPageBreak/>
        <w:t>(c)</w:t>
      </w:r>
      <w:r>
        <w:rPr>
          <w:noProof/>
        </w:rPr>
        <w:tab/>
        <w:t>Cheltuielile suportate de instituțiile, întreprinderile, organizațiile și resortisanții statelor AELS pentru participarea la activitățile menționate la litera (a), a căror punere în aplicare începe după 11 aprilie 2017, sunt considerate eligibile de la începutul acțiunii, în aceleași condiții ca cele aplicabile costurilor suportate de instituțiile, întreprinderile, organizațiile și resortisanții statelor membre ale UE și în conformitate cu acordul de grant relevant sau decizia de grant relevantă, cu condiția ca Decizia nr. …/2017 a Comitetului mixt al SEE din ... [prezenta decizie] să intre în vigoare înainte de încheierea acțiunii pregătitoare în cauză.</w:t>
      </w:r>
    </w:p>
    <w:p>
      <w:pPr>
        <w:pStyle w:val="Point1"/>
        <w:rPr>
          <w:noProof/>
        </w:rPr>
      </w:pPr>
      <w:r>
        <w:rPr>
          <w:noProof/>
        </w:rPr>
        <w:t>(d)</w:t>
      </w:r>
      <w:r>
        <w:rPr>
          <w:noProof/>
        </w:rPr>
        <w:tab/>
        <w:t>Islanda și Liechtenstein nu participă la această acțiune pregătitoare și nu contribuie financiar la activitățile menționate la litera (a).”</w:t>
      </w:r>
    </w:p>
    <w:p>
      <w:pPr>
        <w:pStyle w:val="Titrearticle"/>
        <w:rPr>
          <w:noProof/>
        </w:rPr>
      </w:pPr>
      <w:r>
        <w:rPr>
          <w:noProof/>
        </w:rPr>
        <w:t>Articolul 2</w:t>
      </w:r>
    </w:p>
    <w:p>
      <w:pPr>
        <w:rPr>
          <w:noProof/>
        </w:rPr>
      </w:pPr>
      <w:r>
        <w:rPr>
          <w:noProof/>
        </w:rPr>
        <w:t>Prezenta decizie intră în vigoare în ziua următoare datei la care s-a efectuat ultima notificare prevăzută la articolul 103 alineatul (1) din Acordul privind SEE</w:t>
      </w:r>
      <w:r>
        <w:rPr>
          <w:rStyle w:val="FootnoteReference"/>
          <w:noProof/>
        </w:rPr>
        <w:sym w:font="Symbol" w:char="F02A"/>
      </w:r>
      <w:r>
        <w:rPr>
          <w:noProof/>
        </w:rPr>
        <w:t>.</w:t>
      </w:r>
    </w:p>
    <w:p>
      <w:pPr>
        <w:rPr>
          <w:noProof/>
        </w:rPr>
      </w:pPr>
      <w:r>
        <w:rPr>
          <w:noProof/>
          <w:color w:val="000000"/>
        </w:rPr>
        <w:footnoteReference w:customMarkFollows="1" w:id="1"/>
        <w:t>Se aplică de la</w:t>
      </w:r>
      <w:r>
        <w:rPr>
          <w:noProof/>
        </w:rPr>
        <w:t xml:space="preserve"> 1 ianuarie 2017</w:t>
      </w:r>
      <w:r>
        <w:rPr>
          <w:noProof/>
          <w:color w:val="000000"/>
        </w:rPr>
        <w:t>.</w:t>
      </w:r>
    </w:p>
    <w:p>
      <w:pPr>
        <w:pStyle w:val="Titrearticle"/>
        <w:rPr>
          <w:noProof/>
        </w:rPr>
      </w:pPr>
      <w:r>
        <w:rPr>
          <w:noProof/>
        </w:rPr>
        <w:t>Articolul 3</w:t>
      </w:r>
    </w:p>
    <w:p>
      <w:pPr>
        <w:rPr>
          <w:noProof/>
        </w:rPr>
      </w:pPr>
      <w:r>
        <w:rPr>
          <w:noProof/>
        </w:rPr>
        <w:t xml:space="preserve">Prezenta decizie se publică în secțiunea SEE și în suplimentul SEE ale </w:t>
      </w:r>
      <w:r>
        <w:rPr>
          <w:i/>
          <w:noProof/>
        </w:rPr>
        <w:t>Jurnalului Oficial al Uniunii Europene</w:t>
      </w:r>
      <w:r>
        <w:rPr>
          <w:noProof/>
        </w:rPr>
        <w:t>.</w:t>
      </w:r>
    </w:p>
    <w:p>
      <w:pPr>
        <w:pStyle w:val="Fait"/>
        <w:rPr>
          <w:noProof/>
        </w:rPr>
      </w:pPr>
      <w:r>
        <w:rPr>
          <w:noProof/>
        </w:rPr>
        <w:t>Adoptată la Bruxelles,</w:t>
      </w:r>
    </w:p>
    <w:p>
      <w:pPr>
        <w:pStyle w:val="Institutionquisigne"/>
        <w:rPr>
          <w:noProof/>
        </w:rPr>
      </w:pPr>
      <w:r>
        <w:rPr>
          <w:noProof/>
        </w:rPr>
        <w:tab/>
        <w:t>Pentru Comitetul mixt al SEE,</w:t>
      </w:r>
    </w:p>
    <w:p>
      <w:pPr>
        <w:pStyle w:val="Personnequisigne"/>
        <w:rPr>
          <w:noProof/>
        </w:rPr>
      </w:pPr>
      <w:r>
        <w:rPr>
          <w:noProof/>
        </w:rPr>
        <w:tab/>
        <w:t>Președintele</w:t>
      </w:r>
      <w:r>
        <w:rPr>
          <w:noProof/>
        </w:rPr>
        <w:br/>
      </w:r>
      <w:r>
        <w:rPr>
          <w:noProof/>
        </w:rPr>
        <w:tab/>
      </w:r>
      <w:r>
        <w:rPr>
          <w:noProof/>
        </w:rPr>
        <w:br/>
      </w:r>
      <w:r>
        <w:rPr>
          <w:noProof/>
        </w:rPr>
        <w:tab/>
      </w:r>
      <w:r>
        <w:rPr>
          <w:noProof/>
        </w:rPr>
        <w:br/>
      </w:r>
      <w:r>
        <w:rPr>
          <w:noProof/>
        </w:rPr>
        <w:tab/>
      </w:r>
      <w:r>
        <w:rPr>
          <w:noProof/>
        </w:rPr>
        <w:br/>
      </w:r>
      <w:r>
        <w:rPr>
          <w:noProof/>
        </w:rPr>
        <w:tab/>
        <w:t>Secretarii</w:t>
      </w:r>
      <w:r>
        <w:rPr>
          <w:noProof/>
        </w:rPr>
        <w:br/>
      </w:r>
      <w:r>
        <w:rPr>
          <w:noProof/>
        </w:rPr>
        <w:tab/>
        <w:t>Comitetului mixt al SEE</w:t>
      </w:r>
      <w:r>
        <w:rPr>
          <w:noProof/>
        </w:rPr>
        <w:br/>
      </w:r>
      <w:r>
        <w:rPr>
          <w:noProof/>
        </w:rPr>
        <w:tab/>
      </w:r>
    </w:p>
    <w:p>
      <w:pPr>
        <w:spacing w:before="0" w:after="0"/>
        <w:jc w:val="left"/>
        <w:rPr>
          <w:i/>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sym w:font="Symbol" w:char="F02A"/>
      </w:r>
      <w:r>
        <w:tab/>
        <w:t>[Nu au fost semnalate obligații constituționale.] [Au fost semnalate obligații constituționale.]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9AD6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010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9A3D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885C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4EC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B14C0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10A662"/>
    <w:lvl w:ilvl="0">
      <w:start w:val="1"/>
      <w:numFmt w:val="decimal"/>
      <w:pStyle w:val="ListNumber"/>
      <w:lvlText w:val="%1."/>
      <w:lvlJc w:val="left"/>
      <w:pPr>
        <w:tabs>
          <w:tab w:val="num" w:pos="360"/>
        </w:tabs>
        <w:ind w:left="360" w:hanging="360"/>
      </w:pPr>
    </w:lvl>
  </w:abstractNum>
  <w:abstractNum w:abstractNumId="7">
    <w:nsid w:val="FFFFFF89"/>
    <w:multiLevelType w:val="singleLevel"/>
    <w:tmpl w:val="02FA84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8"/>
  </w:num>
  <w:num w:numId="10">
    <w:abstractNumId w:val="22"/>
    <w:lvlOverride w:ilvl="0">
      <w:startOverride w:val="1"/>
    </w:lvlOverride>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 w:numId="25">
    <w:abstractNumId w:val="19"/>
  </w:num>
  <w:num w:numId="26">
    <w:abstractNumId w:val="13"/>
  </w:num>
  <w:num w:numId="27">
    <w:abstractNumId w:val="21"/>
  </w:num>
  <w:num w:numId="28">
    <w:abstractNumId w:val="12"/>
  </w:num>
  <w:num w:numId="29">
    <w:abstractNumId w:val="14"/>
  </w:num>
  <w:num w:numId="30">
    <w:abstractNumId w:val="10"/>
  </w:num>
  <w:num w:numId="31">
    <w:abstractNumId w:val="20"/>
  </w:num>
  <w:num w:numId="32">
    <w:abstractNumId w:val="9"/>
  </w:num>
  <w:num w:numId="33">
    <w:abstractNumId w:val="15"/>
  </w:num>
  <w:num w:numId="34">
    <w:abstractNumId w:val="17"/>
  </w:num>
  <w:num w:numId="35">
    <w:abstractNumId w:val="18"/>
  </w:num>
  <w:num w:numId="36">
    <w:abstractNumId w:val="11"/>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10-02 09:51:38"/>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B87ED1F9A71C47B3949EAB6EBED99ADD"/>
    <w:docVar w:name="LW_CROSSREFERENCE" w:val="&lt;UNUSED&gt;"/>
    <w:docVar w:name="LW_DocType" w:val="ANNEX"/>
    <w:docVar w:name="LW_EMISSION" w:val="5.10.2017"/>
    <w:docVar w:name="LW_EMISSION_ISODATE" w:val="2017-10-05"/>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582"/>
    <w:docVar w:name="LW_REF.INTERNE" w:val="&lt;UNUSED&gt;"/>
    <w:docVar w:name="LW_SUPERTITRE" w:val="&lt;UNUSED&gt;"/>
    <w:docVar w:name="LW_TITRE.OBJ.CP" w:val="la_x000b__x000b_Propunerea de decizie a Consiliului_x000b__x000b_privind pozi\u539?ia care urmeaz\u259? s\u259? fie adoptat\u259?, în numele Uniunii Europene, în cadrul Comitetului mixt al SEE, cu privire la modificarea Protocolului 31 la Acordul privind SEE_x000b__x000b_(Ac\u539?iune preg\u259?titoare a Uniunii privind cercetarea în materie de ap\u259?rare)"/>
    <w:docVar w:name="LW_TYPE.DOC.CP" w:val="ANEX\u258?"/>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sz w:val="20"/>
      <w:szCs w:val="20"/>
    </w:rPr>
  </w:style>
  <w:style w:type="paragraph" w:customStyle="1" w:styleId="Articletext">
    <w:name w:val="Article text"/>
    <w:basedOn w:val="Normal"/>
    <w:link w:val="ArticletextChar"/>
    <w:qFormat/>
    <w:pPr>
      <w:tabs>
        <w:tab w:val="left" w:pos="709"/>
      </w:tabs>
    </w:pPr>
    <w:rPr>
      <w:color w:val="000000"/>
      <w:szCs w:val="24"/>
    </w:rPr>
  </w:style>
  <w:style w:type="character" w:customStyle="1" w:styleId="ArticletextChar">
    <w:name w:val="Article text Char"/>
    <w:link w:val="Articletext"/>
    <w:rPr>
      <w:rFonts w:ascii="Times New Roman" w:hAnsi="Times New Roman"/>
      <w:color w:val="000000"/>
      <w:sz w:val="24"/>
      <w:szCs w:val="24"/>
      <w:lang w:val="ro-RO" w:eastAsia="ro-RO"/>
    </w:rPr>
  </w:style>
  <w:style w:type="character" w:customStyle="1" w:styleId="Point0Char">
    <w:name w:val="Point 0 Char"/>
    <w:rPr>
      <w:rFonts w:ascii="Times New Roman" w:hAnsi="Times New Roman"/>
      <w:sz w:val="24"/>
      <w:szCs w:val="22"/>
    </w:rPr>
  </w:style>
  <w:style w:type="character" w:styleId="Strong">
    <w:name w:val="Strong"/>
    <w:uiPriority w:val="22"/>
    <w:qFormat/>
    <w:rPr>
      <w:b/>
      <w:bCs/>
    </w:rPr>
  </w:style>
  <w:style w:type="paragraph" w:customStyle="1" w:styleId="Articleheading">
    <w:name w:val="Article heading"/>
    <w:basedOn w:val="Normal"/>
    <w:link w:val="ArticleheadingChar"/>
    <w:qFormat/>
    <w:pPr>
      <w:keepNext/>
      <w:tabs>
        <w:tab w:val="left" w:pos="709"/>
      </w:tabs>
      <w:spacing w:before="360"/>
      <w:jc w:val="center"/>
    </w:pPr>
    <w:rPr>
      <w:i/>
      <w:color w:val="000000"/>
      <w:szCs w:val="24"/>
    </w:rPr>
  </w:style>
  <w:style w:type="character" w:customStyle="1" w:styleId="ArticleheadingChar">
    <w:name w:val="Article heading Char"/>
    <w:link w:val="Articleheading"/>
    <w:rPr>
      <w:rFonts w:ascii="Times New Roman" w:hAnsi="Times New Roman"/>
      <w:i/>
      <w:color w:val="000000"/>
      <w:sz w:val="24"/>
      <w:szCs w:val="24"/>
      <w:lang w:val="ro-RO" w:eastAsia="ro-R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pPr>
      <w:spacing w:before="0"/>
      <w:ind w:left="283"/>
      <w:jc w:val="left"/>
    </w:pPr>
    <w:rPr>
      <w:rFonts w:eastAsia="Times New Roman"/>
      <w:szCs w:val="24"/>
    </w:rPr>
  </w:style>
  <w:style w:type="character" w:customStyle="1" w:styleId="BodyTextIndentChar">
    <w:name w:val="Body Text Indent Char"/>
    <w:link w:val="BodyTextIndent"/>
    <w:rPr>
      <w:rFonts w:ascii="Times New Roman" w:eastAsia="Times New Roman" w:hAnsi="Times New Roman"/>
      <w:sz w:val="24"/>
      <w:szCs w:val="24"/>
      <w:lang w:val="ro-RO" w:eastAsia="ro-RO"/>
    </w:rPr>
  </w:style>
  <w:style w:type="paragraph" w:customStyle="1" w:styleId="ListBullet1">
    <w:name w:val="List Bullet 1"/>
    <w:basedOn w:val="Normal"/>
    <w:pPr>
      <w:numPr>
        <w:numId w:val="9"/>
      </w:numPr>
    </w:pPr>
    <w:rPr>
      <w:rFonts w:eastAsia="Times New Roman"/>
      <w:szCs w:val="24"/>
    </w:rPr>
  </w:style>
  <w:style w:type="paragraph" w:customStyle="1" w:styleId="Titreannex">
    <w:name w:val="Titre annex"/>
    <w:basedOn w:val="Datedadoption"/>
    <w:rPr>
      <w:noProof/>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3</Pages>
  <Words>528</Words>
  <Characters>3062</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RIBEIRO MIRANDA (EEAS)</dc:creator>
  <cp:keywords/>
  <cp:lastModifiedBy>DIGIT/A3</cp:lastModifiedBy>
  <cp:revision>7</cp:revision>
  <dcterms:created xsi:type="dcterms:W3CDTF">2017-09-29T13:05:00Z</dcterms:created>
  <dcterms:modified xsi:type="dcterms:W3CDTF">2017-10-02T07:51:00Z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