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A1A35DF3A314FC4A7A3CAC440E2693C" style="width:453.6pt;height:39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Przedmiot wniosku</w:t>
      </w:r>
    </w:p>
    <w:p>
      <w:pPr>
        <w:rPr>
          <w:noProof/>
        </w:rPr>
      </w:pPr>
      <w:r>
        <w:rPr>
          <w:noProof/>
        </w:rPr>
        <w:t>Niniejszy wniosek dotyczy decyzji ustanawiającej stanowisko, jakie należy przyjąć w imieniu Unii w Komitecie ds. Handlu Umowy o handlu między Unią Europejską i jej państwami członkowskimi, z jednej strony, a Kolumbią i Peru, z drugiej strony („umowa o handlu”)</w:t>
      </w:r>
      <w:r>
        <w:rPr>
          <w:rStyle w:val="FootnoteReference"/>
          <w:noProof/>
        </w:rPr>
        <w:footnoteReference w:id="1"/>
      </w:r>
      <w:r>
        <w:rPr>
          <w:noProof/>
        </w:rPr>
        <w:t>, w związku z przewidywanym przyjęciem decyzji dotyczącej zmiany przez Kolumbię podsekcji 2 sekcji A dodatku 1 do załącznika XII („Zamówienia publiczne”) do umowy.</w:t>
      </w:r>
    </w:p>
    <w:p>
      <w:pPr>
        <w:rPr>
          <w:noProof/>
        </w:rPr>
      </w:pPr>
      <w:r>
        <w:rPr>
          <w:noProof/>
        </w:rPr>
        <w:t>Podsekcja 2 sekcji A dodatku 1 do załącznika XII („Zamówienia publiczne”) do umowy zawiera wykaz kolumbijskich podmiotów rządowych na szczeblu regionalnym i lokalnym, których dotyczą zobowiązania dotyczące zamówień publicznych.</w:t>
      </w:r>
    </w:p>
    <w:p>
      <w:pPr>
        <w:rPr>
          <w:noProof/>
          <w:szCs w:val="24"/>
        </w:rPr>
      </w:pPr>
      <w:r>
        <w:rPr>
          <w:noProof/>
        </w:rPr>
        <w:t xml:space="preserve">Kolumbia proponuje zmianę podsekcji 2 sekcji A dodatku 1 do załącznika XII („Zamówienia publiczne”) do umowy polegającą na dodaniu uwagi stwierdzającej, że „podmioty zamawiające” obejmują wszystkie publiczne podmioty zamawiające na szczeblu regionalnym i lokalnym, które nie mają charakteru przemysłowego ani handlowego. </w:t>
      </w:r>
    </w:p>
    <w:p>
      <w:pPr>
        <w:rPr>
          <w:noProof/>
        </w:rPr>
      </w:pPr>
      <w:r>
        <w:rPr>
          <w:noProof/>
        </w:rPr>
        <w:t xml:space="preserve">Przedstawiciele strony ustalili, że taka zmiana nie będzie wymagać wyrównań zgodnie z art. 191 ust. 2 lit. a), gdyż nie doprowadzi do zmniejszenia zakresu.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Kontekst wniosku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Umowa o handlu </w:t>
      </w:r>
    </w:p>
    <w:p>
      <w:pPr>
        <w:rPr>
          <w:noProof/>
        </w:rPr>
      </w:pPr>
      <w:r>
        <w:rPr>
          <w:noProof/>
        </w:rPr>
        <w:t>Celem umowy o handlu jest otwarcie rynków po obu stronach i zwiększenie stabilności stosunków handlowych.</w:t>
      </w:r>
    </w:p>
    <w:p>
      <w:pPr>
        <w:rPr>
          <w:noProof/>
        </w:rPr>
      </w:pPr>
      <w:r>
        <w:rPr>
          <w:noProof/>
        </w:rPr>
        <w:t xml:space="preserve">Jednym z kluczowych celów umowy o handlu jest skuteczne i wzajemne otwarcie rynków zamówień publicznych stron. Tytuł VI umowy o handlu dotyczący zamówień publicznych ma dwojaki cel: ustanowienie zasad dotyczących zamówień publicznych, aby zapewnić, by zamówienia publiczne były zawierane w sposób przejrzysty, skuteczny i niedyskryminacyjny, oraz wzajemne otwarcie rynków zamówień dla oferentów, towarów i usług drugiej strony. UE i Kolumbia wynegocjowały zatem wzajemny dostęp do swoich przetargów, których zakres określono w rozdziale dotyczącym zamówień publicznych. Zakres rozdziału dotyczącego zamówień publicznych określa, do których poszczególnych zamówień mają zastosowanie wynegocjowane zasady proceduralne i merytoryczne. </w:t>
      </w:r>
    </w:p>
    <w:p>
      <w:pPr>
        <w:rPr>
          <w:noProof/>
        </w:rPr>
      </w:pPr>
      <w:r>
        <w:rPr>
          <w:noProof/>
        </w:rPr>
        <w:t>W ramach tymczasowego stosowania umowy o handlu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przedsiębiorstwom z UE odmawiano dostępu do rynku zamówień publicznych podmiotów rządowych na szczeblu regionalnym i lokalnym w Kolumbii. Strony ustaliły, że Kolumbia zmieni swoją listę koncesyjną dotyczącą dostępu do rynku na szczeblu regionalnym i lokalnym, oraz wyjaśniły, że nie będzie do wymagało wyrównań. </w:t>
      </w:r>
    </w:p>
    <w:p>
      <w:pPr>
        <w:rPr>
          <w:rFonts w:eastAsia="Calibri"/>
          <w:noProof/>
        </w:rPr>
      </w:pPr>
      <w:r>
        <w:rPr>
          <w:noProof/>
        </w:rPr>
        <w:t>Umowa o handlu jest tymczasowo stosowana od dnia 1 marca 2013 r. w stosunku do Peru oraz od dnia 1 sierpnia 2013 r. w stosunku do Kolumbii. W dniu 1 stycznia 2017 r. do umowy przystąpił Ekwador</w:t>
      </w:r>
      <w:r>
        <w:rPr>
          <w:rStyle w:val="FootnoteReference"/>
          <w:noProof/>
        </w:rPr>
        <w:footnoteReference w:id="3"/>
      </w:r>
      <w:r>
        <w:rPr>
          <w:noProof/>
        </w:rPr>
        <w:t>. Zgodnie z art. 14 ust. 3 umowy o handlu decyzja, która ma zostać przyjęta przez stronę UE i Kolumbię, obowiązuje jednak wyłącznie między tymi dwoma stronami, w związku z czym decyzję tę mogą przyjąć dwustronnie strona UE i Kolumbia.</w:t>
      </w:r>
    </w:p>
    <w:p>
      <w:pPr>
        <w:pStyle w:val="ManualHeading2"/>
        <w:rPr>
          <w:noProof/>
        </w:rPr>
      </w:pPr>
      <w:r>
        <w:lastRenderedPageBreak/>
        <w:t>2.2.</w:t>
      </w:r>
      <w:r>
        <w:tab/>
      </w:r>
      <w:r>
        <w:rPr>
          <w:noProof/>
        </w:rPr>
        <w:t xml:space="preserve">Komitet ds. Handlu </w:t>
      </w:r>
    </w:p>
    <w:p>
      <w:pPr>
        <w:rPr>
          <w:rFonts w:eastAsia="Calibri"/>
          <w:noProof/>
        </w:rPr>
      </w:pPr>
      <w:r>
        <w:rPr>
          <w:noProof/>
        </w:rPr>
        <w:t>Komitet ds. Handlu, ustanowiony na mocy art. 12 umowy, nadzoruje i ułatwia realizację umowy i właściwe wykonanie jej postanowień; ocenia rezultaty osiągnięte dzięki stosowaniu umowy, w szczególności rozwój relacji handlowych i gospodarczych między stronami; nadzoruje pracę wszystkich wyspecjalizowanych organów powołanych na mocy umowy oraz zaleca wszelkie niezbędne działania; ocenia i podejmuje decyzje dotyczące wszystkich kwestii przekazanych mu przez te wyspecjalizowane organy;</w:t>
      </w:r>
      <w:r>
        <w:rPr>
          <w:noProof/>
          <w:color w:val="000000"/>
        </w:rPr>
        <w:t xml:space="preserve"> </w:t>
      </w:r>
      <w:r>
        <w:rPr>
          <w:noProof/>
        </w:rPr>
        <w:t>oraz przyjmuje własny regulamin wewnętrzny, a także harmonogram posiedzeń i ich program. Komitet ds. Handlu podejmuje decyzje w drodze konsensusu. Przyjęte decyzje są wiążące dla stron, które podejmują wszelkie odpowiednie środki w celu ich wdrożenia. W przypadkach, o których mowa w art. 12 ust. 4 umowy, wszystkie decyzje są podejmowane przez stronę UE i zainteresowane państwo andyjskie-sygnatariusza i obowiązują wyłącznie między tymi stronami, pod warunkiem że takie decyzje nie wpływają na prawa i obowiązki innego państwa andyjskiego-sygnatariusza (art.. 14 ust. 3).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Planowany akt Komitetu ds. Handlu </w:t>
      </w:r>
    </w:p>
    <w:p>
      <w:pPr>
        <w:rPr>
          <w:rFonts w:eastAsia="Arial Unicode MS"/>
          <w:noProof/>
          <w:color w:val="000000"/>
        </w:rPr>
      </w:pPr>
      <w:r>
        <w:rPr>
          <w:noProof/>
        </w:rPr>
        <w:t>W dniu 24 listopada 2017 r. podczas swojego czwartego posiedzenia Komitet ds. Handlu ma przyjąć decyzję w sprawie zmiany zakresu zamówień publicznych w Kolumbii, a mianowicie podsekcji 2 sekcji A dodatku 1 do załącznika XII („Zamówienia publiczne”) do umowy („planowany akt”).</w:t>
      </w:r>
    </w:p>
    <w:p>
      <w:pPr>
        <w:rPr>
          <w:noProof/>
          <w:szCs w:val="24"/>
        </w:rPr>
      </w:pPr>
      <w:r>
        <w:rPr>
          <w:noProof/>
        </w:rPr>
        <w:t>Celem planowanego aktu jest zmiana podsekcji 2 sekcji A dodatku 1 do załącznika XII („Zamówienia publiczne”) do umowy, która zawiera wykaz kolumbijskich podmiotów rządowych na szczeblu regionalnym i lokalnym, których zamówienia wchodzą w zakres tytułu VI.</w:t>
      </w:r>
      <w:r>
        <w:rPr>
          <w:noProof/>
          <w:color w:val="000000"/>
        </w:rPr>
        <w:t xml:space="preserve"> </w:t>
      </w:r>
      <w:r>
        <w:rPr>
          <w:noProof/>
        </w:rPr>
        <w:t xml:space="preserve">Zaproponowana przez Kolumbię zmiana obejmuje ponadto dodatkową uwagę do sekcji 2 stwierdzającą, że „podmioty zamawiające” obejmują wszystkie publiczne podmioty zamawiające na szczeblu regionalnym i lokalnym, które nie mają charakteru przemysłowego ani handlowego. </w:t>
      </w:r>
    </w:p>
    <w:p>
      <w:pPr>
        <w:rPr>
          <w:rFonts w:eastAsia="Arial Unicode MS"/>
          <w:noProof/>
        </w:rPr>
      </w:pPr>
      <w:r>
        <w:rPr>
          <w:noProof/>
        </w:rPr>
        <w:t>Planowany akt stanie się wiążący dla stron zgodnie z art. 14 ust. 2 umowy, który stanowi: „Decyzje podejmowane przez Komitet ds. Handlu są wiążące dla Stron, które podejmują wszystkie środki niezbędne dla wprowadzania ich w życie”.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Stanowisko, jakie należy przyjąć w imieniu Unii</w:t>
      </w:r>
    </w:p>
    <w:p>
      <w:pPr>
        <w:rPr>
          <w:noProof/>
        </w:rPr>
      </w:pPr>
      <w:r>
        <w:rPr>
          <w:noProof/>
        </w:rPr>
        <w:t xml:space="preserve">Rada proszona jest o przyjęcie stanowiska, jakie należy przyjąć w imieniu Unii Europejskiej w odniesieniu do projektu decyzji Komitetu ds. Handlu Unia Europejska–Kolumbia–Peru dotyczącej zmiany podsekcji 2 sekcji A dodatku 1 do załącznika XII („Zamówienia publiczne”) do umowy, która to podsekcja zawiera wykaz kolumbijskich podmiotów rządowych na szczeblu regionalnym i lokalnym, których zamówienia wchodzą w zakres tytułu VI. Stanowisko, jakie należy przyjąć w imieniu Unii Europejskiej w odniesieniu do proponowanej zmiany, powinno się opierać na projekcie decyzji Komitetu ds. Handlu dołączonym do decyzji. </w:t>
      </w:r>
    </w:p>
    <w:p>
      <w:pPr>
        <w:rPr>
          <w:noProof/>
        </w:rPr>
      </w:pPr>
      <w:r>
        <w:rPr>
          <w:noProof/>
        </w:rPr>
        <w:t>Zmiana obejmuje ponadto włączenie dodatkowej uwagi do sekcji 2 dotyczącej zakresu zamówień publicznych w Kolumbii, stwierdzającej, że „podmioty zamawiające” obejmują wszystkie publiczne podmioty zamawiające na szczeblu regionalnym i lokalnym, które nie mają charakteru przemysłowego ani handlowego.</w:t>
      </w:r>
    </w:p>
    <w:p>
      <w:pPr>
        <w:rPr>
          <w:noProof/>
        </w:rPr>
      </w:pPr>
      <w:r>
        <w:rPr>
          <w:noProof/>
        </w:rPr>
        <w:t xml:space="preserve">Przyczyną zmiany jest rozbieżna interpretacja przez UE i Kolumbię zakresu dokonujących zamówień podmiotów rządowych na szczeblu regionalnym i lokalnym w Kolumbii, prowadząca do sytuacji, w której Kolumbia odmawia przedsiębiorstwom z UE dostępu do zamówień istotnych gospodarczo podmiotów publicznych na szczeblu regionalnym </w:t>
      </w:r>
      <w:r>
        <w:rPr>
          <w:noProof/>
        </w:rPr>
        <w:lastRenderedPageBreak/>
        <w:t xml:space="preserve">i lokalnym. Zmiana pozwoli doprecyzować zakres dokonujących zamówień kolumbijskich podmiotów na szczeblu regionalnym i lokalnym oraz obejmie podmioty takie jak </w:t>
      </w:r>
      <w:r>
        <w:rPr>
          <w:i/>
          <w:noProof/>
        </w:rPr>
        <w:t>Instituto de Desarrollo Urbano</w:t>
      </w:r>
      <w:r>
        <w:rPr>
          <w:noProof/>
        </w:rPr>
        <w:t xml:space="preserve"> (IDU), podmiot odpowiedzialny za rozwój infrastruktury w Bogocie. </w:t>
      </w:r>
    </w:p>
    <w:p>
      <w:pPr>
        <w:rPr>
          <w:noProof/>
        </w:rPr>
      </w:pPr>
      <w:r>
        <w:rPr>
          <w:noProof/>
        </w:rPr>
        <w:t>Art. 191 („Zmiany i sprostowania związane z zakresem”) umowy przewiduje możliwość zmiany zakresu tytułu VI dotyczącego zamówień publicznych, a zgodnie z art. 191 ust. 4 Komitet ds. Handlu jest uprawniony do podjęcia decyzji w sprawie złożonej przez strony propozycji zmiany odpowiedniego załącznika, tutaj załącznika XII („Zamówienia publiczne”) umowy.</w:t>
      </w:r>
    </w:p>
    <w:p>
      <w:pPr>
        <w:rPr>
          <w:noProof/>
          <w:szCs w:val="24"/>
        </w:rPr>
      </w:pPr>
      <w:r>
        <w:rPr>
          <w:noProof/>
        </w:rPr>
        <w:t>Decyzja ma obowiązywać wyłącznie między Unią Europejską a Kolumbią; zgodnie z art. 14 ust. 3 umowy decyzja ta może więc zostać przyjęta w Komitecie ds. Handlu przez Unię Europejską i Kolumbię – dotyczy bowiem wyłącznie dwustronnych relacji pomiędzy tymi dwoma stronami.</w:t>
      </w:r>
    </w:p>
    <w:p>
      <w:pPr>
        <w:rPr>
          <w:noProof/>
        </w:rPr>
      </w:pPr>
      <w:r>
        <w:rPr>
          <w:noProof/>
        </w:rPr>
        <w:t xml:space="preserve">Niniejszy wniosek wchodzi w zakres wyłącznych kompetencji Unii Europejskiej. Zasada pomocniczości nie ma zatem zastosowania.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Podstawa prawna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Proceduralna podstawa prawna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>Art. 218 ust. 9 Traktatu o funkcjonowaniu Unii Europejskiej (TFUE) określa tryb przyjmowania decyzji ustalających „stanowiska, które mają być zajęte w imieniu Unii w ramach organu utworzonego przez umowę, gdy organ ten ma przyjąć akty mające skutki prawne, z wyjątkiem aktów uzupełniających lub zmieniających ramy instytucjonalne umowy”.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>Komitet ds. Handlu jest organem powołanym przez umowę, a mianowicie Umowę o handlu między Unią Europejską i jej państwami członkowskimi, z jednej strony, a Kolumbią i Peru, z drugiej strony</w:t>
      </w:r>
    </w:p>
    <w:p>
      <w:pPr>
        <w:rPr>
          <w:noProof/>
        </w:rPr>
      </w:pPr>
      <w:r>
        <w:rPr>
          <w:noProof/>
        </w:rPr>
        <w:t>Decyzja, którą Komitet ds. Handlu ma przyjąć, stanowi akt wywołujący wiążące skutki prawne zgodnie z art. 14 ust. 2 umowy o handlu. Planowany akt nie uzupełnia ani nie zmienia ram instytucjonalnych Umowy.</w:t>
      </w:r>
    </w:p>
    <w:p>
      <w:pPr>
        <w:rPr>
          <w:noProof/>
        </w:rPr>
      </w:pPr>
      <w:r>
        <w:rPr>
          <w:noProof/>
        </w:rPr>
        <w:t>W związku tym proceduralną podstawą prawną proponowanej decyzji jest art. 218 ust. 9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Materialna podstawa prawna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 xml:space="preserve">Materialna podstawa prawna decyzji przyjętej na mocy art. 218 ust. 9 TFUE jest uzależniona głównie od celu i treści planowanego aktu, którego dotyczy stanowisko, jakie należy przyjąć w imieniu Unii. 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>Główny cel i treść planowanego aktu, tj. poszerzenie zakresu zamówień objętych tytułem VI umowy, dotyczą kwestii, które wchodzą w zakres wspólnej polityki handlowej.</w:t>
      </w:r>
    </w:p>
    <w:p>
      <w:pPr>
        <w:rPr>
          <w:noProof/>
        </w:rPr>
      </w:pPr>
      <w:r>
        <w:rPr>
          <w:noProof/>
        </w:rPr>
        <w:t xml:space="preserve">Materialną podstawą prawną dla decyzji, której dotyczy wniosek, jest zatem art. 207 TFUE, a w szczególności jego ust. 4. </w:t>
      </w:r>
    </w:p>
    <w:p>
      <w:pPr>
        <w:pStyle w:val="ManualHeading2"/>
        <w:rPr>
          <w:noProof/>
        </w:rPr>
      </w:pPr>
      <w:r>
        <w:lastRenderedPageBreak/>
        <w:t>4.3.</w:t>
      </w:r>
      <w:r>
        <w:tab/>
      </w:r>
      <w:r>
        <w:rPr>
          <w:noProof/>
        </w:rPr>
        <w:t>Podsumowanie</w:t>
      </w:r>
    </w:p>
    <w:p>
      <w:pPr>
        <w:rPr>
          <w:noProof/>
        </w:rPr>
      </w:pPr>
      <w:r>
        <w:rPr>
          <w:noProof/>
        </w:rPr>
        <w:t>Podstawą prawną proponowanej decyzji powinien być zatem art. 207 ust. 4 TFUE w związku z art. 218 ust. 9 TFUE.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2017/0257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stanowiska, jakie należy przyjąć w imieniu Unii Europejskiej w Komitecie ds. Handlu w odniesieniu do zmiany załącznika XII do Umowy o handlu między Unią Europejską i jej państwami członkowskimi, z jednej strony, a Kolumbią i Peru, z drugiej strony, określającego wykaz kolumbijskich podmiotów zamawiających zgodnie z postanowieniami tytułu VI („Zamówienia publiczne”)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207 ust. 4 akapit pierwszy w związku z art. 218 ust. 9,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Umowa o handlu między Unią Europejską i jej państwami członkowskimi, z jednej strony, a Kolumbią i Peru, z drugiej strony („umowa o handlu”) jest w stosunku do Kolumbii tymczasowo stosowana od dnia 1 sierpnia 2013 r.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Zgodnie z art. 14 ust. 1 i 3 umowy Komitet ds. Handlu może przyjmować na zasadzie konsensusu decyzje obowiązujące wyłącznie między stroną UE a zainteresowanym państwem andyjskim-sygnatariuszem (np. Kolumbią), pod warunkiem że takie decyzje nie wpływają na prawa i obowiązki innego państwa andyjskiego-sygnatariusza.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W dniu 24 listopada 2017 r. podczas swojego czwartego posiedzenia Komitet ds. Handlu ma przyjąć decyzję w sprawie zmiany podsekcji 2 sekcji A dodatku 1 do załącznika XII („Zamówienia publiczne”). Zmiana polega na doprecyzowaniu zakresu dokonujących zamówień podmiotów rządowych na szczeblu regionalnym i lokalnym w Kolumbii. Zmiana obejmuje ponadto włączenie dodatkowej uwagi do sekcji 2 dotyczącej zakresu zamówień publicznych w Kolumbii, stwierdzającej, że „podmioty zamawiające” obejmują wszystkie publiczne podmioty zamawiające na szczeblu regionalnym i lokalnym, które nie mają charakteru przemysłowego ani handlowego. </w:t>
      </w:r>
      <w:r>
        <w:rPr>
          <w:noProof/>
          <w:color w:val="000000"/>
        </w:rPr>
        <w:t>UE i Kolumbia zgadzają się, że taka zmiana nie będzie wymagała wyrównań.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Należy określić stanowisko, które ma zostać przyjęte w imieniu Unii w Komitecie ds. Handlu, ponieważ decyzja ta będzie wiążąca dla Unii.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Decyzja Komitetu ds. Handlu zmieni załącznik XII do umowy, po przyjęciu należy ją zatem opublikować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Zgodnie z art. 17 ust. 1 Traktatu o Unii Europejskiej (TUE) w Komitecie ds. Handlu Unię reprezentuje Komisja,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PRZYJMUJE NINIEJSZĄ DECYZJĘ: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i/>
          <w:noProof/>
        </w:rPr>
      </w:pPr>
      <w:r>
        <w:rPr>
          <w:noProof/>
        </w:rPr>
        <w:t>Stanowisko, jakie należy przyjąć w imieniu Unii podczas czwartego posiedzenia Komitetu ds. Handlu, które odbędzie się w dniu 24 listopada 2017 r., opiera się na projekcie decyzji Komitetu ds. Handlu dołączonym do niniejszej decyzji.</w:t>
      </w:r>
    </w:p>
    <w:p>
      <w:pPr>
        <w:pStyle w:val="Titrearticle"/>
        <w:rPr>
          <w:noProof/>
        </w:rPr>
      </w:pPr>
      <w:r>
        <w:rPr>
          <w:noProof/>
        </w:rPr>
        <w:t xml:space="preserve">Artykuł 2 </w:t>
      </w:r>
    </w:p>
    <w:p>
      <w:pPr>
        <w:rPr>
          <w:noProof/>
        </w:rPr>
      </w:pPr>
      <w:r>
        <w:rPr>
          <w:noProof/>
        </w:rPr>
        <w:t>Po przyjęciu decyzja Komitetu ds. Handlu zostaje opublikowana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 xml:space="preserve">Artykuł 3 </w:t>
      </w:r>
    </w:p>
    <w:p>
      <w:pPr>
        <w:rPr>
          <w:noProof/>
        </w:rPr>
      </w:pPr>
      <w:r>
        <w:rPr>
          <w:noProof/>
        </w:rPr>
        <w:t>Niniejsza decyzja skierowana jest do Komisji.</w:t>
      </w:r>
    </w:p>
    <w:p>
      <w:pPr>
        <w:pStyle w:val="Fait"/>
        <w:rPr>
          <w:noProof/>
        </w:rPr>
      </w:pPr>
      <w:r>
        <w:rPr>
          <w:noProof/>
        </w:rPr>
        <w:t>Sporządzono w Brukseli dnia 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354 z 21.12.2012, s. 3.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56 z 28.2.2013,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 L 356 z 24.12.2016, s. 3.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Decyzja Rady 2012/735/UE z dnia 31 maja 2012 r. w sprawie podpisania, w imieniu Unii, i tymczasowego stosowania Umowy o wolnym handlu między Unią Europejską i jej państwami członkowskimi, z jednej strony, a Kolumbią i Peru, z drugiej strony (Dz.U. L 354 z 21.12.2012, s.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69464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18FF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026C9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BCA05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9BECF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E81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E1A4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9"/>
  </w:num>
  <w:num w:numId="12">
    <w:abstractNumId w:val="21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hideSpellingErrors/>
  <w:hideGrammaticalErrors/>
  <w:attachedTemplate r:id="rId1"/>
  <w:revisionView w:markup="0"/>
  <w:defaultTabStop w:val="720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COVERPAGE_EXISTS" w:val="True"/>
    <w:docVar w:name="DQCDateTime" w:val="2017-09-29 15:14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A1A35DF3A314FC4A7A3CAC440E2693C"/>
    <w:docVar w:name="LW_CROSSREFERENCE" w:val="&lt;UNUSED&gt;"/>
    <w:docVar w:name="LW_DocType" w:val="COM"/>
    <w:docVar w:name="LW_EMISSION" w:val="9.10.2017"/>
    <w:docVar w:name="LW_EMISSION_ISODATE" w:val="2017-10-09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7"/>
    <w:docVar w:name="LW_REF.II.NEW.CP_YEAR" w:val="2017"/>
    <w:docVar w:name="LW_REF.INST.NEW" w:val="COM"/>
    <w:docVar w:name="LW_REF.INST.NEW_ADOPTED" w:val="final"/>
    <w:docVar w:name="LW_REF.INST.NEW_TEXT" w:val="(2017) 584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w sprawie stanowiska, jakie nale\u380?y przyj\u261?\u263? w imieniu Unii Europejskiej w Komitecie ds. Handlu w odniesieniu do zmiany za\u322?\u261?cznika XII do Umowy o handlu mi\u281?dzy Uni\u261? Europejsk\u261? i jej pa\u324?stwami cz\u322?onkowskimi, z jednej strony, a Kolumbi\u261? i Peru, z drugiej strony, okre\u347?laj\u261?cego wykaz kolumbijskich podmiotów zamawiaj\u261?cych zgodnie z postanowieniami tytu\u322?u VI (\u8222?Zamówienia publiczne\u8221?)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1"/>
      </w:numPr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rsid w:val="00400CEB"/>
    <w:pPr>
      <w:numPr>
        <w:numId w:val="1"/>
      </w:numPr>
    </w:pPr>
    <w:rPr>
      <w:rFonts w:eastAsia="Times New Roman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50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5505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35505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505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505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5059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35505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505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5059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F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F4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2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F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13"/>
      </w:numPr>
    </w:pPr>
  </w:style>
  <w:style w:type="paragraph" w:customStyle="1" w:styleId="Tiret1">
    <w:name w:val="Tiret 1"/>
    <w:basedOn w:val="Point1"/>
    <w:rsid w:val="007D53B6"/>
    <w:pPr>
      <w:numPr>
        <w:numId w:val="14"/>
      </w:numPr>
    </w:pPr>
  </w:style>
  <w:style w:type="paragraph" w:customStyle="1" w:styleId="Tiret2">
    <w:name w:val="Tiret 2"/>
    <w:basedOn w:val="Point2"/>
    <w:rsid w:val="007D53B6"/>
    <w:pPr>
      <w:numPr>
        <w:numId w:val="15"/>
      </w:numPr>
    </w:pPr>
  </w:style>
  <w:style w:type="paragraph" w:customStyle="1" w:styleId="Tiret3">
    <w:name w:val="Tiret 3"/>
    <w:basedOn w:val="Point3"/>
    <w:rsid w:val="007D53B6"/>
    <w:pPr>
      <w:numPr>
        <w:numId w:val="16"/>
      </w:numPr>
    </w:pPr>
  </w:style>
  <w:style w:type="paragraph" w:customStyle="1" w:styleId="Tiret4">
    <w:name w:val="Tiret 4"/>
    <w:basedOn w:val="Point4"/>
    <w:rsid w:val="007D53B6"/>
    <w:pPr>
      <w:numPr>
        <w:numId w:val="17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8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20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20"/>
      </w:numPr>
    </w:pPr>
  </w:style>
  <w:style w:type="paragraph" w:customStyle="1" w:styleId="Bullet0">
    <w:name w:val="Bullet 0"/>
    <w:basedOn w:val="Normal"/>
    <w:rsid w:val="007D53B6"/>
    <w:pPr>
      <w:numPr>
        <w:numId w:val="21"/>
      </w:numPr>
    </w:pPr>
  </w:style>
  <w:style w:type="paragraph" w:customStyle="1" w:styleId="Bullet1">
    <w:name w:val="Bullet 1"/>
    <w:basedOn w:val="Normal"/>
    <w:rsid w:val="007D53B6"/>
    <w:pPr>
      <w:numPr>
        <w:numId w:val="22"/>
      </w:numPr>
    </w:pPr>
  </w:style>
  <w:style w:type="paragraph" w:customStyle="1" w:styleId="Bullet2">
    <w:name w:val="Bullet 2"/>
    <w:basedOn w:val="Normal"/>
    <w:rsid w:val="007D53B6"/>
    <w:pPr>
      <w:numPr>
        <w:numId w:val="23"/>
      </w:numPr>
    </w:pPr>
  </w:style>
  <w:style w:type="paragraph" w:customStyle="1" w:styleId="Bullet3">
    <w:name w:val="Bullet 3"/>
    <w:basedOn w:val="Normal"/>
    <w:rsid w:val="007D53B6"/>
    <w:pPr>
      <w:numPr>
        <w:numId w:val="24"/>
      </w:numPr>
    </w:pPr>
  </w:style>
  <w:style w:type="paragraph" w:customStyle="1" w:styleId="Bullet4">
    <w:name w:val="Bullet 4"/>
    <w:basedOn w:val="Normal"/>
    <w:rsid w:val="007D53B6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849-B8F2-4F49-89F1-28073A1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1653</Words>
  <Characters>10087</Characters>
  <Application>Microsoft Office Word</Application>
  <DocSecurity>0</DocSecurity>
  <Lines>183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2017-09-11T13:17:00Z</dcterms:created>
  <dcterms:modified xsi:type="dcterms:W3CDTF">2017-09-29T13:14:00Z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