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57AA755866B9492DAA338E0E1E750F88" style="width:450.8pt;height:438.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TILLÆG</w:t>
      </w:r>
    </w:p>
    <w:p>
      <w:pPr>
        <w:jc w:val="center"/>
        <w:rPr>
          <w:b/>
          <w:noProof/>
        </w:rPr>
      </w:pPr>
      <w:r>
        <w:rPr>
          <w:b/>
          <w:noProof/>
        </w:rPr>
        <w:t>AFGØRELSE NR. […]/2017 TRUFFET AF EU-COLOMBIA-PERU-HANDELSUDVALGET</w:t>
      </w:r>
    </w:p>
    <w:p>
      <w:pPr>
        <w:jc w:val="center"/>
        <w:rPr>
          <w:b/>
          <w:noProof/>
        </w:rPr>
      </w:pPr>
      <w:r>
        <w:rPr>
          <w:b/>
          <w:noProof/>
        </w:rPr>
        <w:t xml:space="preserve">af […] 2017 </w:t>
      </w:r>
    </w:p>
    <w:p>
      <w:pPr>
        <w:jc w:val="center"/>
        <w:rPr>
          <w:b/>
          <w:noProof/>
        </w:rPr>
      </w:pPr>
      <w:r>
        <w:rPr>
          <w:b/>
          <w:noProof/>
        </w:rPr>
        <w:t>om ændring af tillæg 1 til bilag XII ("Offentlige indkøb") til handelsaftalen mellem Den Europæiske Union og dens medlemsstater på den ene side og Colombia og Peru på den anden side</w:t>
      </w:r>
    </w:p>
    <w:p>
      <w:pPr>
        <w:pStyle w:val="Institutionquiagit"/>
        <w:rPr>
          <w:noProof/>
        </w:rPr>
      </w:pPr>
      <w:r>
        <w:rPr>
          <w:noProof/>
        </w:rPr>
        <w:t>HANDELSUDVALGET HAR —</w:t>
      </w:r>
    </w:p>
    <w:p>
      <w:pPr>
        <w:rPr>
          <w:noProof/>
        </w:rPr>
      </w:pPr>
      <w:r>
        <w:rPr>
          <w:noProof/>
        </w:rPr>
        <w:t>under henvisning til handelsaftalen mellem Den Europæiske Union ("Unionen") og dens medlemsstater på den ene side og Colombia og Peru på den anden side ("handelsaftalen"), særlig artikel 191, og</w:t>
      </w:r>
    </w:p>
    <w:p>
      <w:pPr>
        <w:rPr>
          <w:noProof/>
        </w:rPr>
      </w:pPr>
      <w:r>
        <w:rPr>
          <w:noProof/>
        </w:rPr>
        <w:t>ud fra følgende betragtninger:</w:t>
      </w:r>
    </w:p>
    <w:p>
      <w:pPr>
        <w:pStyle w:val="ManualConsidrant"/>
        <w:rPr>
          <w:noProof/>
        </w:rPr>
      </w:pPr>
      <w:r>
        <w:rPr>
          <w:noProof/>
        </w:rPr>
        <w:t>(1)</w:t>
      </w:r>
      <w:r>
        <w:rPr>
          <w:noProof/>
        </w:rPr>
        <w:tab/>
        <w:t>I henhold til procedurerne i handelsaftalens artikel 191 kan en part ændre eller berigtige sin dækning af udbud i henhold til aftalens afsnit VI.</w:t>
      </w:r>
    </w:p>
    <w:p>
      <w:pPr>
        <w:pStyle w:val="ManualConsidrant"/>
        <w:rPr>
          <w:noProof/>
        </w:rPr>
      </w:pPr>
      <w:r>
        <w:rPr>
          <w:noProof/>
        </w:rPr>
        <w:t>(2)</w:t>
      </w:r>
      <w:r>
        <w:rPr>
          <w:noProof/>
        </w:rPr>
        <w:tab/>
        <w:t xml:space="preserve">Underafdeling 2 i afdeling A i tillæg 1 til bilag XII ("Offentlige indkøb") til handelsaftalen indeholder en liste over Colombias ikke centrale statslige ordregivere, hvis udbud er omfattet af afsnit VI. </w:t>
      </w:r>
    </w:p>
    <w:p>
      <w:pPr>
        <w:pStyle w:val="ManualConsidrant"/>
        <w:rPr>
          <w:noProof/>
        </w:rPr>
      </w:pPr>
      <w:r>
        <w:rPr>
          <w:noProof/>
        </w:rPr>
        <w:t>(3)</w:t>
      </w:r>
      <w:r>
        <w:rPr>
          <w:noProof/>
        </w:rPr>
        <w:tab/>
        <w:t xml:space="preserve">Som følge af udvekslinger mellem Unionen og Colombia om gennemførelsen af handelsaftalen meddelte Colombia Unionen, at man havde til hensigt at tilføje en note til underafdeling 2 for at præcisere, at "ordregivere" omfatter alle ikke centrale statslige ordregivere, der ikke har en industriel eller kommerciel karakter. Unionen og Colombia er enige om en sådan ændring og om, at en sådan ændring ikke kræver kompenserende justeringer. </w:t>
      </w:r>
    </w:p>
    <w:p>
      <w:pPr>
        <w:pStyle w:val="ManualConsidrant"/>
        <w:rPr>
          <w:noProof/>
        </w:rPr>
      </w:pPr>
      <w:r>
        <w:rPr>
          <w:noProof/>
        </w:rPr>
        <w:t>(4)</w:t>
      </w:r>
      <w:r>
        <w:rPr>
          <w:noProof/>
        </w:rPr>
        <w:tab/>
        <w:t>For at tilføje denne note er det nødvendigt at ændre underafdeling 2 i afdeling A i tillæg 1 til bilag XII til handelsaftalen. Afgørelsen om at ændre bilaget kan vedtages af det handelsudvalg, som blev nedsat ved aftalen mellem Den Europæiske Union og Colombia ("det pågældende Andesland"), jf. aftalens artikel 14, stk. 3, idet den udelukkende vedrører det bilaterale forhold mellem dem —</w:t>
      </w:r>
    </w:p>
    <w:p>
      <w:pPr>
        <w:pStyle w:val="Formuledadoption"/>
        <w:rPr>
          <w:noProof/>
        </w:rPr>
      </w:pPr>
      <w:r>
        <w:rPr>
          <w:noProof/>
        </w:rPr>
        <w:t>VEDTAGET DENNE AFGØRELSE:</w:t>
      </w:r>
    </w:p>
    <w:p>
      <w:pPr>
        <w:pStyle w:val="Titrearticle"/>
        <w:rPr>
          <w:noProof/>
        </w:rPr>
      </w:pPr>
      <w:r>
        <w:rPr>
          <w:noProof/>
        </w:rPr>
        <w:t>Artikel 1</w:t>
      </w:r>
    </w:p>
    <w:p>
      <w:pPr>
        <w:rPr>
          <w:noProof/>
        </w:rPr>
      </w:pPr>
      <w:r>
        <w:rPr>
          <w:noProof/>
        </w:rPr>
        <w:t xml:space="preserve">Noterne til underafdeling 2 i afdeling A i tillæg 1 til bilag XII ("Offentlige indkøb") til handelsaftalen affattes således: </w:t>
      </w:r>
    </w:p>
    <w:p>
      <w:pPr>
        <w:rPr>
          <w:noProof/>
        </w:rPr>
      </w:pPr>
      <w:r>
        <w:rPr>
          <w:noProof/>
        </w:rPr>
        <w:t>"Noter til denne underafdeling:</w:t>
      </w:r>
    </w:p>
    <w:p>
      <w:pPr>
        <w:pStyle w:val="ManualNumPar1"/>
        <w:rPr>
          <w:noProof/>
        </w:rPr>
      </w:pPr>
      <w:r>
        <w:rPr>
          <w:noProof/>
        </w:rPr>
        <w:t>1.</w:t>
      </w:r>
      <w:r>
        <w:rPr>
          <w:noProof/>
        </w:rPr>
        <w:tab/>
        <w:t>I denne underafdeling forstås ved "ordregivere": alle ikke centrale statslige ordregivere, der ikke har en industriel eller kommerciel karakter.</w:t>
      </w:r>
    </w:p>
    <w:p>
      <w:pPr>
        <w:pStyle w:val="ManualNumPar1"/>
        <w:rPr>
          <w:noProof/>
        </w:rPr>
      </w:pPr>
      <w:r>
        <w:rPr>
          <w:noProof/>
        </w:rPr>
        <w:t>2.</w:t>
      </w:r>
      <w:r>
        <w:rPr>
          <w:noProof/>
        </w:rPr>
        <w:tab/>
        <w:t>Denne aftales afsnit VI dækker ikke:</w:t>
      </w:r>
    </w:p>
    <w:p>
      <w:pPr>
        <w:pStyle w:val="Point1"/>
        <w:rPr>
          <w:noProof/>
        </w:rPr>
      </w:pPr>
      <w:r>
        <w:rPr>
          <w:noProof/>
        </w:rPr>
        <w:t>a)</w:t>
      </w:r>
      <w:r>
        <w:rPr>
          <w:noProof/>
        </w:rPr>
        <w:tab/>
        <w:t>indkøb af fødevarer, landbrugsråvarer og levende dyr som led i landbrugsstøtteprogrammer og fødevarebistand samt</w:t>
      </w:r>
    </w:p>
    <w:p>
      <w:pPr>
        <w:pStyle w:val="Point1"/>
        <w:rPr>
          <w:noProof/>
        </w:rPr>
      </w:pPr>
      <w:r>
        <w:rPr>
          <w:noProof/>
        </w:rPr>
        <w:lastRenderedPageBreak/>
        <w:t>b)</w:t>
      </w:r>
      <w:r>
        <w:rPr>
          <w:noProof/>
        </w:rPr>
        <w:tab/>
        <w:t>indkøb af varer klassificeret under afdeling 2 (fødevarer, drikkevarer og tobak, tekstiler, beklædningsgenstande og lædervarer) i CPC, version 1.0, som led i programmer for social bistand.</w:t>
      </w:r>
    </w:p>
    <w:p>
      <w:pPr>
        <w:pStyle w:val="Titrearticle"/>
        <w:rPr>
          <w:noProof/>
        </w:rPr>
      </w:pPr>
      <w:r>
        <w:rPr>
          <w:noProof/>
        </w:rPr>
        <w:t>Artikel 2</w:t>
      </w:r>
    </w:p>
    <w:p>
      <w:pPr>
        <w:rPr>
          <w:noProof/>
        </w:rPr>
      </w:pPr>
      <w:r>
        <w:rPr>
          <w:noProof/>
        </w:rPr>
        <w:t xml:space="preserve">Ændringen i artikel 1 medfører ikke kompenserende justeringer, da den ikke giver anledning til en indskrænkning af dækningen. </w:t>
      </w:r>
    </w:p>
    <w:p>
      <w:pPr>
        <w:pStyle w:val="Titrearticle"/>
        <w:rPr>
          <w:noProof/>
        </w:rPr>
      </w:pPr>
      <w:r>
        <w:rPr>
          <w:noProof/>
        </w:rPr>
        <w:t>Artikel 3</w:t>
      </w:r>
    </w:p>
    <w:p>
      <w:pPr>
        <w:rPr>
          <w:noProof/>
        </w:rPr>
      </w:pPr>
      <w:r>
        <w:rPr>
          <w:noProof/>
        </w:rPr>
        <w:t>Denne afgørelse træder i kraft på dagen for vedtagelsen.</w:t>
      </w:r>
    </w:p>
    <w:p>
      <w:pPr>
        <w:pStyle w:val="Fait"/>
        <w:spacing w:after="960"/>
        <w:rPr>
          <w:noProof/>
        </w:rPr>
      </w:pPr>
      <w:r>
        <w:rPr>
          <w:noProof/>
        </w:rPr>
        <w:t>Udfærdiget i […], den […] 2017.</w:t>
      </w:r>
    </w:p>
    <w:p>
      <w:pPr>
        <w:rPr>
          <w:noProof/>
        </w:rPr>
      </w:pPr>
      <w:r>
        <w:rPr>
          <w:i/>
          <w:noProof/>
        </w:rPr>
        <w:t>På Handelsudvalgets vegne</w:t>
      </w:r>
    </w:p>
    <w:sectPr>
      <w:footerReference w:type="default" r:id="rId16"/>
      <w:footerReference w:type="first" r:id="rId17"/>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7EEC1B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7784562"/>
    <w:lvl w:ilvl="0">
      <w:start w:val="1"/>
      <w:numFmt w:val="decimal"/>
      <w:pStyle w:val="ListNumber3"/>
      <w:lvlText w:val="%1."/>
      <w:lvlJc w:val="left"/>
      <w:pPr>
        <w:tabs>
          <w:tab w:val="num" w:pos="926"/>
        </w:tabs>
        <w:ind w:left="926" w:hanging="360"/>
      </w:pPr>
    </w:lvl>
  </w:abstractNum>
  <w:abstractNum w:abstractNumId="2">
    <w:nsid w:val="FFFFFF7F"/>
    <w:multiLevelType w:val="singleLevel"/>
    <w:tmpl w:val="7FC6418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747B1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93029E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2B677F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2FC808E"/>
    <w:lvl w:ilvl="0">
      <w:start w:val="1"/>
      <w:numFmt w:val="decimal"/>
      <w:pStyle w:val="ListNumber"/>
      <w:lvlText w:val="%1."/>
      <w:lvlJc w:val="left"/>
      <w:pPr>
        <w:tabs>
          <w:tab w:val="num" w:pos="360"/>
        </w:tabs>
        <w:ind w:left="360" w:hanging="360"/>
      </w:pPr>
    </w:lvl>
  </w:abstractNum>
  <w:abstractNum w:abstractNumId="7">
    <w:nsid w:val="FFFFFF89"/>
    <w:multiLevelType w:val="singleLevel"/>
    <w:tmpl w:val="5C8E460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9-29 15:14: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til"/>
    <w:docVar w:name="LW_ACCOMPAGNANT.CP" w:val="til"/>
    <w:docVar w:name="LW_ANNEX_NBR_FIRST" w:val="1"/>
    <w:docVar w:name="LW_ANNEX_NBR_LAST" w:val="1"/>
    <w:docVar w:name="LW_CONFIDENCE" w:val=" "/>
    <w:docVar w:name="LW_CONST_RESTREINT_UE" w:val="RESTREINT UE"/>
    <w:docVar w:name="LW_CORRIGENDUM" w:val="&lt;UNUSED&gt;"/>
    <w:docVar w:name="LW_COVERPAGE_GUID" w:val="57AA755866B9492DAA338E0E1E750F88"/>
    <w:docVar w:name="LW_CROSSREFERENCE" w:val="&lt;UNUSED&gt;"/>
    <w:docVar w:name="LW_DocType" w:val="ANNEX"/>
    <w:docVar w:name="LW_EMISSION" w:val="9.10.2017"/>
    <w:docVar w:name="LW_EMISSION_ISODATE" w:val="2017-10-09"/>
    <w:docVar w:name="LW_EMISSION_LOCATION" w:val="BRX"/>
    <w:docVar w:name="LW_EMISSION_PREFIX" w:val="Bruxelles, den "/>
    <w:docVar w:name="LW_EMISSION_SUFFIX" w:val=" "/>
    <w:docVar w:name="LW_ID_DOCSTRUCTURE" w:val="COM/ANNEX"/>
    <w:docVar w:name="LW_ID_DOCTYPE" w:val="SG-017"/>
    <w:docVar w:name="LW_LANGUE" w:val="DA"/>
    <w:docVar w:name="LW_MARKING" w:val="&lt;UNUSED&gt;"/>
    <w:docVar w:name="LW_NOM.INST" w:val="EUROPA-KOMMISSIONEN"/>
    <w:docVar w:name="LW_NOM.INST_JOINTDOC" w:val="&lt;EMPTY&gt;"/>
    <w:docVar w:name="LW_OBJETACTEPRINCIPAL" w:val="om den holdning, der skal indtages på Den Europæiske Unions vegne i Handelsudvalget vedrørende ændringen af bilag XII til handelsaftalen mellem Den Europæiske Union og dens medlemsstater på den ene side og Colombia og Peru på den anden side, hvori listen over ordregivere i Colombia fastlægges i henhold til bestemmelserne i afsnit VI  (&quot;Offentlige indkøb&quot;)_x000b_"/>
    <w:docVar w:name="LW_OBJETACTEPRINCIPAL.CP" w:val="om den holdning, der skal indtages på Den Europæiske Unions vegne i Handelsudvalget vedrørende ændringen af bilag XII til handelsaftalen mellem Den Europæiske Union og dens medlemsstater på den ene side og Colombia og Peru på den anden side, hvori listen over ordregivere i Colombia fastlægges i henhold til bestemmelserne i afsnit VI  (&quot;Offentlige indkøb&quot;)_x000b_"/>
    <w:docVar w:name="LW_PART_NBR" w:val="1"/>
    <w:docVar w:name="LW_PART_NBR_TOTAL" w:val="1"/>
    <w:docVar w:name="LW_REF.INST.NEW" w:val="COM"/>
    <w:docVar w:name="LW_REF.INST.NEW_ADOPTED" w:val="final"/>
    <w:docVar w:name="LW_REF.INST.NEW_TEXT" w:val="(2017) 584"/>
    <w:docVar w:name="LW_REF.INTERNE" w:val="&lt;UNUSED&gt;"/>
    <w:docVar w:name="LW_SUPERTITRE" w:val="&lt;UNUSED&gt;"/>
    <w:docVar w:name="LW_TITRE.OBJ.CP" w:val="&lt;UNUSED&gt;"/>
    <w:docVar w:name="LW_TYPE.DOC" w:val="BILAG"/>
    <w:docVar w:name="LW_TYPE.DOC.CP" w:val="BILAG"/>
    <w:docVar w:name="LW_TYPEACTEPRINCIPAL" w:val="Forslag til Rådets afgørelse"/>
    <w:docVar w:name="LW_TYPEACTEPRINCIPAL.CP" w:val="Forslag til 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985F3-488E-4187-BFF1-027F10AB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3</Pages>
  <Words>400</Words>
  <Characters>2265</Characters>
  <Application>Microsoft Office Word</Application>
  <DocSecurity>0</DocSecurity>
  <Lines>50</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MOLLER Birgit (TRADE)</dc:creator>
  <cp:lastModifiedBy>DIGIT/A3</cp:lastModifiedBy>
  <cp:revision>7</cp:revision>
  <dcterms:created xsi:type="dcterms:W3CDTF">2017-09-08T11:35:00Z</dcterms:created>
  <dcterms:modified xsi:type="dcterms:W3CDTF">2017-09-29T13:14:00Z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