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7A84620DDE74BB2B5D93F3AA32505E2"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APENDICE</w:t>
      </w:r>
    </w:p>
    <w:p>
      <w:pPr>
        <w:jc w:val="center"/>
        <w:rPr>
          <w:b/>
          <w:noProof/>
        </w:rPr>
      </w:pPr>
      <w:r>
        <w:rPr>
          <w:b/>
          <w:noProof/>
        </w:rPr>
        <w:t>DECIZIA nr. […]/2017 A COMITETULUI PENTRU COMERȚ UE-COLUMBIA-PERU</w:t>
      </w:r>
    </w:p>
    <w:p>
      <w:pPr>
        <w:jc w:val="center"/>
        <w:rPr>
          <w:b/>
          <w:noProof/>
        </w:rPr>
      </w:pPr>
      <w:r>
        <w:rPr>
          <w:b/>
          <w:noProof/>
        </w:rPr>
        <w:t>din […] 2017</w:t>
      </w:r>
    </w:p>
    <w:p>
      <w:pPr>
        <w:jc w:val="center"/>
        <w:rPr>
          <w:b/>
          <w:noProof/>
        </w:rPr>
      </w:pPr>
      <w:r>
        <w:rPr>
          <w:b/>
          <w:noProof/>
        </w:rPr>
        <w:t>de modificare a apendicelui 1 la anexa XII („Achiziții publice”) la Acordul comercial dintre Uniunea Europeană și statele membre ale acesteia, pe de o parte, și Columbia și Peru, pe de altă parte</w:t>
      </w:r>
    </w:p>
    <w:p>
      <w:pPr>
        <w:pStyle w:val="Institutionquiagit"/>
        <w:rPr>
          <w:noProof/>
        </w:rPr>
      </w:pPr>
      <w:r>
        <w:rPr>
          <w:noProof/>
        </w:rPr>
        <w:t>COMITETUL PENTRU COMERȚ,</w:t>
      </w:r>
    </w:p>
    <w:p>
      <w:pPr>
        <w:rPr>
          <w:noProof/>
        </w:rPr>
      </w:pPr>
      <w:r>
        <w:rPr>
          <w:noProof/>
        </w:rPr>
        <w:t>având în vedere Acordul comercial dintre Uniunea Europeană (denumită în continuare „Uniunea”) și statele membre ale acesteia, pe de o parte, și Columbia și Peru, pe de altă parte (denumit în continuare „acordul comercial”), în special articolul 191,</w:t>
      </w:r>
    </w:p>
    <w:p>
      <w:pPr>
        <w:rPr>
          <w:noProof/>
        </w:rPr>
      </w:pPr>
      <w:r>
        <w:rPr>
          <w:noProof/>
        </w:rPr>
        <w:t>întrucât:</w:t>
      </w:r>
    </w:p>
    <w:p>
      <w:pPr>
        <w:pStyle w:val="ManualConsidrant"/>
        <w:rPr>
          <w:noProof/>
        </w:rPr>
      </w:pPr>
      <w:r>
        <w:rPr>
          <w:noProof/>
        </w:rPr>
        <w:t>(1)</w:t>
      </w:r>
      <w:r>
        <w:rPr>
          <w:noProof/>
        </w:rPr>
        <w:tab/>
        <w:t>Articolul 191 din acordul comercial prevede procedurile prin care o parte își poate modifica sau rectifica domeniul de reglementare al procedurilor de achiziții publice în conformitate cu titlului VI din acord.</w:t>
      </w:r>
    </w:p>
    <w:p>
      <w:pPr>
        <w:pStyle w:val="ManualConsidrant"/>
        <w:rPr>
          <w:noProof/>
        </w:rPr>
      </w:pPr>
      <w:r>
        <w:rPr>
          <w:noProof/>
        </w:rPr>
        <w:t>(2)</w:t>
      </w:r>
      <w:r>
        <w:rPr>
          <w:noProof/>
        </w:rPr>
        <w:tab/>
        <w:t xml:space="preserve">În subsecțiunea 2 din secțiunea A din apendicele 1 la anexa XII („Achiziții publice”) la acordul comercial se precizează entitățile guvernamentale subcentrale din Columbia ale căror achiziții intră în sfera de aplicare a titlului VI. </w:t>
      </w:r>
    </w:p>
    <w:p>
      <w:pPr>
        <w:pStyle w:val="ManualConsidrant"/>
        <w:rPr>
          <w:noProof/>
        </w:rPr>
      </w:pPr>
      <w:r>
        <w:rPr>
          <w:noProof/>
        </w:rPr>
        <w:t>(3)</w:t>
      </w:r>
      <w:r>
        <w:rPr>
          <w:noProof/>
        </w:rPr>
        <w:tab/>
        <w:t xml:space="preserve">Ca urmare a unor schimburi de opinii care au avut loc între Uniune și Columbia cu privire la punerea în aplicare a acordului comercial, Columbia a notificat Uniunii intenția sa de a adăuga o notă la subsecțiunea 2, prin care să se precizeze că termenul „entități contractante” acoperă toate entitățile contractante publice subcentrale fără caracter industrial sau comercial. Uniunea și Columbia sunt de acord cu această modificare și cu faptul că o astfel de modificare nu va necesita ajustări compensatorii. </w:t>
      </w:r>
    </w:p>
    <w:p>
      <w:pPr>
        <w:pStyle w:val="ManualConsidrant"/>
        <w:rPr>
          <w:noProof/>
        </w:rPr>
      </w:pPr>
      <w:r>
        <w:rPr>
          <w:noProof/>
        </w:rPr>
        <w:t>(4)</w:t>
      </w:r>
      <w:r>
        <w:rPr>
          <w:noProof/>
        </w:rPr>
        <w:tab/>
        <w:t>Pentru a include această notă, trebuie modificată subsecțiunea 2 din secțiunea A din apendicele 1 la anexa XII la acordul comercial. Decizia de a modifica anexa poate fi adoptată, în cadrul Comitetului pentru comerț instituit prin acord, de către Uniunea Europeană și Columbia („țara andină vizată”), în conformitate cu articolul 14 alineatul (3) din acordul comercial, întrucât se referă în mod exclusiv la relația bilaterală dintre acestea,</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 xml:space="preserve">Notele la subsecțiunea 2 din secțiunea A din apendicele 1 la anexa XII („Achiziții publice”) la acordul comercial se înlocuiesc cu următorul text: </w:t>
      </w:r>
    </w:p>
    <w:p>
      <w:pPr>
        <w:rPr>
          <w:noProof/>
        </w:rPr>
      </w:pPr>
      <w:r>
        <w:rPr>
          <w:noProof/>
        </w:rPr>
        <w:t>„Note referitoare la prezenta subsecțiune:</w:t>
      </w:r>
    </w:p>
    <w:p>
      <w:pPr>
        <w:pStyle w:val="ManualNumPar1"/>
        <w:rPr>
          <w:noProof/>
        </w:rPr>
      </w:pPr>
      <w:r>
        <w:rPr>
          <w:noProof/>
        </w:rPr>
        <w:t>1.</w:t>
      </w:r>
      <w:r>
        <w:rPr>
          <w:noProof/>
        </w:rPr>
        <w:tab/>
        <w:t>În sensul prezentei subsecțiuni, termenul «entități contractante» acoperă toate entitățile contractante publice subcentrale fără caracter industrial sau comercial.</w:t>
      </w:r>
    </w:p>
    <w:p>
      <w:pPr>
        <w:pStyle w:val="ManualNumPar1"/>
        <w:rPr>
          <w:noProof/>
        </w:rPr>
      </w:pPr>
      <w:r>
        <w:rPr>
          <w:noProof/>
        </w:rPr>
        <w:t>2.</w:t>
      </w:r>
      <w:r>
        <w:rPr>
          <w:noProof/>
        </w:rPr>
        <w:tab/>
        <w:t>Titlul VI din prezentul acord nu cuprinde:</w:t>
      </w:r>
    </w:p>
    <w:p>
      <w:pPr>
        <w:pStyle w:val="Point1"/>
        <w:rPr>
          <w:noProof/>
        </w:rPr>
      </w:pPr>
      <w:r>
        <w:rPr>
          <w:noProof/>
        </w:rPr>
        <w:lastRenderedPageBreak/>
        <w:t>(a)</w:t>
      </w:r>
      <w:r>
        <w:rPr>
          <w:noProof/>
        </w:rPr>
        <w:tab/>
        <w:t>achizițiile de produse alimentare, materii prime/inputuri agricole și animale vii legate de programele de asistență agricolă și de asistența alimentară și</w:t>
      </w:r>
    </w:p>
    <w:p>
      <w:pPr>
        <w:pStyle w:val="Point1"/>
        <w:rPr>
          <w:noProof/>
        </w:rPr>
      </w:pPr>
      <w:r>
        <w:rPr>
          <w:noProof/>
        </w:rPr>
        <w:t>(b)</w:t>
      </w:r>
      <w:r>
        <w:rPr>
          <w:noProof/>
        </w:rPr>
        <w:tab/>
        <w:t>achizițiile de mărfuri clasificate în secțiunea 2 (produse alimentare, băuturi și tutun; textile, îmbrăcăminte și produse din piele) din CPC, versiunea 1.0, pentru programe de asistență socială.”</w:t>
      </w:r>
    </w:p>
    <w:p>
      <w:pPr>
        <w:pStyle w:val="Titrearticle"/>
        <w:rPr>
          <w:noProof/>
        </w:rPr>
      </w:pPr>
      <w:r>
        <w:rPr>
          <w:noProof/>
        </w:rPr>
        <w:t>Articolul 2</w:t>
      </w:r>
    </w:p>
    <w:p>
      <w:pPr>
        <w:rPr>
          <w:noProof/>
        </w:rPr>
      </w:pPr>
      <w:r>
        <w:rPr>
          <w:noProof/>
        </w:rPr>
        <w:t xml:space="preserve">Modificarea prevăzută la articolul 1 nu implică nicio ajustare compensatorie deoarece nu duce la o reducere a domeniului de reglementare. </w:t>
      </w:r>
    </w:p>
    <w:p>
      <w:pPr>
        <w:pStyle w:val="Titrearticle"/>
        <w:rPr>
          <w:noProof/>
        </w:rPr>
      </w:pPr>
      <w:r>
        <w:rPr>
          <w:noProof/>
        </w:rPr>
        <w:t>Articolul 3</w:t>
      </w:r>
    </w:p>
    <w:p>
      <w:pPr>
        <w:rPr>
          <w:noProof/>
        </w:rPr>
      </w:pPr>
      <w:r>
        <w:rPr>
          <w:noProof/>
        </w:rPr>
        <w:t>Prezenta decizie întră în vigoare la data adoptării sale.</w:t>
      </w:r>
    </w:p>
    <w:p>
      <w:pPr>
        <w:pStyle w:val="Fait"/>
        <w:spacing w:after="960"/>
        <w:rPr>
          <w:noProof/>
        </w:rPr>
      </w:pPr>
      <w:r>
        <w:rPr>
          <w:noProof/>
        </w:rPr>
        <w:t>Adoptată la […], […] 2017.</w:t>
      </w:r>
    </w:p>
    <w:p>
      <w:pPr>
        <w:rPr>
          <w:noProof/>
        </w:rPr>
      </w:pPr>
      <w:r>
        <w:rPr>
          <w:i/>
          <w:noProof/>
        </w:rPr>
        <w:t>Pentru Comitetul pentru comerț</w:t>
      </w:r>
    </w:p>
    <w:sectPr>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EEC1B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77845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C641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747B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93029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677F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FC808E"/>
    <w:lvl w:ilvl="0">
      <w:start w:val="1"/>
      <w:numFmt w:val="decimal"/>
      <w:pStyle w:val="ListNumber"/>
      <w:lvlText w:val="%1."/>
      <w:lvlJc w:val="left"/>
      <w:pPr>
        <w:tabs>
          <w:tab w:val="num" w:pos="360"/>
        </w:tabs>
        <w:ind w:left="360" w:hanging="360"/>
      </w:pPr>
    </w:lvl>
  </w:abstractNum>
  <w:abstractNum w:abstractNumId="7">
    <w:nsid w:val="FFFFFF89"/>
    <w:multiLevelType w:val="singleLevel"/>
    <w:tmpl w:val="5C8E46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283"/>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7-09-29 15:15: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CONFIDENCE" w:val=" "/>
    <w:docVar w:name="LW_CONST_RESTREINT_UE" w:val="RESTREINT UE"/>
    <w:docVar w:name="LW_CORRIGENDUM" w:val="&lt;UNUSED&gt;"/>
    <w:docVar w:name="LW_COVERPAGE_GUID" w:val="37A84620DDE74BB2B5D93F3AA32505E2"/>
    <w:docVar w:name="LW_CROSSREFERENCE" w:val="&lt;UNUSED&gt;"/>
    <w:docVar w:name="LW_DocType" w:val="ANNEX"/>
    <w:docVar w:name="LW_EMISSION" w:val="9.10.2017"/>
    <w:docVar w:name="LW_EMISSION_ISODATE" w:val="2017-10-09"/>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 w:val="privind pozi\u539?ia care urmeaz\u259? s\u259? fie adoptat\u259?, în numele Uniunii Europene, în cadrul Comitetului pentru comer\u539?, privind modificarea anexei XII la Acordul comercial dintre Uniunea European\u259? \u537?i statele membre ale acesteia, pe de o parte, \u537?i Columbia \u537?i Peru, pe de alt\u259? parte, prin care s\u259? se stabileasc\u259? lista entit\u259?\u539?ilor contractante columbiene în conformitate cu dispozi\u539?iile titlului VI (\u8222?Achizi\u539?ii publice\u8221?)"/>
    <w:docVar w:name="LW_OBJETACTEPRINCIPAL.CP" w:val="privind pozi\u539?ia care urmeaz\u259? s\u259? fie adoptat\u259?, în numele Uniunii Europene, în cadrul Comitetului pentru comer\u539?, privind modificarea anexei XII la Acordul comercial dintre Uniunea European\u259? \u537?i statele membre ale acesteia, pe de o parte, \u537?i Columbia \u537?i Peru, pe de alt\u259? parte, prin care s\u259? se stabileasc\u259? lista entit\u259?\u539?ilor contractante columbiene în conformitate cu dispozi\u539?iile titlului VI (\u8222?Achizi\u539?ii publice\u8221?)"/>
    <w:docVar w:name="LW_PART_NBR" w:val="1"/>
    <w:docVar w:name="LW_PART_NBR_TOTAL" w:val="1"/>
    <w:docVar w:name="LW_REF.INST.NEW" w:val="COM"/>
    <w:docVar w:name="LW_REF.INST.NEW_ADOPTED" w:val="final"/>
    <w:docVar w:name="LW_REF.INST.NEW_TEXT" w:val="(2017) 584"/>
    <w:docVar w:name="LW_REF.INTERNE" w:val="&lt;UNUSED&gt;"/>
    <w:docVar w:name="LW_SUPERTITRE" w:val="&lt;UNUSED&gt;"/>
    <w:docVar w:name="LW_TITRE.OBJ.CP"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5503A"/>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rsid w:val="0075503A"/>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864D6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64D6D"/>
    <w:pPr>
      <w:spacing w:after="0"/>
    </w:pPr>
  </w:style>
  <w:style w:type="paragraph" w:styleId="ListBullet">
    <w:name w:val="List Bullet"/>
    <w:basedOn w:val="Normal"/>
    <w:uiPriority w:val="99"/>
    <w:semiHidden/>
    <w:unhideWhenUsed/>
    <w:rsid w:val="00864D6D"/>
    <w:pPr>
      <w:numPr>
        <w:numId w:val="1"/>
      </w:numPr>
      <w:contextualSpacing/>
    </w:pPr>
  </w:style>
  <w:style w:type="paragraph" w:styleId="ListBullet2">
    <w:name w:val="List Bullet 2"/>
    <w:basedOn w:val="Normal"/>
    <w:uiPriority w:val="99"/>
    <w:semiHidden/>
    <w:unhideWhenUsed/>
    <w:rsid w:val="00864D6D"/>
    <w:pPr>
      <w:numPr>
        <w:numId w:val="2"/>
      </w:numPr>
      <w:contextualSpacing/>
    </w:pPr>
  </w:style>
  <w:style w:type="paragraph" w:styleId="ListBullet3">
    <w:name w:val="List Bullet 3"/>
    <w:basedOn w:val="Normal"/>
    <w:uiPriority w:val="99"/>
    <w:semiHidden/>
    <w:unhideWhenUsed/>
    <w:rsid w:val="00864D6D"/>
    <w:pPr>
      <w:numPr>
        <w:numId w:val="3"/>
      </w:numPr>
      <w:contextualSpacing/>
    </w:pPr>
  </w:style>
  <w:style w:type="paragraph" w:styleId="ListBullet4">
    <w:name w:val="List Bullet 4"/>
    <w:basedOn w:val="Normal"/>
    <w:uiPriority w:val="99"/>
    <w:semiHidden/>
    <w:unhideWhenUsed/>
    <w:rsid w:val="00864D6D"/>
    <w:pPr>
      <w:numPr>
        <w:numId w:val="4"/>
      </w:numPr>
      <w:contextualSpacing/>
    </w:pPr>
  </w:style>
  <w:style w:type="paragraph" w:styleId="ListNumber">
    <w:name w:val="List Number"/>
    <w:basedOn w:val="Normal"/>
    <w:uiPriority w:val="99"/>
    <w:semiHidden/>
    <w:unhideWhenUsed/>
    <w:rsid w:val="00864D6D"/>
    <w:pPr>
      <w:numPr>
        <w:numId w:val="5"/>
      </w:numPr>
      <w:contextualSpacing/>
    </w:pPr>
  </w:style>
  <w:style w:type="paragraph" w:styleId="ListNumber2">
    <w:name w:val="List Number 2"/>
    <w:basedOn w:val="Normal"/>
    <w:uiPriority w:val="99"/>
    <w:semiHidden/>
    <w:unhideWhenUsed/>
    <w:rsid w:val="00864D6D"/>
    <w:pPr>
      <w:numPr>
        <w:numId w:val="6"/>
      </w:numPr>
      <w:contextualSpacing/>
    </w:pPr>
  </w:style>
  <w:style w:type="paragraph" w:styleId="ListNumber3">
    <w:name w:val="List Number 3"/>
    <w:basedOn w:val="Normal"/>
    <w:uiPriority w:val="99"/>
    <w:semiHidden/>
    <w:unhideWhenUsed/>
    <w:rsid w:val="00864D6D"/>
    <w:pPr>
      <w:numPr>
        <w:numId w:val="7"/>
      </w:numPr>
      <w:contextualSpacing/>
    </w:pPr>
  </w:style>
  <w:style w:type="paragraph" w:styleId="ListNumber4">
    <w:name w:val="List Number 4"/>
    <w:basedOn w:val="Normal"/>
    <w:uiPriority w:val="99"/>
    <w:semiHidden/>
    <w:unhideWhenUsed/>
    <w:rsid w:val="00864D6D"/>
    <w:pPr>
      <w:numPr>
        <w:numId w:val="8"/>
      </w:numPr>
      <w:contextualSpacing/>
    </w:pPr>
  </w:style>
  <w:style w:type="character" w:styleId="CommentReference">
    <w:name w:val="annotation reference"/>
    <w:basedOn w:val="DefaultParagraphFont"/>
    <w:uiPriority w:val="99"/>
    <w:semiHidden/>
    <w:unhideWhenUsed/>
    <w:rsid w:val="002848EF"/>
    <w:rPr>
      <w:sz w:val="16"/>
      <w:szCs w:val="16"/>
    </w:rPr>
  </w:style>
  <w:style w:type="paragraph" w:styleId="CommentText">
    <w:name w:val="annotation text"/>
    <w:basedOn w:val="Normal"/>
    <w:link w:val="CommentTextChar"/>
    <w:uiPriority w:val="99"/>
    <w:semiHidden/>
    <w:unhideWhenUsed/>
    <w:rsid w:val="002848EF"/>
    <w:rPr>
      <w:sz w:val="20"/>
      <w:szCs w:val="20"/>
    </w:rPr>
  </w:style>
  <w:style w:type="character" w:customStyle="1" w:styleId="CommentTextChar">
    <w:name w:val="Comment Text Char"/>
    <w:basedOn w:val="DefaultParagraphFont"/>
    <w:link w:val="CommentText"/>
    <w:uiPriority w:val="99"/>
    <w:semiHidden/>
    <w:rsid w:val="002848E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48EF"/>
    <w:rPr>
      <w:b/>
      <w:bCs/>
    </w:rPr>
  </w:style>
  <w:style w:type="character" w:customStyle="1" w:styleId="CommentSubjectChar">
    <w:name w:val="Comment Subject Char"/>
    <w:basedOn w:val="CommentTextChar"/>
    <w:link w:val="CommentSubject"/>
    <w:uiPriority w:val="99"/>
    <w:semiHidden/>
    <w:rsid w:val="002848EF"/>
    <w:rPr>
      <w:rFonts w:ascii="Times New Roman" w:hAnsi="Times New Roman" w:cs="Times New Roman"/>
      <w:b/>
      <w:bCs/>
      <w:sz w:val="20"/>
      <w:szCs w:val="20"/>
      <w:lang w:val="en-GB"/>
    </w:rPr>
  </w:style>
  <w:style w:type="character" w:styleId="Hyperlink">
    <w:name w:val="Hyperlink"/>
    <w:basedOn w:val="DefaultParagraphFont"/>
    <w:uiPriority w:val="99"/>
    <w:unhideWhenUsed/>
    <w:rsid w:val="002848EF"/>
    <w:rPr>
      <w:color w:val="0000FF" w:themeColor="hyperlink"/>
      <w:u w:val="single"/>
    </w:rPr>
  </w:style>
  <w:style w:type="paragraph" w:styleId="BalloonText">
    <w:name w:val="Balloon Text"/>
    <w:basedOn w:val="Normal"/>
    <w:link w:val="BalloonTextChar"/>
    <w:uiPriority w:val="99"/>
    <w:semiHidden/>
    <w:unhideWhenUsed/>
    <w:rsid w:val="002848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EF"/>
    <w:rPr>
      <w:rFonts w:ascii="Tahoma" w:hAnsi="Tahoma" w:cs="Tahoma"/>
      <w:sz w:val="16"/>
      <w:szCs w:val="16"/>
      <w:lang w:val="en-GB"/>
    </w:r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5503A"/>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5503A"/>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5503A"/>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tabs>
        <w:tab w:val="num" w:pos="720"/>
      </w:tabs>
      <w:ind w:left="720" w:hanging="720"/>
    </w:pPr>
  </w:style>
  <w:style w:type="paragraph" w:customStyle="1" w:styleId="Tiret1">
    <w:name w:val="Tiret 1"/>
    <w:basedOn w:val="Point1"/>
    <w:rsid w:val="0075503A"/>
    <w:pPr>
      <w:tabs>
        <w:tab w:val="num" w:pos="720"/>
      </w:tabs>
      <w:ind w:left="720" w:hanging="720"/>
    </w:pPr>
  </w:style>
  <w:style w:type="paragraph" w:customStyle="1" w:styleId="Tiret2">
    <w:name w:val="Tiret 2"/>
    <w:basedOn w:val="Point2"/>
    <w:rsid w:val="0075503A"/>
    <w:pPr>
      <w:tabs>
        <w:tab w:val="num" w:pos="720"/>
      </w:tabs>
      <w:ind w:left="720" w:hanging="720"/>
    </w:pPr>
  </w:style>
  <w:style w:type="paragraph" w:customStyle="1" w:styleId="Tiret3">
    <w:name w:val="Tiret 3"/>
    <w:basedOn w:val="Point3"/>
    <w:rsid w:val="0075503A"/>
    <w:pPr>
      <w:tabs>
        <w:tab w:val="num" w:pos="720"/>
      </w:tabs>
      <w:ind w:left="720" w:hanging="720"/>
    </w:pPr>
  </w:style>
  <w:style w:type="paragraph" w:customStyle="1" w:styleId="Tiret4">
    <w:name w:val="Tiret 4"/>
    <w:basedOn w:val="Point4"/>
    <w:rsid w:val="0075503A"/>
    <w:pPr>
      <w:tabs>
        <w:tab w:val="num" w:pos="720"/>
      </w:tabs>
      <w:ind w:left="720" w:hanging="720"/>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tabs>
        <w:tab w:val="num" w:pos="720"/>
      </w:tabs>
      <w:ind w:left="720" w:hanging="720"/>
    </w:pPr>
  </w:style>
  <w:style w:type="paragraph" w:customStyle="1" w:styleId="NumPar2">
    <w:name w:val="NumPar 2"/>
    <w:basedOn w:val="Normal"/>
    <w:next w:val="Text1"/>
    <w:rsid w:val="0075503A"/>
    <w:pPr>
      <w:tabs>
        <w:tab w:val="num" w:pos="1440"/>
      </w:tabs>
      <w:ind w:left="1440" w:hanging="720"/>
    </w:pPr>
  </w:style>
  <w:style w:type="paragraph" w:customStyle="1" w:styleId="NumPar3">
    <w:name w:val="NumPar 3"/>
    <w:basedOn w:val="Normal"/>
    <w:next w:val="Text1"/>
    <w:rsid w:val="0075503A"/>
    <w:pPr>
      <w:tabs>
        <w:tab w:val="num" w:pos="2160"/>
      </w:tabs>
      <w:ind w:left="2160" w:hanging="720"/>
    </w:pPr>
  </w:style>
  <w:style w:type="paragraph" w:customStyle="1" w:styleId="NumPar4">
    <w:name w:val="NumPar 4"/>
    <w:basedOn w:val="Normal"/>
    <w:next w:val="Text1"/>
    <w:rsid w:val="0075503A"/>
    <w:pPr>
      <w:tabs>
        <w:tab w:val="num" w:pos="2880"/>
      </w:tabs>
      <w:ind w:left="2880" w:hanging="720"/>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tabs>
        <w:tab w:val="num" w:pos="720"/>
      </w:tabs>
      <w:ind w:left="720" w:hanging="720"/>
    </w:pPr>
  </w:style>
  <w:style w:type="paragraph" w:customStyle="1" w:styleId="Point1number">
    <w:name w:val="Point 1 (number)"/>
    <w:basedOn w:val="Normal"/>
    <w:rsid w:val="0075503A"/>
    <w:pPr>
      <w:tabs>
        <w:tab w:val="num" w:pos="2160"/>
      </w:tabs>
      <w:ind w:left="2160" w:hanging="720"/>
    </w:pPr>
  </w:style>
  <w:style w:type="paragraph" w:customStyle="1" w:styleId="Point2number">
    <w:name w:val="Point 2 (number)"/>
    <w:basedOn w:val="Normal"/>
    <w:rsid w:val="0075503A"/>
    <w:pPr>
      <w:numPr>
        <w:ilvl w:val="4"/>
        <w:numId w:val="24"/>
      </w:numPr>
    </w:pPr>
  </w:style>
  <w:style w:type="paragraph" w:customStyle="1" w:styleId="Point3number">
    <w:name w:val="Point 3 (number)"/>
    <w:basedOn w:val="Normal"/>
    <w:rsid w:val="0075503A"/>
    <w:pPr>
      <w:numPr>
        <w:ilvl w:val="6"/>
        <w:numId w:val="24"/>
      </w:numPr>
    </w:pPr>
  </w:style>
  <w:style w:type="paragraph" w:customStyle="1" w:styleId="Point0letter">
    <w:name w:val="Point 0 (letter)"/>
    <w:basedOn w:val="Normal"/>
    <w:rsid w:val="0075503A"/>
    <w:pPr>
      <w:tabs>
        <w:tab w:val="num" w:pos="1440"/>
      </w:tabs>
      <w:ind w:left="1440" w:hanging="720"/>
    </w:pPr>
  </w:style>
  <w:style w:type="paragraph" w:customStyle="1" w:styleId="Point1letter">
    <w:name w:val="Point 1 (letter)"/>
    <w:basedOn w:val="Normal"/>
    <w:rsid w:val="0075503A"/>
    <w:pPr>
      <w:tabs>
        <w:tab w:val="num" w:pos="2880"/>
      </w:tabs>
      <w:ind w:left="2880" w:hanging="720"/>
    </w:pPr>
  </w:style>
  <w:style w:type="paragraph" w:customStyle="1" w:styleId="Point2letter">
    <w:name w:val="Point 2 (letter)"/>
    <w:basedOn w:val="Normal"/>
    <w:rsid w:val="0075503A"/>
    <w:pPr>
      <w:numPr>
        <w:ilvl w:val="5"/>
        <w:numId w:val="24"/>
      </w:numPr>
    </w:pPr>
  </w:style>
  <w:style w:type="paragraph" w:customStyle="1" w:styleId="Point3letter">
    <w:name w:val="Point 3 (letter)"/>
    <w:basedOn w:val="Normal"/>
    <w:rsid w:val="0075503A"/>
    <w:pPr>
      <w:numPr>
        <w:ilvl w:val="7"/>
        <w:numId w:val="24"/>
      </w:numPr>
    </w:pPr>
  </w:style>
  <w:style w:type="paragraph" w:customStyle="1" w:styleId="Point4letter">
    <w:name w:val="Point 4 (letter)"/>
    <w:basedOn w:val="Normal"/>
    <w:rsid w:val="0075503A"/>
    <w:pPr>
      <w:numPr>
        <w:ilvl w:val="8"/>
        <w:numId w:val="24"/>
      </w:numPr>
    </w:pPr>
  </w:style>
  <w:style w:type="paragraph" w:customStyle="1" w:styleId="Bullet0">
    <w:name w:val="Bullet 0"/>
    <w:basedOn w:val="Normal"/>
    <w:rsid w:val="0075503A"/>
    <w:pPr>
      <w:tabs>
        <w:tab w:val="num" w:pos="720"/>
      </w:tabs>
      <w:ind w:left="720" w:hanging="720"/>
    </w:pPr>
  </w:style>
  <w:style w:type="paragraph" w:customStyle="1" w:styleId="Bullet1">
    <w:name w:val="Bullet 1"/>
    <w:basedOn w:val="Normal"/>
    <w:rsid w:val="0075503A"/>
    <w:pPr>
      <w:tabs>
        <w:tab w:val="num" w:pos="720"/>
      </w:tabs>
      <w:ind w:left="720" w:hanging="720"/>
    </w:pPr>
  </w:style>
  <w:style w:type="paragraph" w:customStyle="1" w:styleId="Bullet2">
    <w:name w:val="Bullet 2"/>
    <w:basedOn w:val="Normal"/>
    <w:rsid w:val="0075503A"/>
    <w:pPr>
      <w:tabs>
        <w:tab w:val="num" w:pos="720"/>
      </w:tabs>
      <w:ind w:left="720" w:hanging="720"/>
    </w:pPr>
  </w:style>
  <w:style w:type="paragraph" w:customStyle="1" w:styleId="Bullet3">
    <w:name w:val="Bullet 3"/>
    <w:basedOn w:val="Normal"/>
    <w:rsid w:val="0075503A"/>
    <w:pPr>
      <w:tabs>
        <w:tab w:val="num" w:pos="720"/>
      </w:tabs>
      <w:ind w:left="720" w:hanging="720"/>
    </w:pPr>
  </w:style>
  <w:style w:type="paragraph" w:customStyle="1" w:styleId="Bullet4">
    <w:name w:val="Bullet 4"/>
    <w:basedOn w:val="Normal"/>
    <w:rsid w:val="0075503A"/>
    <w:pPr>
      <w:tabs>
        <w:tab w:val="num" w:pos="720"/>
      </w:tabs>
      <w:ind w:left="720" w:hanging="720"/>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tabs>
        <w:tab w:val="num" w:pos="720"/>
      </w:tabs>
      <w:ind w:left="720" w:hanging="720"/>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74B0-3225-4A24-8503-E6AD8835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457</Words>
  <Characters>2609</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Birgit (TRADE)</dc:creator>
  <cp:lastModifiedBy>DIGIT/A3</cp:lastModifiedBy>
  <cp:revision>7</cp:revision>
  <dcterms:created xsi:type="dcterms:W3CDTF">2017-09-08T14:36:00Z</dcterms:created>
  <dcterms:modified xsi:type="dcterms:W3CDTF">2017-09-29T13:15:00Z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