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EEA02DF92C084D29AF488CB0CDA68F2D" style="width:450.75pt;height:43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CSATOLMÁNY</w:t>
      </w:r>
    </w:p>
    <w:p>
      <w:pPr>
        <w:jc w:val="center"/>
        <w:rPr>
          <w:b/>
          <w:noProof/>
        </w:rPr>
      </w:pPr>
      <w:r>
        <w:rPr>
          <w:b/>
          <w:noProof/>
        </w:rPr>
        <w:t>A EU–KOLUMBIA-PERU KERESKEDELMI BIZOTTSÁG […]/2017 HATÁROZATA</w:t>
      </w:r>
    </w:p>
    <w:p>
      <w:pPr>
        <w:jc w:val="center"/>
        <w:rPr>
          <w:b/>
          <w:noProof/>
        </w:rPr>
      </w:pPr>
      <w:r>
        <w:rPr>
          <w:b/>
          <w:noProof/>
        </w:rPr>
        <w:t>(2017. […])</w:t>
      </w:r>
    </w:p>
    <w:p>
      <w:pPr>
        <w:jc w:val="center"/>
        <w:rPr>
          <w:b/>
          <w:noProof/>
        </w:rPr>
      </w:pPr>
      <w:r>
        <w:rPr>
          <w:b/>
          <w:noProof/>
        </w:rPr>
        <w:t>az egyrészről az Európai Unió és tagállamai, másrészről Kolumbia és Peru között létrejött kereskedelmi megállapodás XII. melléklete („Kormányzati beszerzések”) 1. függelékének módosításáról</w:t>
      </w:r>
    </w:p>
    <w:p>
      <w:pPr>
        <w:pStyle w:val="Institutionquiagit"/>
        <w:rPr>
          <w:noProof/>
        </w:rPr>
      </w:pPr>
      <w:r>
        <w:rPr>
          <w:noProof/>
        </w:rPr>
        <w:t>A KERESKEDELMI BIZOTTSÁG,</w:t>
      </w:r>
    </w:p>
    <w:p>
      <w:pPr>
        <w:rPr>
          <w:noProof/>
        </w:rPr>
      </w:pPr>
      <w:r>
        <w:rPr>
          <w:noProof/>
        </w:rPr>
        <w:t>tekintettel az egyrészről az Európai Unió és tagállamai, másrészről Kolumbia és Peru között létrejött kereskedelmi megállapodásra (a továbbiakban: kereskedelmi megállapodás) és különösen annak 191. cikkére,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 kereskedelmi megállapodás 191. cikke meghatározza, hogy a Felek milyen eljárásokkal módosíthatják vagy helyesbíthetik a VI. cím hatálya alá tartozó beszerzések körét.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A kereskedelmi megállapodás XII. melléklete 1. függeléke A. szakaszának 2. alszakasza meghatározza. hogy Kolumbia mely központinál alacsonyabb szintű kormányzati szervezeteinek beszerzései tartoznak a VI. cikk hatálya alá.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A kereskedelmi megállapodás végrehajtásáról szóló, az Unió és Kolumbia közötti egyeztetéseket követően Kolumbia értesítette az Uniót, hogy a 2. alszakaszt ki kívánja egészíteni egy megjegyzéssel, amely szerint valamennyi, nem ipari vagy kereskedelmi jellegű, központinál alacsonyabb szintű közbeszerzési ajánlatkérő az „ajánlatkérők” körébe tartozik. Az Unió és Kolumbia egyetért a módosítást illetően, valamint abban, hogy az ilyen jellegű módosítás nem tesz szükségessé kompenzációs kiigazítást. 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E megjegyzés hozzáadása érdekében módosítani kell a kereskedelmi megállapodás XII. melléklete 1. függeléke A. szakaszának 2. alszakaszát. A kereskedelmi megállapodás 14. cikkének (3) bekezdése értelmében a melléklet módosítására vonatkozó határozatot az Európai Unió és Kolumbia („az érintett andoki ország”) elfogadhatja a megállapodás keretében létrehozott kereskedelmi bizottságban, mivel a határozat kizárólag e két Fél kétoldalú kapcsolataira vonatkozik,</w:t>
      </w:r>
    </w:p>
    <w:p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 xml:space="preserve">A kereskedelmi megállapodás XII. melléklete („Kormányzati beszerzések”) 1. függeléke A. szakaszának 2. alszakaszához fűzött megjegyzések helyébe a következő szöveg lép: </w:t>
      </w:r>
    </w:p>
    <w:p>
      <w:pPr>
        <w:rPr>
          <w:noProof/>
        </w:rPr>
      </w:pPr>
      <w:r>
        <w:rPr>
          <w:noProof/>
        </w:rPr>
        <w:t>„Megjegyzések ehhez az alszakaszhoz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Ezen alszakasz alkalmazásában valamennyi, központinál alacsonyabb szintű, nem ipari és nem kereskedelmi jellegű közbeszerzési ajánlatkérő az „ajánlatkérők” körébe tartozik.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E megállapodás VI. címe nem terjed ki:</w:t>
      </w:r>
    </w:p>
    <w:p>
      <w:pPr>
        <w:pStyle w:val="Point1"/>
        <w:rPr>
          <w:noProof/>
        </w:rPr>
      </w:pPr>
      <w:r>
        <w:rPr>
          <w:noProof/>
        </w:rPr>
        <w:lastRenderedPageBreak/>
        <w:t>(a)</w:t>
      </w:r>
      <w:r>
        <w:rPr>
          <w:noProof/>
        </w:rPr>
        <w:tab/>
        <w:t>a mezőgazdaságot támogató és élelmiszer-segélyező programokkal kapcsolatos élelmiszerek, mezőgazdasági nyersanyagok/inputanyagok és élőállatok beszerzésére; és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a CPC 1.0-ás változatának 2. szakasza (élelmiszertermékek, italok és dohány; textil-, ruházati és bőrtermékek) alá sorolt áruk szociális segélyezési programok számára lefolytatott beszerzésére.”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 xml:space="preserve">Az 1. cikkben meghatározott módosítás nem von maga után kompenzációs kiigazítást, mivel nem szűkíti a hatályt. </w:t>
      </w:r>
    </w:p>
    <w:p>
      <w:pPr>
        <w:pStyle w:val="Titrearticle"/>
        <w:rPr>
          <w:noProof/>
        </w:rPr>
      </w:pPr>
      <w:r>
        <w:rPr>
          <w:noProof/>
        </w:rPr>
        <w:t>3. cikk</w:t>
      </w:r>
    </w:p>
    <w:p>
      <w:pPr>
        <w:rPr>
          <w:noProof/>
        </w:rPr>
      </w:pPr>
      <w:r>
        <w:rPr>
          <w:noProof/>
        </w:rPr>
        <w:t>Ez a határozat az elfogadásának napján lép hatályba.</w:t>
      </w:r>
    </w:p>
    <w:p>
      <w:pPr>
        <w:pStyle w:val="Fait"/>
        <w:spacing w:after="960"/>
        <w:rPr>
          <w:noProof/>
        </w:rPr>
      </w:pPr>
      <w:r>
        <w:rPr>
          <w:noProof/>
        </w:rPr>
        <w:t>Kelt […]-ban/ben, 2017. […]-án/én.</w:t>
      </w:r>
    </w:p>
    <w:p>
      <w:pPr>
        <w:rPr>
          <w:noProof/>
        </w:rPr>
      </w:pPr>
      <w:r>
        <w:rPr>
          <w:i/>
          <w:noProof/>
        </w:rPr>
        <w:t>a kereskedelmi bizottság nevében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7EEC1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77845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FC641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747B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93029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B677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2FC80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C8E4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removePersonalInformation/>
  <w:removeDateAndTime/>
  <w:displayBackgroundShape/>
  <w:hideSpellingErrors/>
  <w:hideGrammaticalErrors/>
  <w:attachedTemplate r:id="rId1"/>
  <w:revisionView w:markup="0"/>
  <w:defaultTabStop w:val="720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docVars>
    <w:docVar w:name="COVERPAGE_EXISTS" w:val="True"/>
    <w:docVar w:name="DQCDateTime" w:val="2017-09-29 15:15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EEA02DF92C084D29AF488CB0CDA68F2D"/>
    <w:docVar w:name="LW_CROSSREFERENCE" w:val="&lt;UNUSED&gt;"/>
    <w:docVar w:name="LW_DocType" w:val="ANNEX"/>
    <w:docVar w:name="LW_EMISSION" w:val="2017.10.9."/>
    <w:docVar w:name="LW_EMISSION_ISODATE" w:val="2017-10-09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" w:val="az egyrészr\u337?l az Európai Unió és tagállamai, másrészr\u337?l Kolumbia és Peru közötti kereskedelmi megállapodás keretében m\u369?köd\u337? kereskedelmi bizottságban a megállapodás XII. mellékletének a kolumbiai közbeszerzési ajánlatkér\u337?k listáját meghatározó, a VI. címnek (\u8222?Kormányzati beszerzések\u8221?) megfelel\u337? módosítását illet\u337?en az Unió nevében képviselend\u337? álláspontról"/>
    <w:docVar w:name="LW_OBJETACTEPRINCIPAL.CP" w:val="az egyrészr\u337?l az Európai Unió és tagállamai, másrészr\u337?l Kolumbia és Peru közötti kereskedelmi megállapodás keretében m\u369?köd\u337? kereskedelmi bizottságban a megállapodás XII. mellékletének a kolumbiai közbeszerzési ajánlatkér\u337?k listáját meghatározó, a VI. címnek (\u8222?Kormányzati beszerzések\u8221?) megfelel\u337? módosítását illet\u337?en az Unió nevében képviselend\u337? álláspontról"/>
    <w:docVar w:name="LW_PART_NBR" w:val="1"/>
    <w:docVar w:name="LW_PART_NBR_TOTAL" w:val="1"/>
    <w:docVar w:name="LW_REF.INST.NEW" w:val="COM"/>
    <w:docVar w:name="LW_REF.INST.NEW_ADOPTED" w:val="final"/>
    <w:docVar w:name="LW_REF.INST.NEW_TEXT" w:val="(2017) 584"/>
    <w:docVar w:name="LW_REF.INTERNE" w:val="&lt;UNUSED&gt;"/>
    <w:docVar w:name="LW_SUPERTITRE" w:val="&lt;UNUSED&gt;"/>
    <w:docVar w:name="LW_TITRE.OBJ.CP" w:val="&lt;UNUSED&gt;"/>
    <w:docVar w:name="LW_TYPE.DOC" w:val="MELLÉKLET"/>
    <w:docVar w:name="LW_TYPE.DOC.CP" w:val="MELLÉKLET"/>
    <w:docVar w:name="LW_TYPEACTEPRINCIPAL" w:val="Javaslat_x000b_A Tanács határozata"/>
    <w:docVar w:name="LW_TYPEACTEPRINCIPAL.CP" w:val="Javaslat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864D6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64D6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864D6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64D6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64D6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64D6D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864D6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64D6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64D6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64D6D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4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8EF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8EF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848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8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E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tabs>
        <w:tab w:val="num" w:pos="720"/>
      </w:tabs>
      <w:ind w:left="720" w:hanging="720"/>
    </w:pPr>
  </w:style>
  <w:style w:type="paragraph" w:customStyle="1" w:styleId="Tiret1">
    <w:name w:val="Tiret 1"/>
    <w:basedOn w:val="Point1"/>
    <w:rsid w:val="0075503A"/>
    <w:pPr>
      <w:tabs>
        <w:tab w:val="num" w:pos="720"/>
      </w:tabs>
      <w:ind w:left="720" w:hanging="720"/>
    </w:pPr>
  </w:style>
  <w:style w:type="paragraph" w:customStyle="1" w:styleId="Tiret2">
    <w:name w:val="Tiret 2"/>
    <w:basedOn w:val="Point2"/>
    <w:rsid w:val="0075503A"/>
    <w:pPr>
      <w:tabs>
        <w:tab w:val="num" w:pos="720"/>
      </w:tabs>
      <w:ind w:left="720" w:hanging="720"/>
    </w:pPr>
  </w:style>
  <w:style w:type="paragraph" w:customStyle="1" w:styleId="Tiret3">
    <w:name w:val="Tiret 3"/>
    <w:basedOn w:val="Point3"/>
    <w:rsid w:val="0075503A"/>
    <w:pPr>
      <w:tabs>
        <w:tab w:val="num" w:pos="720"/>
      </w:tabs>
      <w:ind w:left="720" w:hanging="720"/>
    </w:pPr>
  </w:style>
  <w:style w:type="paragraph" w:customStyle="1" w:styleId="Tiret4">
    <w:name w:val="Tiret 4"/>
    <w:basedOn w:val="Point4"/>
    <w:rsid w:val="0075503A"/>
    <w:pPr>
      <w:tabs>
        <w:tab w:val="num" w:pos="720"/>
      </w:tabs>
      <w:ind w:left="720" w:hanging="720"/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tabs>
        <w:tab w:val="num" w:pos="720"/>
      </w:tabs>
      <w:ind w:left="720" w:hanging="720"/>
    </w:pPr>
  </w:style>
  <w:style w:type="paragraph" w:customStyle="1" w:styleId="NumPar2">
    <w:name w:val="NumPar 2"/>
    <w:basedOn w:val="Normal"/>
    <w:next w:val="Text1"/>
    <w:rsid w:val="0075503A"/>
    <w:pPr>
      <w:tabs>
        <w:tab w:val="num" w:pos="1440"/>
      </w:tabs>
      <w:ind w:left="1440" w:hanging="720"/>
    </w:pPr>
  </w:style>
  <w:style w:type="paragraph" w:customStyle="1" w:styleId="NumPar3">
    <w:name w:val="NumPar 3"/>
    <w:basedOn w:val="Normal"/>
    <w:next w:val="Text1"/>
    <w:rsid w:val="0075503A"/>
    <w:pPr>
      <w:tabs>
        <w:tab w:val="num" w:pos="2160"/>
      </w:tabs>
      <w:ind w:left="2160" w:hanging="720"/>
    </w:pPr>
  </w:style>
  <w:style w:type="paragraph" w:customStyle="1" w:styleId="NumPar4">
    <w:name w:val="NumPar 4"/>
    <w:basedOn w:val="Normal"/>
    <w:next w:val="Text1"/>
    <w:rsid w:val="0075503A"/>
    <w:pPr>
      <w:tabs>
        <w:tab w:val="num" w:pos="2880"/>
      </w:tabs>
      <w:ind w:left="2880" w:hanging="720"/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Point1number">
    <w:name w:val="Point 1 (number)"/>
    <w:basedOn w:val="Normal"/>
    <w:rsid w:val="0075503A"/>
    <w:pPr>
      <w:tabs>
        <w:tab w:val="num" w:pos="2160"/>
      </w:tabs>
      <w:ind w:left="2160" w:hanging="720"/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4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4"/>
      </w:numPr>
    </w:pPr>
  </w:style>
  <w:style w:type="paragraph" w:customStyle="1" w:styleId="Point0letter">
    <w:name w:val="Point 0 (letter)"/>
    <w:basedOn w:val="Normal"/>
    <w:rsid w:val="0075503A"/>
    <w:pPr>
      <w:tabs>
        <w:tab w:val="num" w:pos="1440"/>
      </w:tabs>
      <w:ind w:left="1440" w:hanging="720"/>
    </w:pPr>
  </w:style>
  <w:style w:type="paragraph" w:customStyle="1" w:styleId="Point1letter">
    <w:name w:val="Point 1 (letter)"/>
    <w:basedOn w:val="Normal"/>
    <w:rsid w:val="0075503A"/>
    <w:pPr>
      <w:tabs>
        <w:tab w:val="num" w:pos="2880"/>
      </w:tabs>
      <w:ind w:left="2880" w:hanging="720"/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4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4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4"/>
      </w:numPr>
    </w:pPr>
  </w:style>
  <w:style w:type="paragraph" w:customStyle="1" w:styleId="Bullet0">
    <w:name w:val="Bullet 0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Bullet1">
    <w:name w:val="Bullet 1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Bullet2">
    <w:name w:val="Bullet 2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Bullet3">
    <w:name w:val="Bullet 3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Bullet4">
    <w:name w:val="Bullet 4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tabs>
        <w:tab w:val="num" w:pos="720"/>
      </w:tabs>
      <w:ind w:left="720" w:hanging="720"/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0901-D0D6-41D9-BB69-249BA016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365</Words>
  <Characters>2594</Characters>
  <Application>Microsoft Office Word</Application>
  <DocSecurity>0</DocSecurity>
  <Lines>55</Lines>
  <Paragraphs>28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2017-09-11T08:09:00Z</dcterms:created>
  <dcterms:modified xsi:type="dcterms:W3CDTF">2017-09-29T13:15:00Z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Category">
    <vt:lpwstr>COM/ANNEX</vt:lpwstr>
  </property>
  <property fmtid="{D5CDD505-2E9C-101B-9397-08002B2CF9AE}" pid="4" name="Last edited using">
    <vt:lpwstr>LW 5.8.4, Build 20150407</vt:lpwstr>
  </property>
  <property fmtid="{D5CDD505-2E9C-101B-9397-08002B2CF9AE}" pid="5" name="DQCStatus">
    <vt:lpwstr>Green (DQC version 03)</vt:lpwstr>
  </property>
</Properties>
</file>