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AE0F90AB894FD6BEA3D15145275EC5" style="width:450.7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w:t>
      </w:r>
      <w:r>
        <w:rPr>
          <w:noProof/>
        </w:rPr>
        <w:tab/>
        <w:t>Priekšlikuma pamatojums un mērķi</w:t>
      </w:r>
    </w:p>
    <w:p>
      <w:pPr>
        <w:pBdr>
          <w:top w:val="nil"/>
          <w:left w:val="nil"/>
          <w:bottom w:val="nil"/>
          <w:right w:val="nil"/>
          <w:between w:val="nil"/>
          <w:bar w:val="nil"/>
        </w:pBdr>
        <w:spacing w:before="0" w:after="240"/>
        <w:rPr>
          <w:noProof/>
        </w:rPr>
      </w:pPr>
      <w:r>
        <w:rPr>
          <w:noProof/>
        </w:rPr>
        <w:t>Šā priekšlikuma nolūks ir Regulas (ES) Nr. 1303/2013</w:t>
      </w:r>
      <w:r>
        <w:rPr>
          <w:rStyle w:val="FootnoteReference"/>
          <w:noProof/>
        </w:rPr>
        <w:footnoteReference w:id="2"/>
      </w:r>
      <w:r>
        <w:rPr>
          <w:noProof/>
        </w:rPr>
        <w:t xml:space="preserve"> 91. panta 1. punktā un 92. panta 1. un 5. punktā noteikto pieejamo resursu apjomu mērķiem “Investīcijas izaugsmei un nodarbinātībai” un “Eiropas teritoriālā sadarbība”, kā arī VI pielikumā norādīto saistību apropriāciju sadalījumu pa gadiem pielāgot tiem lēmumiem, kuri pieņemti kopš minētās regulas pieņemšanas. Pirmkārt, pielāgot tehnisko korekciju rezultātā radušās summas saskaņā ar minētās regulas 92. panta 3. punktu; otrkārt, atspoguļot dažādos pārvietojumus, kuri pieņemti, pamatojoties uz šīs regulas 25., 93. un 94. pantu, kas ietekmē gada kopējās summas; treškārt, iekļaut palielinājumu līdz 2020. gadam Jaunatnes nodarbinātības iniciatīvai (turpmāk “JNI”) par kopējo summu EUR 1,2 miljardi pašreizējās cenās īpašajam piešķīrumam JNI, kurš jāpapildina vismaz par EUR 1,2 miljardiem no ESF ieguldījumiem; ceturtkārt, atspoguļot atsevišķu 2014. gada saistību apropriāciju pārvietošanu uz turpmākiem gadiem, jo pēc 2015. gada 1. janvāra ir pieņemtas jaunas programmas. Tādu tehnisko korekciju un pārvietojumu rezultāti, kas veikti, pamatojoties uz minētās regulas 25., 93. un 94. pantu, jau ir ietverti Komisijas Īstenošanas lēmumā (ES) 2016/1941</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Turklāt priekšlikums atspoguļo arī to, ka Kipra no 2017. gada 1. janvāra no jauna ir tiesīga saņemt atbalstu no Kohēzijas fonda, un tai vairs nebūs Kohēzijas fonda atbalsts jāsaņem īpašā pagaidu kārtā. Tas jau ir aplūkots Komisijas Īstenošanas lēmumā (ES) 2016/1916</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t>Tehnisko korekciju pamatā ir Padomes Regulas (ES) Nr. 1311/2013</w:t>
      </w:r>
      <w:r>
        <w:rPr>
          <w:rStyle w:val="FootnoteReference"/>
          <w:noProof/>
        </w:rPr>
        <w:footnoteReference w:id="5"/>
      </w:r>
      <w:r>
        <w:rPr>
          <w:noProof/>
        </w:rPr>
        <w:t xml:space="preserve"> 7. pants, un to mērķis ir ņemt vērā īpaši sarežģīto situāciju krīzes skartajās dalībvalstīs un 2016. gadā no jauna pārbaudīt kopējo piešķīrumu mērķim “Investīcijas izaugsmei un nodarbinātībai”.</w:t>
      </w:r>
    </w:p>
    <w:p>
      <w:pPr>
        <w:pBdr>
          <w:top w:val="nil"/>
          <w:left w:val="nil"/>
          <w:bottom w:val="nil"/>
          <w:right w:val="nil"/>
          <w:between w:val="nil"/>
          <w:bar w:val="nil"/>
        </w:pBdr>
        <w:spacing w:before="0" w:after="240"/>
        <w:rPr>
          <w:noProof/>
        </w:rPr>
      </w:pPr>
      <w:r>
        <w:rPr>
          <w:noProof/>
        </w:rPr>
        <w:t>Tehniskās palīdzības pārvaldības mehānisms dalībvalstīm, kuras nonākušas īslaicīgās budžeta grūtībās, ir izklāstīts 25. pantā, piemēram, daļa tehniskās palīdzības tiek pārcelta uz tehnisko palīdzību pēc Komisijas iniciatīvas.</w:t>
      </w:r>
    </w:p>
    <w:p>
      <w:pPr>
        <w:pBdr>
          <w:top w:val="nil"/>
          <w:left w:val="nil"/>
          <w:bottom w:val="nil"/>
          <w:right w:val="nil"/>
          <w:between w:val="nil"/>
          <w:bar w:val="nil"/>
        </w:pBdr>
        <w:spacing w:before="0" w:after="240"/>
        <w:rPr>
          <w:noProof/>
        </w:rPr>
      </w:pPr>
      <w:r>
        <w:rPr>
          <w:noProof/>
        </w:rPr>
        <w:t>Noteiktos apstākļos 93. pants atļauj resursu pārvietojamību starp reģionu kategorijām un 94. pants — resursu pārvietojamību starp mērķiem.</w:t>
      </w:r>
    </w:p>
    <w:p>
      <w:pPr>
        <w:pStyle w:val="ManualHeading2"/>
        <w:rPr>
          <w:rFonts w:eastAsia="Arial Unicode MS"/>
          <w:noProof/>
          <w:u w:color="000000"/>
          <w:bdr w:val="nil"/>
        </w:rPr>
      </w:pPr>
      <w:r>
        <w:rPr>
          <w:noProof/>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Šis priekšlikums izriet no 92. panta 3. punkta noteikumiem par kohēzijas politikas piešķīrumu 2017.–2020. gadam pārskatīšanu, lēmumiem pārvietot resursus starp kategorijām un mērķiem atbilstīgi 93. un 94. pantam, lēmumam paplašināt JNI no 2017. gada līdz 2020. gadam, kā arī lēmumam par dažu saistību apropriāciju pārvietošanu no 2014. gada uz turpmākajiem gadiem.</w:t>
      </w:r>
    </w:p>
    <w:p>
      <w:pPr>
        <w:pStyle w:val="ManualHeading2"/>
        <w:rPr>
          <w:rFonts w:eastAsia="Arial Unicode MS"/>
          <w:noProof/>
        </w:rPr>
      </w:pPr>
      <w:r>
        <w:rPr>
          <w:noProof/>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Šis priekšlikums saskan ar citiem priekšlikumiem un iniciatīvām, kuras Eiropas Komisija pieņēmusi, reaģējot uz finanšu krīzi.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Regulas (ES) Nr. 1303/2013 92. panta 3. punktā ir paredzēts, ka Komisija 2016. gadā savā tehniskajā korekcijā 2017. gadam un saskaņā ar Regulas (ES, Euratom) Nr. 1311/2013 4. un 5. pantu pārskata katras dalībvalsts mērķa “Investīcijas izaugsmei un nodarbinātībai” kopējos piešķīrumus 2017. – 2020. gadam, piemērojot piešķiršanas metodi, kas noteikta VII pielikuma 1. līdz 16. punktā, pamatojoties uz jaunākajiem pieejamiem statistikas datiem.</w:t>
      </w:r>
    </w:p>
    <w:p>
      <w:pPr>
        <w:pBdr>
          <w:top w:val="nil"/>
          <w:left w:val="nil"/>
          <w:bottom w:val="nil"/>
          <w:right w:val="nil"/>
          <w:between w:val="nil"/>
          <w:bar w:val="nil"/>
        </w:pBdr>
        <w:spacing w:before="0" w:after="240"/>
        <w:rPr>
          <w:noProof/>
        </w:rPr>
      </w:pPr>
      <w:r>
        <w:rPr>
          <w:noProof/>
        </w:rPr>
        <w:t>Šī kopējo piešķīrumu pārskatīšana atspoguļo arī vairāku pārvietojumu rezultātus.</w:t>
      </w:r>
    </w:p>
    <w:p>
      <w:pPr>
        <w:pBdr>
          <w:top w:val="nil"/>
          <w:left w:val="nil"/>
          <w:bottom w:val="nil"/>
          <w:right w:val="nil"/>
          <w:between w:val="nil"/>
          <w:bar w:val="nil"/>
        </w:pBdr>
        <w:spacing w:before="0" w:after="240"/>
        <w:rPr>
          <w:noProof/>
        </w:rPr>
      </w:pPr>
      <w:r>
        <w:rPr>
          <w:noProof/>
        </w:rPr>
        <w:t>Tehniskās palīdzības pārvaldības mehānisms dalībvalstīm, kuras nonākušas īslaicīgās budžeta grūtībās, ir izklāstīts 25. pantā, piemēram, daļa tehniskās palīdzības tiek pārcelta uz tehnisko palīdzību pēc Komisijas iniciatīvas.</w:t>
      </w:r>
    </w:p>
    <w:p>
      <w:pPr>
        <w:pBdr>
          <w:top w:val="nil"/>
          <w:left w:val="nil"/>
          <w:bottom w:val="nil"/>
          <w:right w:val="nil"/>
          <w:between w:val="nil"/>
          <w:bar w:val="nil"/>
        </w:pBdr>
        <w:spacing w:before="0" w:after="240"/>
        <w:rPr>
          <w:noProof/>
        </w:rPr>
      </w:pPr>
      <w:r>
        <w:rPr>
          <w:noProof/>
        </w:rPr>
        <w:t>Noteiktos apstākļos 93. pants atļauj resursu pārvietojamību starp reģionu kategorijām un 94. pants — resursu pārvietojamību starp mērķiem.</w:t>
      </w:r>
    </w:p>
    <w:p>
      <w:pPr>
        <w:pBdr>
          <w:top w:val="nil"/>
          <w:left w:val="nil"/>
          <w:bottom w:val="nil"/>
          <w:right w:val="nil"/>
          <w:between w:val="nil"/>
          <w:bar w:val="nil"/>
        </w:pBdr>
        <w:spacing w:before="0" w:after="240"/>
        <w:rPr>
          <w:noProof/>
        </w:rPr>
      </w:pPr>
      <w:r>
        <w:rPr>
          <w:noProof/>
        </w:rPr>
        <w:t>Kopējo piešķīrumu pārskatīšana atspoguļo arī JIN paplašināšanu 2017. – 2020. gada laikposmam.</w:t>
      </w:r>
    </w:p>
    <w:p>
      <w:pPr>
        <w:pBdr>
          <w:top w:val="nil"/>
          <w:left w:val="nil"/>
          <w:bottom w:val="nil"/>
          <w:right w:val="nil"/>
          <w:between w:val="nil"/>
          <w:bar w:val="nil"/>
        </w:pBdr>
        <w:spacing w:before="0" w:after="240"/>
        <w:rPr>
          <w:noProof/>
        </w:rPr>
      </w:pPr>
      <w:r>
        <w:rPr>
          <w:noProof/>
        </w:rPr>
        <w:t>Visbeidzot, pārskatītais VI pielikuma sadalījums pa gadiem atspoguļo grozījumu Padomes Regulā (ES, Euratom) Nr. 1311/2013 — pārvietot dažas saistību apropriācijas no 2014. gada uz turpmākajiem gadiem.</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Priekšlikums atbilst subsidiaritātes principam, jo tas ir tehnisks rezultāts, ko iegūst, īstenojot Regulas (ES) Nr. 1303/2013 92. panta 3. punktā paredzētos noteikumus, piemērojot 93. un 94. pantu un lēmumu paplašināt JNI 2017. – 2020. gada laikposmam.</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Priekšlikums attiecas tikai uz nepieciešamajām tehniskajām korekcijām.</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rPr>
      </w:pPr>
      <w:r>
        <w:rPr>
          <w:noProof/>
        </w:rPr>
        <w:t>Ierosinātais instruments: spēkā esošās regulas grozījums.</w:t>
      </w:r>
    </w:p>
    <w:p>
      <w:pPr>
        <w:pBdr>
          <w:top w:val="nil"/>
          <w:left w:val="nil"/>
          <w:bottom w:val="nil"/>
          <w:right w:val="nil"/>
          <w:between w:val="nil"/>
          <w:bar w:val="nil"/>
        </w:pBdr>
        <w:spacing w:before="0" w:after="240"/>
        <w:rPr>
          <w:rFonts w:eastAsia="Arial Unicode MS"/>
          <w:noProof/>
        </w:rPr>
      </w:pPr>
      <w:r>
        <w:rPr>
          <w:noProof/>
        </w:rPr>
        <w:t>Komisija ir izskatījusi manevrēšanas iespējas, ko nodrošina tiesiskais regulējums, un uzskata par nepieciešamu ierosināt grozījumus Regulā (ES) Nr. 1303/2013.</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pBdr>
          <w:top w:val="nil"/>
          <w:left w:val="nil"/>
          <w:bottom w:val="nil"/>
          <w:right w:val="nil"/>
          <w:between w:val="nil"/>
          <w:bar w:val="nil"/>
        </w:pBdr>
        <w:spacing w:before="0" w:after="240"/>
        <w:rPr>
          <w:rFonts w:eastAsia="Arial Unicode MS"/>
          <w:noProof/>
        </w:rPr>
      </w:pPr>
      <w:r>
        <w:rPr>
          <w:i/>
          <w:noProof/>
        </w:rPr>
        <w:t>Ex-post</w:t>
      </w:r>
      <w:r>
        <w:rPr>
          <w:noProof/>
        </w:rPr>
        <w:t xml:space="preserve"> izvērtējums vai spēkā esošo tiesību aktu atbilstības pārbaude netika veikta.</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Apspriešanās ar ārējām ieinteresētajām personām nenotika.</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Ārēju ekspertu atzinums nav bijis vajadzīgs.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Normatīvā atbilstība un vienkāršošana</w:t>
      </w:r>
    </w:p>
    <w:p>
      <w:pPr>
        <w:pStyle w:val="Text1"/>
        <w:ind w:left="0"/>
        <w:rPr>
          <w:noProof/>
        </w:rPr>
      </w:pPr>
      <w:r>
        <w:rPr>
          <w:noProof/>
        </w:rPr>
        <w:t>Nav Normatīvās atbilstības un izpildes programmas (</w:t>
      </w:r>
      <w:r>
        <w:rPr>
          <w:i/>
          <w:noProof/>
        </w:rPr>
        <w:t>REFIT</w:t>
      </w:r>
      <w:r>
        <w:rPr>
          <w:noProof/>
        </w:rPr>
        <w:t>) iniciatīvas.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Šim priekšlikumam nav ietekmes uz pamattiesību aizsardzību.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Ir ietekme uz saistību apropriācijām, kas izriet no pozitīvas neto ietekmes EUR 4 miljardu apmērā (2011. gada cenās) 92. panta 3. punktā paredzētās tehniskās korekcijas rezultātā un lēmuma paplašināt JNI no 2017. gada līdz 2020. gadam par kopējo summu EUR 1,2 miljardi pašreizējās cenās īpašajam piešķīrumam JNI, kas jāpapildina ar vismaz EUR 1,2 miljardiem no ESF ieguldījumiem. Šie papildu resursi radīs arī nepieciešamību pēc papildu maksājumu apropriācijām laikposmā no 2018. gada līdz 2020. gadam.</w:t>
      </w:r>
    </w:p>
    <w:p>
      <w:pPr>
        <w:pBdr>
          <w:top w:val="nil"/>
          <w:left w:val="nil"/>
          <w:bottom w:val="nil"/>
          <w:right w:val="nil"/>
          <w:between w:val="nil"/>
          <w:bar w:val="nil"/>
        </w:pBdr>
        <w:spacing w:before="0" w:after="240"/>
        <w:rPr>
          <w:noProof/>
        </w:rPr>
      </w:pPr>
      <w:r>
        <w:rPr>
          <w:noProof/>
        </w:rPr>
        <w:t xml:space="preserve">Tādēļ tiek palielināts saistību apropriāciju un 1.B izdevumu kategorijas maksājumu apropriāciju maksimālais apjoms, kā norādīts paziņojumā Padomei un Eiropas Parlamentam [COM(2016) 311 </w:t>
      </w:r>
      <w:r>
        <w:rPr>
          <w:i/>
          <w:noProof/>
        </w:rPr>
        <w:t>final</w:t>
      </w:r>
      <w:r>
        <w:rPr>
          <w:noProof/>
        </w:rPr>
        <w:t>] par tehniskajām korekcijām 2017. gada finanšu shēmā atbilstoši NKI izmaiņām un kohēzijas politikas finansējuma korekcijām. Ņemot vērā to, ka ir sagaidāms, ka lielākā daļa maksājumu, kas saistīti ar šo saistību palielinājumu, tiks veikti pēc 2020. gada, maksājumu maksimālo summu palielinājums ir neliels.</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Paskaidrojošie dokumenti (attiecībā uz direktīvām)</w:t>
      </w:r>
    </w:p>
    <w:p>
      <w:pPr>
        <w:pStyle w:val="Text1"/>
        <w:ind w:hanging="850"/>
        <w:rPr>
          <w:noProof/>
        </w:rPr>
      </w:pPr>
      <w:r>
        <w:rPr>
          <w:noProof/>
        </w:rPr>
        <w:t>Nepiemēro.</w:t>
      </w:r>
    </w:p>
    <w:p>
      <w:pPr>
        <w:pStyle w:val="ManualHeading2"/>
        <w:rPr>
          <w:rFonts w:eastAsia="Arial Unicode MS"/>
          <w:noProof/>
          <w:u w:color="000000"/>
          <w:bdr w:val="nil"/>
        </w:rPr>
      </w:pPr>
      <w:r>
        <w:rPr>
          <w:noProof/>
        </w:rPr>
        <w:t>•</w:t>
      </w:r>
      <w:r>
        <w:rPr>
          <w:noProof/>
        </w:rPr>
        <w:tab/>
        <w:t>Konkrēto priekšlikuma noteikumu detalizēts skaidrojums</w:t>
      </w:r>
    </w:p>
    <w:p>
      <w:pPr>
        <w:pBdr>
          <w:top w:val="nil"/>
          <w:left w:val="nil"/>
          <w:bottom w:val="nil"/>
          <w:right w:val="nil"/>
          <w:between w:val="nil"/>
          <w:bar w:val="nil"/>
        </w:pBdr>
        <w:spacing w:before="0" w:after="240"/>
        <w:rPr>
          <w:noProof/>
        </w:rPr>
      </w:pPr>
      <w:r>
        <w:rPr>
          <w:noProof/>
        </w:rPr>
        <w:t>Pamatojoties uz Padomes Regulas (ES, Euratom) Nr. 1311/2013 7. pantu, Komisijai 2016. gadā vajadzēja pārskatīt visu dalībvalstu kopējos piešķīrumus kohēzijas politikas mērķim “Investīcijas izaugsmei un nodarbinātībai” 2017.–2020. gadam, piemērojot attiecīgajā pamataktā noteikto piešķiršanas metodi (Regulas (ES) Nr. 1303/2013 VII pielikums), balstoties uz tobrīd pieejamajiem jaunākajiem statistikas datiem un salīdzinājumu starp aptverto dalībvalstu kumulatīvo valsts IKP, kas konstatēts 2014. un 2015. gadā, un kumulatīvo valsts IKP, kas aplēsts 2012. gadā. Piešķīrumus koriģēja, ja kumulatīvā novirze bija vairāk nekā +/- 5 %. Turklāt tajā pašā laikā pārskatīja atbilstību Kohēzijas fondam un gadījumā, ja dalībvalsts no jauna kļūtu tiesīga saņemt atbalstu no Kohēzijas fonda, šīs summas tiktu pieskaitītas līdzekļiem, kas piešķirti attiecīgajai dalībvalstij 2017. – 2020. gadam.</w:t>
      </w:r>
    </w:p>
    <w:p>
      <w:pPr>
        <w:pBdr>
          <w:top w:val="nil"/>
          <w:left w:val="nil"/>
          <w:bottom w:val="nil"/>
          <w:right w:val="nil"/>
          <w:between w:val="nil"/>
          <w:bar w:val="nil"/>
        </w:pBdr>
        <w:spacing w:before="0" w:after="240"/>
        <w:rPr>
          <w:rFonts w:eastAsia="Arial Unicode MS"/>
          <w:noProof/>
        </w:rPr>
      </w:pPr>
      <w:r>
        <w:rPr>
          <w:noProof/>
        </w:rPr>
        <w:t>Pārskatīšana attiecas uz šādiem elementiem:</w:t>
      </w:r>
    </w:p>
    <w:p>
      <w:pPr>
        <w:pBdr>
          <w:top w:val="nil"/>
          <w:left w:val="nil"/>
          <w:bottom w:val="nil"/>
          <w:right w:val="nil"/>
          <w:between w:val="nil"/>
          <w:bar w:val="nil"/>
        </w:pBdr>
        <w:spacing w:before="0" w:after="240"/>
        <w:ind w:left="360" w:hanging="360"/>
        <w:rPr>
          <w:rFonts w:eastAsia="Arial Unicode MS"/>
          <w:noProof/>
        </w:rPr>
      </w:pPr>
      <w:r>
        <w:rPr>
          <w:noProof/>
        </w:rPr>
        <w:t>a)</w:t>
      </w:r>
      <w:r>
        <w:rPr>
          <w:noProof/>
        </w:rPr>
        <w:tab/>
        <w:t>attiecībā uz visām dalībvalstīm: piešķīrumu 2017. – 2020. gadam pārskatīšanu, pamatojoties uz jaunākajiem pieejamiem statistikas datiem un piemērojot to pašu metodi, kādu izmanto sākotnējo piešķīrumu noteikšanai un kas noteikta Regulas (ES) Nr. 1303/2013 VII pielikuma 1.–16. punktā;</w:t>
      </w:r>
    </w:p>
    <w:p>
      <w:pPr>
        <w:pBdr>
          <w:top w:val="nil"/>
          <w:left w:val="nil"/>
          <w:bottom w:val="nil"/>
          <w:right w:val="nil"/>
          <w:between w:val="nil"/>
          <w:bar w:val="nil"/>
        </w:pBdr>
        <w:spacing w:before="0" w:after="240"/>
        <w:ind w:left="360" w:hanging="360"/>
        <w:rPr>
          <w:rFonts w:eastAsia="Arial Unicode MS"/>
          <w:noProof/>
        </w:rPr>
      </w:pPr>
      <w:r>
        <w:rPr>
          <w:noProof/>
        </w:rPr>
        <w:t>b)</w:t>
      </w:r>
      <w:r>
        <w:rPr>
          <w:noProof/>
        </w:rPr>
        <w:tab/>
        <w:t>attiecībā uz aptvertajām dalībvalstīm (Bulgārija, Horvātija, Igaunija, Lietuva, Latvija, Polija, Rumānija, Slovākija, Ungārija): 2014. un 2015. gada faktiskā IKP līmeņa salīdzināšanu ar līmeni, kas bija paredzēts attiecībā uz šiem diviem gadiem 2012. gadā;</w:t>
      </w:r>
    </w:p>
    <w:p>
      <w:pPr>
        <w:pBdr>
          <w:top w:val="nil"/>
          <w:left w:val="nil"/>
          <w:bottom w:val="nil"/>
          <w:right w:val="nil"/>
          <w:between w:val="nil"/>
          <w:bar w:val="nil"/>
        </w:pBdr>
        <w:spacing w:before="0" w:after="240"/>
        <w:ind w:left="360" w:hanging="360"/>
        <w:rPr>
          <w:rFonts w:eastAsia="Arial Unicode MS"/>
          <w:noProof/>
        </w:rPr>
      </w:pPr>
      <w:r>
        <w:rPr>
          <w:noProof/>
        </w:rPr>
        <w:t>c)</w:t>
      </w:r>
      <w:r>
        <w:rPr>
          <w:noProof/>
        </w:rPr>
        <w:tab/>
        <w:t>atbilstības Kohēzijas fondam pārskatīšanu, pamatojoties uz NKI uz vienu iedzīvotāju datiem par laikposmu no 2012. līdz 2014. gadam salīdzinājumā ar ES 27 dalībvalstu vidējo rādītāju.</w:t>
      </w:r>
    </w:p>
    <w:p>
      <w:pPr>
        <w:pBdr>
          <w:top w:val="nil"/>
          <w:left w:val="nil"/>
          <w:bottom w:val="nil"/>
          <w:right w:val="nil"/>
          <w:between w:val="nil"/>
          <w:bar w:val="nil"/>
        </w:pBdr>
        <w:spacing w:before="0" w:after="240"/>
        <w:rPr>
          <w:rFonts w:eastAsia="Arial Unicode MS"/>
          <w:noProof/>
        </w:rPr>
      </w:pPr>
      <w:r>
        <w:rPr>
          <w:noProof/>
        </w:rPr>
        <w:t xml:space="preserve">Rezultātā izveidojās kumulatīvā novirze starp kopējiem un pārskatītajiem piešķīrumiem Apvienotajā Karalistē, Beļģijā, Čehijas Republikā, Dānijā, Grieķijā, Horvātijā, Igaunijā, Īrijā, Itālijā, Kiprā, Nīderlandē, Slovākijā, Slovēnijā, Somijā, Spānijā un Zviedrijā ir vairāk nekā ± 5 %. Attiecīgo resursu pielāgojumus publicēja paziņojumā Padomei un Eiropas Parlamentam [COM(2016) 311 </w:t>
      </w:r>
      <w:r>
        <w:rPr>
          <w:i/>
          <w:noProof/>
        </w:rPr>
        <w:t>final</w:t>
      </w:r>
      <w:r>
        <w:rPr>
          <w:noProof/>
        </w:rPr>
        <w:t>] par tehniskajām korekcijām 2017. gada finanšu shēmā atbilstoši NKI izmaiņām un kohēzijas politikas finansējuma korekcijām.</w:t>
      </w:r>
    </w:p>
    <w:p>
      <w:pPr>
        <w:pBdr>
          <w:top w:val="nil"/>
          <w:left w:val="nil"/>
          <w:bottom w:val="nil"/>
          <w:right w:val="nil"/>
          <w:between w:val="nil"/>
          <w:bar w:val="nil"/>
        </w:pBdr>
        <w:spacing w:before="0" w:after="240"/>
        <w:rPr>
          <w:rFonts w:eastAsia="Arial Unicode MS"/>
          <w:noProof/>
        </w:rPr>
      </w:pPr>
      <w:r>
        <w:rPr>
          <w:noProof/>
        </w:rPr>
        <w:t>Pārskatot atbilstību Kohēzijas fondam, vienā gadījumā tiek mainīta atbilstība, un Kipra pilnībā kļūst tiesīga saņemt Kohēzijas fonda atbalstu 2017. – 2020. gadā, kas nozīmē papildu summu EUR 19,4 miljonu apmērā.</w:t>
      </w:r>
    </w:p>
    <w:p>
      <w:pPr>
        <w:pBdr>
          <w:top w:val="nil"/>
          <w:left w:val="nil"/>
          <w:bottom w:val="nil"/>
          <w:right w:val="nil"/>
          <w:between w:val="nil"/>
          <w:bar w:val="nil"/>
        </w:pBdr>
        <w:spacing w:before="0" w:after="240"/>
        <w:rPr>
          <w:rFonts w:eastAsia="Arial Unicode MS"/>
          <w:noProof/>
        </w:rPr>
      </w:pPr>
      <w:r>
        <w:rPr>
          <w:noProof/>
        </w:rPr>
        <w:t>Saskaņā ar Regulas (ES) Nr. 1303/2013 94. panta 2. punktu Komisija pieņēma Dānijas iesniegto priekšlikumu daļu no tās apropriācijām, kas paredzētas mērķim “Eiropas teritoriālā sadarbība”, pārvietot uz mērķi “Investīcijas izaugsmei un nodarbinātībai”.</w:t>
      </w:r>
    </w:p>
    <w:p>
      <w:pPr>
        <w:pBdr>
          <w:top w:val="nil"/>
          <w:left w:val="nil"/>
          <w:bottom w:val="nil"/>
          <w:right w:val="nil"/>
          <w:between w:val="nil"/>
          <w:bar w:val="nil"/>
        </w:pBdr>
        <w:spacing w:before="0" w:after="240"/>
        <w:rPr>
          <w:rFonts w:eastAsia="Arial Unicode MS"/>
          <w:noProof/>
        </w:rPr>
      </w:pPr>
      <w:r>
        <w:rPr>
          <w:noProof/>
        </w:rPr>
        <w:t>Visbeidzot, Padome 2017. gada 20. jūnijā nolēma paplašināt JNI līdz 2020. gadam par kopējo summu EUR 1,2 miljardi pašreizējās cenās īpašajam piešķīrumam JNI, iedalot to šādi: EUR 500 miljoni 2017. gadā un EUR 233,3 miljoni gadā laikposmā no 2018. līdz 2020. gadam.</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2017/0247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Regulu (ES) Nr. 1303/2013 groza attiecībā uz izmaiņām resursos, kas paredzēti ekonomiskajai, sociālajai un teritoriālajai kohēzijai, un resursos, kas paredzēti mērķim “Investīcijas izaugsmei un nodarbinātībai” un mērķim “Eiropas teritoriālā sadarbība”</w:t>
      </w:r>
    </w:p>
    <w:p>
      <w:pPr>
        <w:pStyle w:val="Institutionquiagit"/>
        <w:rPr>
          <w:noProof/>
          <w:szCs w:val="24"/>
        </w:rPr>
      </w:pPr>
      <w:r>
        <w:rPr>
          <w:noProof/>
        </w:rPr>
        <w:t>EIROPAS PARLAMENTS UN EIROPAS SAVIENĪBAS PADOME,</w:t>
      </w:r>
    </w:p>
    <w:p>
      <w:pPr>
        <w:rPr>
          <w:noProof/>
          <w:szCs w:val="24"/>
        </w:rPr>
      </w:pPr>
      <w:r>
        <w:rPr>
          <w:noProof/>
        </w:rPr>
        <w:t xml:space="preserve">ņemot vērā Līgumu par Eiropas Savienības darbību un jo īpaši tā 177. pantu, </w:t>
      </w:r>
    </w:p>
    <w:p>
      <w:pPr>
        <w:rPr>
          <w:noProof/>
          <w:szCs w:val="24"/>
        </w:rPr>
      </w:pPr>
      <w:r>
        <w:rPr>
          <w:noProof/>
        </w:rPr>
        <w:t>ņemot vērā Eiropas Komisijas priekšlikumu,</w:t>
      </w:r>
    </w:p>
    <w:p>
      <w:pPr>
        <w:rPr>
          <w:noProof/>
          <w:szCs w:val="24"/>
        </w:rPr>
      </w:pPr>
      <w:r>
        <w:rPr>
          <w:noProof/>
        </w:rPr>
        <w:t>pēc leģislatīvā akta projekta nosūtīšanas valstu parlamentiem,</w:t>
      </w:r>
    </w:p>
    <w:p>
      <w:pPr>
        <w:rPr>
          <w:noProof/>
          <w:szCs w:val="24"/>
        </w:rPr>
      </w:pPr>
      <w:r>
        <w:rPr>
          <w:noProof/>
        </w:rPr>
        <w:t>ņemot vērā Eiropas Ekonomikas un sociālo lietu komitejas atzinumu</w:t>
      </w:r>
      <w:r>
        <w:rPr>
          <w:rStyle w:val="FootnoteReference"/>
          <w:noProof/>
        </w:rPr>
        <w:footnoteReference w:id="6"/>
      </w:r>
      <w:r>
        <w:rPr>
          <w:noProof/>
        </w:rPr>
        <w:t>,</w:t>
      </w:r>
    </w:p>
    <w:p>
      <w:pPr>
        <w:rPr>
          <w:noProof/>
          <w:szCs w:val="24"/>
        </w:rPr>
      </w:pPr>
      <w:r>
        <w:rPr>
          <w:noProof/>
        </w:rPr>
        <w:t>pēc apspriešanās ar Reģionu komiteju</w:t>
      </w:r>
      <w:r>
        <w:rPr>
          <w:rStyle w:val="FootnoteReference"/>
          <w:noProof/>
        </w:rPr>
        <w:footnoteReference w:id="7"/>
      </w:r>
      <w:r>
        <w:rPr>
          <w:noProof/>
        </w:rPr>
        <w:t>,</w:t>
      </w:r>
    </w:p>
    <w:p>
      <w:pPr>
        <w:rPr>
          <w:noProof/>
          <w:szCs w:val="24"/>
        </w:rPr>
      </w:pPr>
      <w:r>
        <w:rPr>
          <w:noProof/>
        </w:rPr>
        <w:t>saskaņā ar parasto likumdošanas procedūru,</w:t>
      </w:r>
    </w:p>
    <w:p>
      <w:pPr>
        <w:rPr>
          <w:noProof/>
          <w:szCs w:val="24"/>
        </w:rPr>
      </w:pPr>
      <w:r>
        <w:rPr>
          <w:noProof/>
        </w:rPr>
        <w:t>tā kā:</w:t>
      </w:r>
    </w:p>
    <w:p>
      <w:pPr>
        <w:pStyle w:val="ManualConsidrant"/>
        <w:rPr>
          <w:noProof/>
          <w:szCs w:val="24"/>
        </w:rPr>
      </w:pPr>
      <w:r>
        <w:t>(1)</w:t>
      </w:r>
      <w:r>
        <w:tab/>
      </w:r>
      <w:r>
        <w:rPr>
          <w:noProof/>
        </w:rPr>
        <w:t>Eiropas Parlamenta un Padomes Regula (ES) Nr. 1303/2013</w:t>
      </w:r>
      <w:r>
        <w:rPr>
          <w:rStyle w:val="FootnoteReference"/>
          <w:noProof/>
        </w:rPr>
        <w:footnoteReference w:id="8"/>
      </w:r>
      <w:r>
        <w:rPr>
          <w:noProof/>
        </w:rPr>
        <w:t xml:space="preserve"> paredz kopīgus un vispārīgus noteikumus, kas piemērojami Eiropas strukturālajiem un investīciju fondiem. </w:t>
      </w:r>
    </w:p>
    <w:p>
      <w:pPr>
        <w:pStyle w:val="ManualConsidrant"/>
        <w:rPr>
          <w:noProof/>
          <w:szCs w:val="24"/>
        </w:rPr>
      </w:pPr>
      <w:r>
        <w:t>(2)</w:t>
      </w:r>
      <w:r>
        <w:tab/>
      </w:r>
      <w:r>
        <w:rPr>
          <w:noProof/>
        </w:rPr>
        <w:t>Saskaņā ar Padomes Regulas (ES, Euratom) Nr. 1311/2013</w:t>
      </w:r>
      <w:r>
        <w:rPr>
          <w:rStyle w:val="FootnoteReference"/>
          <w:noProof/>
        </w:rPr>
        <w:footnoteReference w:id="9"/>
      </w:r>
      <w:r>
        <w:rPr>
          <w:noProof/>
        </w:rPr>
        <w:t xml:space="preserve"> 7. panta 1. punktu un Regulas (ES) Nr. 1303/2013 92. panta 3. punktu Komisija 2016. gadā ir pārskatīja visu dalībvalstu kopējos piešķīrumus saskaņā ar kohēzijas politikas mērķi “Investīcijas izaugsmei un nodarbinātībai” attiecībā uz 2017.–2020. gadu.</w:t>
      </w:r>
    </w:p>
    <w:p>
      <w:pPr>
        <w:pStyle w:val="ManualConsidrant"/>
        <w:rPr>
          <w:noProof/>
          <w:szCs w:val="24"/>
        </w:rPr>
      </w:pPr>
      <w:r>
        <w:t>(3)</w:t>
      </w:r>
      <w:r>
        <w:tab/>
      </w:r>
      <w:r>
        <w:rPr>
          <w:noProof/>
        </w:rPr>
        <w:t>Saskaņā ar Regulas (ES, Euratom) Nr. 1311/2013 7. panta 3. punktu un Regulas (ES) Nr. 1303/2013 92. panta 3. punktu Komisija iepazīstināja Padomi un Eiropas Parlamentu ar šīs pārskatīšanas rezultātiem</w:t>
      </w:r>
      <w:r>
        <w:rPr>
          <w:rStyle w:val="FootnoteReference"/>
          <w:noProof/>
        </w:rPr>
        <w:footnoteReference w:id="10"/>
      </w:r>
      <w:r>
        <w:rPr>
          <w:noProof/>
        </w:rPr>
        <w:t xml:space="preserve">. Paziņojumā ir minēts, ka, pēc jaunākajiem statistikas datiem, kumulatīvā novirze starp kopējiem un pārskatītajiem piešķīrumiem Beļģijā, Čehijas Republikā, Dānijā, Igaunijā, Īrijā, Grieķijā, Spānijā, Horvātijā, Itālijā, Kiprā, Nīderlandē, Slovēnijā, Slovākijā, Somijā, Zviedrijā un Apvienotajā Karalistē ir vairāk nekā ± 5 %. Turklāt ir norādīts, ka, pamatojoties uz Kipras 2012.–2014. gada datiem par nacionālo kopienākumu (NKI) uz vienu iedzīvotāju, no 2017. gada 1. janvāra tā kļūs pilnībā tiesīga saņemt atbalstu no Kohēzijas fonda. </w:t>
      </w:r>
    </w:p>
    <w:p>
      <w:pPr>
        <w:pStyle w:val="ManualConsidrant"/>
        <w:rPr>
          <w:noProof/>
          <w:szCs w:val="24"/>
        </w:rPr>
      </w:pPr>
      <w:r>
        <w:t>(4)</w:t>
      </w:r>
      <w:r>
        <w:tab/>
      </w:r>
      <w:r>
        <w:rPr>
          <w:noProof/>
        </w:rPr>
        <w:t>Saskaņā ar Regulas (ES, Euratom) Nr. 1311/2013 7. panta 4. un 5. punktu un Regulas (ES) Nr. 1303/2013 92. panta 3. punktu minēto dalībvalstu piešķīrumus attiecīgi koriģē ar noteikumu, ka šo korekciju kopējā neto ietekme nepārsniedz EUR 4 miljardus.</w:t>
      </w:r>
    </w:p>
    <w:p>
      <w:pPr>
        <w:pStyle w:val="ManualConsidrant"/>
        <w:rPr>
          <w:noProof/>
          <w:szCs w:val="24"/>
        </w:rPr>
      </w:pPr>
      <w:r>
        <w:t>(5)</w:t>
      </w:r>
      <w:r>
        <w:tab/>
      </w:r>
      <w:r>
        <w:rPr>
          <w:noProof/>
        </w:rPr>
        <w:t xml:space="preserve">Ciktāl pārskatīšana ietekmēja </w:t>
      </w:r>
      <w:r>
        <w:rPr>
          <w:rStyle w:val="bold"/>
          <w:b w:val="0"/>
          <w:noProof/>
        </w:rPr>
        <w:t>kopējo resursu sadalījumu pa gadiem un pa dalībvalstīm mērķim “Investīcijas izaugsmei un nodarbinātībai” un mērķim “Eiropas teritoriālā sadarbība”, kā arī Jaunatnes nodarbinātības iniciatīvai (turpmāk “JNI”)</w:t>
      </w:r>
      <w:r>
        <w:rPr>
          <w:noProof/>
        </w:rPr>
        <w:t>, to īstenoja ar Komisijas Īstenošanas lēmumu (ES) 2016/1941</w:t>
      </w:r>
      <w:r>
        <w:rPr>
          <w:rStyle w:val="FootnoteReference"/>
          <w:noProof/>
        </w:rPr>
        <w:footnoteReference w:id="11"/>
      </w:r>
      <w:r>
        <w:rPr>
          <w:noProof/>
        </w:rPr>
        <w:t>.</w:t>
      </w:r>
    </w:p>
    <w:p>
      <w:pPr>
        <w:pStyle w:val="ManualConsidrant"/>
        <w:rPr>
          <w:noProof/>
          <w:szCs w:val="24"/>
        </w:rPr>
      </w:pPr>
      <w:r>
        <w:t>(6)</w:t>
      </w:r>
      <w:r>
        <w:tab/>
      </w:r>
      <w:r>
        <w:rPr>
          <w:noProof/>
        </w:rPr>
        <w:t>Šo korekciju kopējās neto ietekmes dēļ resursi ekonomiskajai, sociālajai un teritoriālajai kohēzijai jāpalielina par EUR 4 miljardiem. Šis palielinājums būtu jāatspoguļo Regulas (ES) Nr. 1303/2013 91. panta 1. punktā, kas būtu attiecīgi jāpielāgo.</w:t>
      </w:r>
      <w:r>
        <w:rPr>
          <w:noProof/>
          <w:highlight w:val="yellow"/>
        </w:rPr>
        <w:t xml:space="preserve"> </w:t>
      </w:r>
    </w:p>
    <w:p>
      <w:pPr>
        <w:pStyle w:val="ManualConsidrant"/>
        <w:rPr>
          <w:noProof/>
          <w:szCs w:val="24"/>
        </w:rPr>
      </w:pPr>
      <w:r>
        <w:t>(7)</w:t>
      </w:r>
      <w:r>
        <w:tab/>
      </w:r>
      <w:r>
        <w:rPr>
          <w:noProof/>
        </w:rPr>
        <w:t>Būtu attiecīgi jākoriģē Regulas (ES) Nr. 1303/2013 92. panta 1. punktā noteiktie resursi, kas paredzēti mērķim “Investīcijas izaugsmei un nodarbinātībai”, un to sadalījums starp mazāk attīstītiem reģioniem, pārejas reģioniem un vairāk attīstītiem reģioniem, Kohēzijas fonda atbalstītām dalībvalstīm un tālākiem reģioniem.</w:t>
      </w:r>
      <w:r>
        <w:rPr>
          <w:noProof/>
          <w:highlight w:val="yellow"/>
        </w:rPr>
        <w:t xml:space="preserve"> </w:t>
      </w:r>
    </w:p>
    <w:p>
      <w:pPr>
        <w:pStyle w:val="ManualConsidrant"/>
        <w:rPr>
          <w:noProof/>
          <w:szCs w:val="24"/>
        </w:rPr>
      </w:pPr>
      <w:r>
        <w:t>(8)</w:t>
      </w:r>
      <w:r>
        <w:tab/>
      </w:r>
      <w:r>
        <w:rPr>
          <w:noProof/>
        </w:rPr>
        <w:t>Saskaņā ar Regulas (ES, Euratom) Nr. 1311/2013 14. panta 1. punktu rezerves, kas ir atstātas pieejamas līdz daudzgadu finanšu shēmas (DFS) saistību apropriāciju maksimālajam apjomam, ir vispārējā DFS rezerve saistībām, kas jādara pieejama, pārsniedzot DFS noteiktos maksimālos apjomus 2016.–2020. gadam politikas mērķiem, kas saistīti ar izaugsmi un nodarbinātību, jo īpaši jaunatnes nodarbinātību. Ar Padomes Regulu (ES, Euratom) 2017/1123</w:t>
      </w:r>
      <w:r>
        <w:rPr>
          <w:rStyle w:val="FootnoteReference"/>
          <w:noProof/>
        </w:rPr>
        <w:footnoteReference w:id="12"/>
      </w:r>
      <w:r>
        <w:rPr>
          <w:noProof/>
        </w:rPr>
        <w:t xml:space="preserve"> ierobežojums rezervēm, kas atstātas pieejamas līdz DFS noteiktajam maksimālajam apjomam saistību apropriācijām 2014. – 2017. gadam, tika atcelts, tādējādi nodrošinot to, ka JNI varētu paplašināt līdz 2020. gadam un īpašo piešķīrumu JNI laikposmam no 2017. līdz 2020. gadam varētu palielināt par EUR 1,2 miljardiem pašreizējās cenās. Šis īpašais piešķīrums JNI, kas noteikts Regulas (ES) Nr. 1303/2013 91. panta 1. punktā un 92. panta 5. punktā, būtu attiecīgi jāpielāgo.</w:t>
      </w:r>
    </w:p>
    <w:p>
      <w:pPr>
        <w:pStyle w:val="ManualConsidrant"/>
        <w:rPr>
          <w:noProof/>
          <w:szCs w:val="24"/>
        </w:rPr>
      </w:pPr>
      <w:r>
        <w:t>(9)</w:t>
      </w:r>
      <w:r>
        <w:tab/>
      </w:r>
      <w:r>
        <w:rPr>
          <w:noProof/>
        </w:rPr>
        <w:t xml:space="preserve">Saskaņā ar Regulas (ES) Nr. 1303/2013 94. panta 2. punktu Komisija pieņēma Dānijas iesniegto priekšlikumu daļu no tās apropriācijām, kas paredzētas mērķim “Eiropas teritoriālā sadarbība”, pārvietot uz mērķi “Investīcijas izaugsmei un nodarbinātībai”. Šis pārvietojums būtu jāņem vērā, grozot minētās regulas 92. panta 9. punktā mērķim “Eiropas teritoriālā sadarbība” paredzētos kopējos pieejamos resursus. </w:t>
      </w:r>
    </w:p>
    <w:p>
      <w:pPr>
        <w:pStyle w:val="ManualConsidrant"/>
        <w:rPr>
          <w:noProof/>
          <w:szCs w:val="24"/>
        </w:rPr>
      </w:pPr>
      <w:r>
        <w:t>(10)</w:t>
      </w:r>
      <w:r>
        <w:tab/>
      </w:r>
      <w:r>
        <w:rPr>
          <w:noProof/>
        </w:rPr>
        <w:t>Saskaņā ar procedūru, kas noteikta Regulas (ES, Euratom) Nr. 1311/2013 19. panta 1. punktā, Padomes Regulā (ES, Euratom) 2015/623</w:t>
      </w:r>
      <w:r>
        <w:rPr>
          <w:rStyle w:val="FootnoteReference"/>
          <w:noProof/>
        </w:rPr>
        <w:footnoteReference w:id="13"/>
      </w:r>
      <w:r>
        <w:rPr>
          <w:noProof/>
        </w:rPr>
        <w:t xml:space="preserve"> uz turpmākiem gadiem pārvietoti EUR 11 216 187 326 pašreizējās cenās no summas, kas bija piešķirta struktūrfondiem un Kohēzijas fondam. EUR 9 446 050 652 pašreizējās cenās no līdzekļiem, kas bija piešķirti Eiropas Lauksaimniecības fondam lauku attīstībai un Eiropas Jūrlietu un zivsaimniecības fondam un kurus nevarēja izmantot ne 2014. gadā, ne arī pārnest uz 2015. gadu, tika pārcelti uz turpmākajiem gadiem. Šis pārvietojums būtu jāatspoguļo Regulas (ES) Nr. 1303/2013 VI pielikumā, kurā noteikts kopējo saistību apropriāciju sadalījums pa gadiem — no 2014. gada līdz 2020. gadam.</w:t>
      </w:r>
    </w:p>
    <w:p>
      <w:pPr>
        <w:pStyle w:val="ManualConsidrant"/>
        <w:rPr>
          <w:noProof/>
        </w:rPr>
      </w:pPr>
      <w:r>
        <w:t>(11)</w:t>
      </w:r>
      <w:r>
        <w:tab/>
      </w:r>
      <w:r>
        <w:rPr>
          <w:noProof/>
        </w:rPr>
        <w:t xml:space="preserve">Ņemot vērā JNI atbalsta programmu paplašināšanas steidzamību, šai regulai būtu jāstājas spēkā nākamajā dienā pēc tās publicēšanas </w:t>
      </w:r>
      <w:r>
        <w:rPr>
          <w:i/>
          <w:noProof/>
        </w:rPr>
        <w:t>Eiropas Savienības Oficiālajā Vēstnesī.</w:t>
      </w:r>
    </w:p>
    <w:p>
      <w:pPr>
        <w:pStyle w:val="ManualConsidrant"/>
        <w:rPr>
          <w:noProof/>
        </w:rPr>
      </w:pPr>
      <w:r>
        <w:t>(12)</w:t>
      </w:r>
      <w:r>
        <w:tab/>
      </w:r>
      <w:r>
        <w:rPr>
          <w:noProof/>
        </w:rPr>
        <w:t xml:space="preserve">Tāpēc Regula (ES) Nr. 1303/2013 būtu jāgroza, </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Regulu (ES) Nr. 1303/2013 groza šādi:</w:t>
      </w:r>
    </w:p>
    <w:p>
      <w:pPr>
        <w:pStyle w:val="ManualNumPar1"/>
        <w:rPr>
          <w:noProof/>
        </w:rPr>
      </w:pPr>
      <w:r>
        <w:t>1.</w:t>
      </w:r>
      <w:r>
        <w:tab/>
      </w:r>
      <w:r>
        <w:rPr>
          <w:noProof/>
        </w:rPr>
        <w:t>regulas 91. panta 1. punktu aizstāj ar šādu:</w:t>
      </w:r>
    </w:p>
    <w:p>
      <w:pPr>
        <w:pStyle w:val="Text1"/>
        <w:rPr>
          <w:noProof/>
        </w:rPr>
      </w:pPr>
      <w:r>
        <w:rPr>
          <w:noProof/>
        </w:rPr>
        <w:t>“1. Resursi ekonomiskajai, sociālajai un teritoriālajai kohēzijai, kas pieejami budžeta saistībām 2014. – 2020. gadam, ir EUR 329 978 401 458 2011. gada cenās saskaņā ar VI pielikumā norādīto sadalījumu pa gadiem, un no šīs summas EUR 325 938 694 233 ir kopējie resursi, kas piešķirti ERAF, ESF un Kohēzijas fondam, un EUR 4 039 707 225 ir īpašs piešķīrums JNI. Lai veiktu plānošanu un vēlāk to varētu iekļaut Savienības vispārējā budžetā, ekonomiskajai, sociālajai un teritoriālajai kohēzijai atvēlēto resursu summu indeksē par 2% gadā.”;</w:t>
      </w:r>
    </w:p>
    <w:p>
      <w:pPr>
        <w:pStyle w:val="ManualNumPar1"/>
        <w:rPr>
          <w:noProof/>
        </w:rPr>
      </w:pPr>
      <w:r>
        <w:t>2.</w:t>
      </w:r>
      <w:r>
        <w:tab/>
      </w:r>
      <w:r>
        <w:rPr>
          <w:noProof/>
        </w:rPr>
        <w:t>regulas 92. pantu groza šādi:</w:t>
      </w:r>
    </w:p>
    <w:p>
      <w:pPr>
        <w:pStyle w:val="Point1letter"/>
        <w:numPr>
          <w:ilvl w:val="3"/>
          <w:numId w:val="14"/>
        </w:numPr>
        <w:rPr>
          <w:noProof/>
        </w:rPr>
      </w:pPr>
      <w:r>
        <w:rPr>
          <w:noProof/>
        </w:rPr>
        <w:t>minētā panta 1. punktu aizstāj ar šādu punktu:</w:t>
      </w:r>
    </w:p>
    <w:p>
      <w:pPr>
        <w:pStyle w:val="Text2"/>
        <w:rPr>
          <w:noProof/>
        </w:rPr>
      </w:pPr>
      <w:r>
        <w:rPr>
          <w:noProof/>
        </w:rPr>
        <w:t>“1. Resursu apjoms mērķim “Investīcijas izaugsmei un nodarbinātībai” ir 96,09 % no kopējiem resursiem (t. i., kopā EUR 317 103 114 309), un to sadalījums ir šāds:</w:t>
      </w:r>
    </w:p>
    <w:p>
      <w:pPr>
        <w:pStyle w:val="Text2"/>
        <w:rPr>
          <w:noProof/>
        </w:rPr>
      </w:pPr>
      <w:r>
        <w:rPr>
          <w:noProof/>
        </w:rPr>
        <w:t>a) 48,64 % (t. i., kopā EUR 160 498 028 177) — mazāk attīstītiem reģioniem;</w:t>
      </w:r>
    </w:p>
    <w:p>
      <w:pPr>
        <w:pStyle w:val="Text2"/>
        <w:rPr>
          <w:noProof/>
        </w:rPr>
      </w:pPr>
      <w:r>
        <w:rPr>
          <w:noProof/>
        </w:rPr>
        <w:t>b) 10,19 % (t. i., kopā EUR EUR 33 621 675 154) — pārejas reģioniem;</w:t>
      </w:r>
    </w:p>
    <w:p>
      <w:pPr>
        <w:pStyle w:val="Text2"/>
        <w:rPr>
          <w:noProof/>
        </w:rPr>
      </w:pPr>
      <w:r>
        <w:rPr>
          <w:noProof/>
        </w:rPr>
        <w:t>c) 15,43 % (t. i., kopā EUR EUR 50 914 723 304) — vairāk attīstītiem reģioniem;</w:t>
      </w:r>
    </w:p>
    <w:p>
      <w:pPr>
        <w:pStyle w:val="Text2"/>
        <w:rPr>
          <w:noProof/>
        </w:rPr>
      </w:pPr>
      <w:r>
        <w:rPr>
          <w:noProof/>
        </w:rPr>
        <w:t>d) 20,01 % (t. i., kopā EUR 66 029 882 135) — dalībvalstīm, ko atbalsta Kohēzijas fonds;</w:t>
      </w:r>
    </w:p>
    <w:p>
      <w:pPr>
        <w:pStyle w:val="Text2"/>
        <w:rPr>
          <w:noProof/>
        </w:rPr>
      </w:pPr>
      <w:r>
        <w:rPr>
          <w:noProof/>
        </w:rPr>
        <w:t xml:space="preserve">e) 0,42 % (t. i., kopā EUR 1 378 882 914) kā papildu finansējums LESD 349. pantā noteiktajiem tālākajiem reģioniem un </w:t>
      </w:r>
      <w:r>
        <w:rPr>
          <w:i/>
          <w:noProof/>
        </w:rPr>
        <w:t>NUTS</w:t>
      </w:r>
      <w:r>
        <w:rPr>
          <w:noProof/>
        </w:rPr>
        <w:t xml:space="preserve"> 2. līmeņa reģioniem, kas atbilst 1994. gada Pievienošanās akta 6. protokola 2. pantā noteiktajiem kritērijiem.”;</w:t>
      </w:r>
    </w:p>
    <w:p>
      <w:pPr>
        <w:pStyle w:val="Point1letter"/>
        <w:rPr>
          <w:noProof/>
        </w:rPr>
      </w:pPr>
      <w:r>
        <w:rPr>
          <w:noProof/>
        </w:rPr>
        <w:t>minētā panta 5. punktu aizstāj ar šādu punktu:</w:t>
      </w:r>
    </w:p>
    <w:p>
      <w:pPr>
        <w:pStyle w:val="Text2"/>
        <w:rPr>
          <w:noProof/>
        </w:rPr>
      </w:pPr>
      <w:r>
        <w:rPr>
          <w:noProof/>
        </w:rPr>
        <w:t>“5. JNI atvēlētie resursi ir EUR 4 039 707 225 no īpašā piešķīruma JNI un vismaz EUR 4 039 707 225 no ESF paredzētajām mērķinvestīcijām.”;</w:t>
      </w:r>
    </w:p>
    <w:p>
      <w:pPr>
        <w:pStyle w:val="Point1letter"/>
        <w:rPr>
          <w:noProof/>
        </w:rPr>
      </w:pPr>
      <w:r>
        <w:rPr>
          <w:noProof/>
        </w:rPr>
        <w:t>minētā panta 9. punktu aizstāj ar šādu punktu:</w:t>
      </w:r>
    </w:p>
    <w:p>
      <w:pPr>
        <w:pStyle w:val="Text2"/>
        <w:rPr>
          <w:noProof/>
        </w:rPr>
      </w:pPr>
      <w:r>
        <w:rPr>
          <w:noProof/>
        </w:rPr>
        <w:t>“9. Mērķim “Eiropas teritoriālā sadarbība” paredzētie resursi ir 2,69 % no kopējiem resursiem, kas pieejami budžeta saistībām no fondiem laikposmam no 2014. līdz 2020. gadam (t. i., kopā EUR 8 865 148 841).”;</w:t>
      </w:r>
    </w:p>
    <w:p>
      <w:pPr>
        <w:pStyle w:val="ManualNumPar1"/>
        <w:rPr>
          <w:noProof/>
        </w:rPr>
      </w:pPr>
      <w:r>
        <w:rPr>
          <w:noProof/>
        </w:rPr>
        <w:t>3.</w:t>
      </w:r>
      <w:r>
        <w:rPr>
          <w:noProof/>
        </w:rPr>
        <w:tab/>
        <w:t>VI pielikumu aizstāj ar šīs regulas pielikuma tekstu.</w:t>
      </w:r>
    </w:p>
    <w:p>
      <w:pPr>
        <w:pStyle w:val="Titrearticle"/>
        <w:rPr>
          <w:noProof/>
        </w:rPr>
      </w:pPr>
      <w:r>
        <w:rPr>
          <w:noProof/>
        </w:rPr>
        <w:t>2. pants</w:t>
      </w:r>
    </w:p>
    <w:p>
      <w:pPr>
        <w:rPr>
          <w:noProof/>
        </w:rPr>
      </w:pPr>
      <w:r>
        <w:rPr>
          <w:noProof/>
        </w:rPr>
        <w:t xml:space="preserve">Šī regula stājas spēkā nākamajā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w:t>
      </w:r>
      <w:r>
        <w:rPr>
          <w:noProof/>
        </w:rPr>
        <w:tab/>
        <w:t>Padomes vārdā –</w:t>
      </w:r>
    </w:p>
    <w:p>
      <w:pPr>
        <w:pStyle w:val="Personnequisigne"/>
        <w:rPr>
          <w:noProof/>
        </w:rPr>
        <w:sectPr>
          <w:pgSz w:w="11907" w:h="16839"/>
          <w:pgMar w:top="1134" w:right="1417" w:bottom="1134" w:left="1417" w:header="709" w:footer="709" w:gutter="0"/>
          <w:cols w:space="708"/>
          <w:docGrid w:linePitch="360"/>
        </w:sectPr>
      </w:pPr>
      <w:r>
        <w:rPr>
          <w:noProof/>
        </w:rPr>
        <w:t>priekšsēdētājs</w:t>
      </w:r>
      <w:r>
        <w:rPr>
          <w:noProof/>
        </w:rPr>
        <w:tab/>
        <w:t>priekšsēdētājs</w:t>
      </w:r>
    </w:p>
    <w:p>
      <w:pPr>
        <w:pStyle w:val="Fichefinanciretitre"/>
        <w:rPr>
          <w:noProof/>
        </w:rPr>
      </w:pPr>
      <w:r>
        <w:rPr>
          <w:noProof/>
        </w:rPr>
        <w:t xml:space="preserve">TIESĪBU AKTA PRIEKŠLIKUMA FINANŠU PĀRSKATS </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b/>
          <w:noProof/>
          <w:u w:val="single"/>
        </w:rPr>
      </w:pPr>
      <w:r>
        <w:rPr>
          <w:b/>
          <w:noProof/>
          <w:u w:val="single"/>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noProof/>
        </w:rPr>
      </w:pPr>
      <w:r>
        <w:rPr>
          <w:noProof/>
        </w:rPr>
        <w:t>1.1.</w:t>
      </w:r>
      <w:r>
        <w:rPr>
          <w:noProof/>
        </w:rPr>
        <w:tab/>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w:t>
      </w:r>
    </w:p>
    <w:p>
      <w:pPr>
        <w:pStyle w:val="Text1"/>
        <w:pBdr>
          <w:top w:val="single" w:sz="4" w:space="1" w:color="auto"/>
          <w:left w:val="single" w:sz="4" w:space="4" w:color="auto"/>
          <w:bottom w:val="single" w:sz="4" w:space="1" w:color="auto"/>
          <w:right w:val="single" w:sz="4" w:space="4" w:color="auto"/>
        </w:pBdr>
        <w:rPr>
          <w:noProof/>
        </w:rPr>
      </w:pPr>
      <w:r>
        <w:rPr>
          <w:noProof/>
        </w:rPr>
        <w:t>EIROPAS PARLAMENTA UN PADOMES REGULA,</w:t>
      </w:r>
    </w:p>
    <w:p>
      <w:pPr>
        <w:pStyle w:val="Text1"/>
        <w:pBdr>
          <w:top w:val="single" w:sz="4" w:space="1" w:color="auto"/>
          <w:left w:val="single" w:sz="4" w:space="4" w:color="auto"/>
          <w:bottom w:val="single" w:sz="4" w:space="1" w:color="auto"/>
          <w:right w:val="single" w:sz="4" w:space="4" w:color="auto"/>
        </w:pBdr>
        <w:rPr>
          <w:noProof/>
        </w:rPr>
      </w:pPr>
      <w:r>
        <w:rPr>
          <w:noProof/>
        </w:rPr>
        <w:t>ar ko Regulu (ES) Nr. 1303/2013 groza attiecībā uz izmaiņām resursos, kas paredzēti ekonomiskajai, sociālajai un teritoriālajai kohēzijai, un resursos, kas paredzēti mērķim “Investīcijas izaugsmei un nodarbinātībai” un mērķim “Eiropas teritoriālā sadarbība”</w:t>
      </w:r>
    </w:p>
    <w:p>
      <w:pPr>
        <w:pStyle w:val="ManualHeading2"/>
        <w:rPr>
          <w:noProof/>
          <w:szCs w:val="24"/>
        </w:rPr>
      </w:pPr>
      <w:r>
        <w:rPr>
          <w:noProof/>
        </w:rPr>
        <w:t>1.2.</w:t>
      </w:r>
      <w:r>
        <w:rPr>
          <w:noProof/>
        </w:rPr>
        <w:tab/>
        <w:t xml:space="preserve">Attiecīgās politikas jomas </w:t>
      </w:r>
      <w:r>
        <w:rPr>
          <w:i/>
          <w:noProof/>
        </w:rPr>
        <w:t>ABM/ABB</w:t>
      </w:r>
      <w:r>
        <w:rPr>
          <w:noProof/>
        </w:rPr>
        <w:t xml:space="preserve"> struktūrā</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Nodarbinātība, sociālās lietas un iekļautība</w:t>
      </w:r>
    </w:p>
    <w:p>
      <w:pPr>
        <w:pStyle w:val="Text1"/>
        <w:pBdr>
          <w:top w:val="single" w:sz="4" w:space="1" w:color="auto"/>
          <w:left w:val="single" w:sz="4" w:space="4" w:color="auto"/>
          <w:bottom w:val="single" w:sz="4" w:space="1" w:color="auto"/>
          <w:right w:val="single" w:sz="4" w:space="4" w:color="auto"/>
        </w:pBdr>
        <w:rPr>
          <w:noProof/>
        </w:rPr>
      </w:pPr>
      <w:r>
        <w:rPr>
          <w:noProof/>
        </w:rPr>
        <w:t>04 02 60 – Eiropas Sociālais fonds – Mazāk attīstīti reģioni – Mērķis “Investīcijas izaugsmei un nodarbinātībai”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 Eiropas Sociālais fonds – Pārejas reģioni – Mērķis “Investīcijas izaugsmei un nodarbinātībai”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Eiropas Sociālais fonds – Attīstītākie reģioni – Mērķis “Investīcijas izaugsmei un nodarbinātībai”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Jaunatnes nodarbinātības iniciatīva (JNI)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Reģionālā politika un pilsētpolitika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Eiropas Reģionālās attīstības fonds (ERAF) – Mazāk attīstīti reģioni – Mērķis “Investīcijas izaugsmei un nodarbinātībai”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Eiropas Reģionālās attīstības fonds (ERAF) – Pārejas reģioni – Mērķis “Investīcijas izaugsmei un nodarbinātībai”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Eiropas Reģionālās attīstības fonds (ERAF) – Attīstītākie reģioni – Mērķis “Investīcijas izaugsmei un nodarbinātībai”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63 – Eiropas Reģionālās attīstības fonds (ERAF) – Papildu piešķīrumi tālākajiem reģioniem un mazapdzīvotiem reģioniem – Mērķis “Investīcijas izaugsmei un nodarbinātībai”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64 01 Eiropas Reģionālās attīstības fonds (ERAF) – Eiropas teritoriālā sadarbība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60 – Kohēzijas fonds – Mērķis “Investīcijas izaugsmei un nodarbinātībai”</w:t>
      </w:r>
    </w:p>
    <w:p>
      <w:pPr>
        <w:pStyle w:val="ManualHeading2"/>
        <w:rPr>
          <w:bCs/>
          <w:noProof/>
          <w:szCs w:val="24"/>
        </w:rPr>
      </w:pPr>
      <w:r>
        <w:rPr>
          <w:noProof/>
        </w:rPr>
        <w:t>1.3.</w:t>
      </w:r>
      <w:r>
        <w:rPr>
          <w:noProof/>
        </w:rPr>
        <w:tab/>
        <w:t xml:space="preserve">Priekšlikuma/iniciatīvas būtība </w:t>
      </w:r>
    </w:p>
    <w:p>
      <w:pPr>
        <w:pStyle w:val="Text1"/>
        <w:rPr>
          <w:b/>
          <w:noProof/>
          <w:sz w:val="22"/>
        </w:rPr>
      </w:pPr>
      <w:r>
        <w:rPr>
          <w:noProof/>
          <w:sz w:val="22"/>
        </w:rPr>
        <w:sym w:font="Wingdings" w:char="F0A8"/>
      </w:r>
      <w:r>
        <w:rPr>
          <w:b/>
          <w:i/>
          <w:noProof/>
          <w:sz w:val="22"/>
        </w:rPr>
        <w:t xml:space="preserve"> </w:t>
      </w:r>
      <w:r>
        <w:rPr>
          <w:noProof/>
        </w:rPr>
        <w:t xml:space="preserve">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 / sagatavošanas darbību</w:t>
      </w:r>
      <w:r>
        <w:rPr>
          <w:rStyle w:val="FootnoteReference"/>
          <w:b/>
          <w:noProof/>
        </w:rPr>
        <w:footnoteReference w:id="15"/>
      </w:r>
      <w:r>
        <w:rPr>
          <w:noProof/>
          <w:sz w:val="22"/>
        </w:rPr>
        <w:t xml:space="preserve"> </w:t>
      </w:r>
    </w:p>
    <w:p>
      <w:pPr>
        <w:pStyle w:val="Text1"/>
        <w:rPr>
          <w:noProof/>
          <w:sz w:val="22"/>
        </w:rPr>
      </w:pPr>
      <w:r>
        <w:rPr>
          <w:noProof/>
          <w:sz w:val="22"/>
        </w:rPr>
        <w:sym w:font="Wingdings" w:char="F078"/>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bCs/>
          <w:noProof/>
          <w:szCs w:val="24"/>
        </w:rPr>
      </w:pPr>
      <w:r>
        <w:rPr>
          <w:noProof/>
        </w:rPr>
        <w:t>1.4.</w:t>
      </w:r>
      <w:r>
        <w:rPr>
          <w:noProof/>
        </w:rPr>
        <w:tab/>
        <w:t>Mērķis(-i)</w:t>
      </w:r>
    </w:p>
    <w:p>
      <w:pPr>
        <w:pStyle w:val="ManualHeading3"/>
        <w:rPr>
          <w:noProof/>
        </w:rPr>
      </w:pPr>
      <w:r>
        <w:rPr>
          <w:noProof/>
        </w:rPr>
        <w:t>1.4.1.</w:t>
      </w:r>
      <w:r>
        <w:rPr>
          <w:noProof/>
        </w:rPr>
        <w:tab/>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1.4.2.</w:t>
      </w:r>
      <w:r>
        <w:rPr>
          <w:noProof/>
        </w:rPr>
        <w:tab/>
        <w:t xml:space="preserve">Konkrētie mērķi un attiecīgās </w:t>
      </w:r>
      <w:r>
        <w:rPr>
          <w:i w:val="0"/>
          <w:noProof/>
        </w:rPr>
        <w:t>ABM/ABB</w:t>
      </w:r>
      <w:r>
        <w:rPr>
          <w:noProof/>
        </w:rPr>
        <w:t xml:space="preserve">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1.4.3.</w:t>
      </w:r>
      <w:r>
        <w:rPr>
          <w:noProof/>
        </w:rPr>
        <w:tab/>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1.4.4.</w:t>
      </w:r>
      <w:r>
        <w:rPr>
          <w:noProof/>
        </w:rPr>
        <w:tab/>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1.5.</w:t>
      </w:r>
      <w:r>
        <w:rPr>
          <w:noProof/>
        </w:rPr>
        <w:tab/>
        <w:t xml:space="preserve">Priekšlikuma/iniciatīvas pamatojums </w:t>
      </w:r>
    </w:p>
    <w:p>
      <w:pPr>
        <w:pStyle w:val="ManualHeading3"/>
        <w:rPr>
          <w:noProof/>
        </w:rPr>
      </w:pPr>
      <w:r>
        <w:rPr>
          <w:noProof/>
        </w:rPr>
        <w:t>1.5.1.</w:t>
      </w:r>
      <w:r>
        <w:rPr>
          <w:noProof/>
        </w:rPr>
        <w:tab/>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1.5.2.</w:t>
      </w:r>
      <w:r>
        <w:rPr>
          <w:noProof/>
        </w:rPr>
        <w:tab/>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1.5.3.</w:t>
      </w:r>
      <w:r>
        <w:rPr>
          <w:noProof/>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1.5.4.</w:t>
      </w:r>
      <w:r>
        <w:rPr>
          <w:noProof/>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1.6.</w:t>
      </w:r>
      <w:r>
        <w:rPr>
          <w:noProof/>
        </w:rPr>
        <w:tab/>
        <w:t xml:space="preserve">Ilgums un finansiālā ietekme </w:t>
      </w:r>
    </w:p>
    <w:p>
      <w:pPr>
        <w:pStyle w:val="Text1"/>
        <w:rPr>
          <w:noProof/>
        </w:rPr>
      </w:pPr>
      <w:r>
        <w:rPr>
          <w:noProof/>
        </w:rPr>
        <w:sym w:font="Wingdings" w:char="F0A8"/>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78"/>
      </w:r>
      <w:r>
        <w:rPr>
          <w:noProof/>
        </w:rPr>
        <w:tab/>
        <w:t>Priekšlikuma/iniciatīvas darbības laiks: 01.01.2017.–31.12.2023.</w:t>
      </w:r>
    </w:p>
    <w:p>
      <w:pPr>
        <w:pStyle w:val="ListDash2"/>
        <w:rPr>
          <w:noProof/>
        </w:rPr>
      </w:pPr>
      <w:r>
        <w:rPr>
          <w:noProof/>
        </w:rPr>
        <w:sym w:font="Wingdings" w:char="F078"/>
      </w:r>
      <w:r>
        <w:rPr>
          <w:noProof/>
        </w:rPr>
        <w:tab/>
        <w:t>Finansiālā ietekme: 2017. – 2020.</w:t>
      </w:r>
    </w:p>
    <w:p>
      <w:pPr>
        <w:pStyle w:val="Text1"/>
        <w:rPr>
          <w:noProof/>
        </w:rPr>
      </w:pPr>
      <w:r>
        <w:rPr>
          <w:noProof/>
        </w:rPr>
        <w:sym w:font="Wingdings" w:char="F0A8"/>
      </w:r>
      <w:r>
        <w:rPr>
          <w:b/>
          <w:noProof/>
        </w:rPr>
        <w:t>Beztermiņa</w:t>
      </w:r>
      <w:r>
        <w:rPr>
          <w:noProof/>
        </w:rPr>
        <w:t xml:space="preserve">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bCs/>
          <w:noProof/>
          <w:szCs w:val="24"/>
        </w:rPr>
      </w:pPr>
      <w:r>
        <w:rPr>
          <w:noProof/>
        </w:rPr>
        <w:t>1.7.</w:t>
      </w:r>
      <w:r>
        <w:rPr>
          <w:noProof/>
        </w:rPr>
        <w:tab/>
        <w:t>Paredzētie pārvaldības veidi</w:t>
      </w:r>
      <w:r>
        <w:rPr>
          <w:rStyle w:val="FootnoteReference"/>
          <w:noProof/>
        </w:rPr>
        <w:footnoteReference w:id="16"/>
      </w:r>
      <w:r>
        <w:rPr>
          <w:rStyle w:val="FootnoteReference"/>
          <w:noProof/>
        </w:rPr>
        <w:t xml:space="preserve"> </w:t>
      </w:r>
    </w:p>
    <w:p>
      <w:pPr>
        <w:pStyle w:val="Text1"/>
        <w:rPr>
          <w:noProof/>
        </w:rPr>
      </w:pPr>
      <w:r>
        <w:rPr>
          <w:noProof/>
        </w:rPr>
        <w:sym w:font="Wingdings" w:char="F0A8"/>
      </w:r>
      <w:r>
        <w:rPr>
          <w:noProof/>
        </w:rPr>
        <w:t xml:space="preserve"> Komisijas īstenota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7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Neattiecas</w:t>
      </w: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2.2.</w:t>
      </w:r>
      <w:r>
        <w:rPr>
          <w:noProof/>
        </w:rPr>
        <w:tab/>
        <w:t xml:space="preserve">Pārvaldības un kontroles sistēma </w:t>
      </w:r>
    </w:p>
    <w:p>
      <w:pPr>
        <w:pStyle w:val="ManualHeading3"/>
        <w:rPr>
          <w:noProof/>
        </w:rPr>
      </w:pPr>
      <w:r>
        <w:rPr>
          <w:noProof/>
        </w:rPr>
        <w:t>2.2.1.</w:t>
      </w:r>
      <w:r>
        <w:rPr>
          <w:noProof/>
        </w:rPr>
        <w:tab/>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rPr>
          <w:noProof/>
        </w:rPr>
        <w:t>2.2.2.</w:t>
      </w:r>
      <w:r>
        <w:rPr>
          <w:noProof/>
        </w:rPr>
        <w:tab/>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noProof/>
        </w:rPr>
      </w:pPr>
      <w:r>
        <w:rPr>
          <w:noProof/>
        </w:rPr>
        <w:t>2.2.3.</w:t>
      </w:r>
      <w:r>
        <w:rPr>
          <w:noProof/>
        </w:rPr>
        <w:tab/>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PRIEKŠLIKUMA/INICIATĪVAS PAREDZAMĀ FINANSIĀLĀ IETEKME </w:t>
      </w:r>
    </w:p>
    <w:p>
      <w:pPr>
        <w:pStyle w:val="ManualHeading2"/>
        <w:rPr>
          <w:noProof/>
        </w:rPr>
      </w:pPr>
      <w:r>
        <w:rPr>
          <w:noProof/>
        </w:rPr>
        <w:t>3.1.</w:t>
      </w:r>
      <w:r>
        <w:rPr>
          <w:noProof/>
        </w:rPr>
        <w:tab/>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rPr>
              <w:t>Izdevumu 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rPr>
              <w:t>Nr. [...]</w:t>
            </w:r>
            <w:r>
              <w:rPr>
                <w:noProof/>
              </w:rPr>
              <w:br/>
            </w:r>
            <w:r>
              <w:rPr>
                <w:noProof/>
                <w:sz w:val="20"/>
              </w:rPr>
              <w:t>[Izdevumu kategorija ………………………...…………]</w:t>
            </w:r>
          </w:p>
        </w:tc>
        <w:tc>
          <w:tcPr>
            <w:tcW w:w="1080" w:type="dxa"/>
            <w:vAlign w:val="center"/>
          </w:tcPr>
          <w:p>
            <w:pPr>
              <w:jc w:val="center"/>
              <w:rPr>
                <w:noProof/>
              </w:rPr>
            </w:pPr>
            <w:r>
              <w:rPr>
                <w:noProof/>
                <w:sz w:val="18"/>
              </w:rPr>
              <w:t>Dif./nedif.</w:t>
            </w:r>
            <w:r>
              <w:rPr>
                <w:rStyle w:val="FootnoteReference"/>
                <w:noProof/>
                <w:sz w:val="18"/>
              </w:rPr>
              <w:footnoteReference w:id="17"/>
            </w:r>
          </w:p>
        </w:tc>
        <w:tc>
          <w:tcPr>
            <w:tcW w:w="956" w:type="dxa"/>
            <w:vAlign w:val="center"/>
          </w:tcPr>
          <w:p>
            <w:pPr>
              <w:jc w:val="center"/>
              <w:rPr>
                <w:noProof/>
              </w:rPr>
            </w:pPr>
            <w:r>
              <w:rPr>
                <w:noProof/>
                <w:sz w:val="18"/>
              </w:rPr>
              <w:t>no EBTA valstīm</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rPr>
            </w:pPr>
            <w:r>
              <w:rPr>
                <w:noProof/>
                <w:sz w:val="18"/>
              </w:rPr>
              <w:t>no kandidātvalstīm</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shd w:val="clear" w:color="auto" w:fill="auto"/>
            <w:vAlign w:val="center"/>
          </w:tcPr>
          <w:p>
            <w:pPr>
              <w:jc w:val="center"/>
              <w:rPr>
                <w:noProof/>
              </w:rPr>
            </w:pPr>
            <w:r>
              <w:rPr>
                <w:noProof/>
              </w:rPr>
              <w:t>1 Gudra un iekļaujoša izaugsme</w:t>
            </w:r>
          </w:p>
        </w:tc>
        <w:tc>
          <w:tcPr>
            <w:tcW w:w="3960" w:type="dxa"/>
            <w:vAlign w:val="center"/>
          </w:tcPr>
          <w:p>
            <w:pPr>
              <w:spacing w:after="60"/>
              <w:rPr>
                <w:noProof/>
              </w:rPr>
            </w:pPr>
            <w:r>
              <w:rPr>
                <w:noProof/>
              </w:rPr>
              <w:t>04 02 60 – Eiropas Sociālais fonds – Mazāk attīstīti reģioni – Mērķis “Investīcijas izaugsmei un nodarbinātībai”</w:t>
            </w:r>
          </w:p>
          <w:p>
            <w:pPr>
              <w:spacing w:after="60"/>
              <w:rPr>
                <w:noProof/>
              </w:rPr>
            </w:pPr>
          </w:p>
          <w:p>
            <w:pPr>
              <w:spacing w:after="60"/>
              <w:rPr>
                <w:noProof/>
              </w:rPr>
            </w:pPr>
            <w:r>
              <w:rPr>
                <w:noProof/>
              </w:rPr>
              <w:t>04 02 61 – Eiropas Sociālais fonds – Pārejas reģioni – Mērķis “Investīcijas izaugsmei un nodarbinātībai”</w:t>
            </w:r>
          </w:p>
          <w:p>
            <w:pPr>
              <w:spacing w:after="60"/>
              <w:rPr>
                <w:noProof/>
              </w:rPr>
            </w:pPr>
          </w:p>
          <w:p>
            <w:pPr>
              <w:spacing w:after="60"/>
              <w:rPr>
                <w:noProof/>
              </w:rPr>
            </w:pPr>
            <w:r>
              <w:rPr>
                <w:noProof/>
              </w:rPr>
              <w:t>04 02 62 – Eiropas Sociālais fonds – Attīstītākie reģioni – Mērķis “Investīcijas izaugsmei un nodarbinātībai”</w:t>
            </w:r>
          </w:p>
          <w:p>
            <w:pPr>
              <w:spacing w:after="60"/>
              <w:rPr>
                <w:noProof/>
              </w:rPr>
            </w:pPr>
          </w:p>
          <w:p>
            <w:pPr>
              <w:spacing w:after="60"/>
              <w:rPr>
                <w:noProof/>
              </w:rPr>
            </w:pPr>
            <w:r>
              <w:rPr>
                <w:noProof/>
              </w:rPr>
              <w:t>04 02 64 – Jaunatnes nodarbinātības iniciatīva (JNI)</w:t>
            </w:r>
          </w:p>
          <w:p>
            <w:pPr>
              <w:spacing w:after="60"/>
              <w:rPr>
                <w:noProof/>
              </w:rPr>
            </w:pPr>
          </w:p>
          <w:p>
            <w:pPr>
              <w:spacing w:after="60"/>
              <w:rPr>
                <w:noProof/>
              </w:rPr>
            </w:pPr>
            <w:r>
              <w:rPr>
                <w:noProof/>
              </w:rPr>
              <w:t xml:space="preserve">13 03 60 – Eiropas Reģionālās attīstības fonds (ERAF) – Mazāk attīstīti reģioni – Mērķis “Investīcijas izaugsmei un nodarbinātībai” </w:t>
            </w:r>
          </w:p>
          <w:p>
            <w:pPr>
              <w:spacing w:after="60"/>
              <w:rPr>
                <w:noProof/>
              </w:rPr>
            </w:pPr>
          </w:p>
          <w:p>
            <w:pPr>
              <w:spacing w:after="60"/>
              <w:rPr>
                <w:noProof/>
              </w:rPr>
            </w:pPr>
            <w:r>
              <w:rPr>
                <w:noProof/>
              </w:rPr>
              <w:t xml:space="preserve">13 03 61 – Eiropas Reģionālās attīstības fonds (ERAF) – Pārejas reģioni – Mērķis “Investīcijas izaugsmei un nodarbinātībai” </w:t>
            </w:r>
          </w:p>
          <w:p>
            <w:pPr>
              <w:spacing w:after="60"/>
              <w:rPr>
                <w:noProof/>
              </w:rPr>
            </w:pPr>
          </w:p>
          <w:p>
            <w:pPr>
              <w:spacing w:after="60"/>
              <w:rPr>
                <w:noProof/>
              </w:rPr>
            </w:pPr>
            <w:r>
              <w:rPr>
                <w:noProof/>
              </w:rPr>
              <w:t xml:space="preserve">13 03 62 – Eiropas Reģionālās attīstības fonds (ERAF) – Attīstītākie reģioni – Mērķis “Investīcijas izaugsmei un nodarbinātībai” </w:t>
            </w:r>
          </w:p>
          <w:p>
            <w:pPr>
              <w:spacing w:after="60"/>
              <w:rPr>
                <w:noProof/>
              </w:rPr>
            </w:pPr>
          </w:p>
          <w:p>
            <w:pPr>
              <w:spacing w:after="60"/>
              <w:rPr>
                <w:bCs/>
                <w:iCs/>
                <w:noProof/>
              </w:rPr>
            </w:pPr>
            <w:r>
              <w:rPr>
                <w:noProof/>
              </w:rPr>
              <w:t>13 03 63 – Eiropas Reģionālās attīstības fonds (ERAF) – Papildu piešķīrumi tālākajiem reģioniem un mazapdzīvotiem reģioniem – Mērķis “Investīcijas izaugsmei un nodarbinātībai”</w:t>
            </w:r>
          </w:p>
          <w:p>
            <w:pPr>
              <w:spacing w:after="60"/>
              <w:rPr>
                <w:bCs/>
                <w:iCs/>
                <w:noProof/>
              </w:rPr>
            </w:pPr>
          </w:p>
          <w:p>
            <w:pPr>
              <w:spacing w:after="60"/>
              <w:rPr>
                <w:bCs/>
                <w:iCs/>
                <w:noProof/>
              </w:rPr>
            </w:pPr>
            <w:r>
              <w:rPr>
                <w:noProof/>
              </w:rPr>
              <w:t>13 03 64 01 Eiropas Reģionālās attīstības fonds (ERAF) – Eiropas teritoriālā sadarbība</w:t>
            </w:r>
          </w:p>
          <w:p>
            <w:pPr>
              <w:spacing w:after="60"/>
              <w:rPr>
                <w:noProof/>
              </w:rPr>
            </w:pPr>
          </w:p>
          <w:p>
            <w:pPr>
              <w:spacing w:after="60"/>
              <w:rPr>
                <w:noProof/>
              </w:rPr>
            </w:pPr>
            <w:r>
              <w:rPr>
                <w:noProof/>
              </w:rPr>
              <w:t>13 04 60 – Kohēzijas fonds – Mērķis “Investīcijas izaugsmei un nodarbinātībai”</w:t>
            </w:r>
          </w:p>
        </w:tc>
        <w:tc>
          <w:tcPr>
            <w:tcW w:w="1080" w:type="dxa"/>
            <w:vAlign w:val="center"/>
          </w:tcPr>
          <w:p>
            <w:pPr>
              <w:jc w:val="center"/>
              <w:rPr>
                <w:noProof/>
              </w:rPr>
            </w:pPr>
            <w:r>
              <w:rPr>
                <w:noProof/>
              </w:rPr>
              <w:t>Dif.</w:t>
            </w:r>
          </w:p>
        </w:tc>
        <w:tc>
          <w:tcPr>
            <w:tcW w:w="956" w:type="dxa"/>
            <w:vAlign w:val="center"/>
          </w:tcPr>
          <w:p>
            <w:pPr>
              <w:jc w:val="center"/>
              <w:rPr>
                <w:noProof/>
              </w:rPr>
            </w:pPr>
            <w:r>
              <w:rPr>
                <w:noProof/>
              </w:rPr>
              <w:t>NĒ</w:t>
            </w:r>
          </w:p>
        </w:tc>
        <w:tc>
          <w:tcPr>
            <w:tcW w:w="1080" w:type="dxa"/>
            <w:vAlign w:val="center"/>
          </w:tcPr>
          <w:p>
            <w:pPr>
              <w:jc w:val="center"/>
              <w:rPr>
                <w:noProof/>
              </w:rPr>
            </w:pPr>
            <w:r>
              <w:rPr>
                <w:noProof/>
              </w:rPr>
              <w:t>NĒ</w:t>
            </w:r>
          </w:p>
        </w:tc>
        <w:tc>
          <w:tcPr>
            <w:tcW w:w="956" w:type="dxa"/>
            <w:vAlign w:val="center"/>
          </w:tcPr>
          <w:p>
            <w:pPr>
              <w:jc w:val="center"/>
              <w:rPr>
                <w:noProof/>
              </w:rPr>
            </w:pPr>
            <w:r>
              <w:rPr>
                <w:noProof/>
              </w:rPr>
              <w:t>NĒ</w:t>
            </w:r>
          </w:p>
        </w:tc>
        <w:tc>
          <w:tcPr>
            <w:tcW w:w="1448" w:type="dxa"/>
            <w:vAlign w:val="center"/>
          </w:tcPr>
          <w:p>
            <w:pPr>
              <w:jc w:val="center"/>
              <w:rPr>
                <w:noProof/>
              </w:rPr>
            </w:pPr>
            <w:r>
              <w:rPr>
                <w:noProof/>
              </w:rPr>
              <w:t>NĒ</w:t>
            </w:r>
          </w:p>
        </w:tc>
      </w:tr>
    </w:tbl>
    <w:p>
      <w:pPr>
        <w:rPr>
          <w:noProof/>
        </w:rPr>
      </w:pPr>
    </w:p>
    <w:p>
      <w:pPr>
        <w:pStyle w:val="ListBullet1"/>
        <w:rPr>
          <w:noProof/>
        </w:rPr>
      </w:pPr>
      <w:r>
        <w:rPr>
          <w:noProof/>
        </w:rPr>
        <w:t xml:space="preserve">No jauna veidojamās budžeta pozīcijas </w:t>
      </w:r>
    </w:p>
    <w:p>
      <w:pPr>
        <w:pStyle w:val="Text1"/>
        <w:rPr>
          <w:i/>
          <w:noProof/>
          <w:sz w:val="20"/>
        </w:rPr>
      </w:pPr>
      <w:r>
        <w:rPr>
          <w:i/>
          <w:noProof/>
          <w:u w:val="single"/>
        </w:rPr>
        <w:t>Sarindotas</w:t>
      </w:r>
      <w:r>
        <w:rPr>
          <w:noProof/>
        </w:rPr>
        <w:t xml:space="preserve"> </w:t>
      </w:r>
      <w:r>
        <w:rPr>
          <w:i/>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rPr>
              <w:br/>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rPr>
              <w:t>Nr.</w:t>
            </w:r>
            <w:r>
              <w:rPr>
                <w:noProof/>
              </w:rPr>
              <w:br/>
            </w:r>
            <w:r>
              <w:rPr>
                <w:noProof/>
                <w:sz w:val="20"/>
              </w:rPr>
              <w:t>[…] [Izdevumu kategorija............................................]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JĀ/NĒ</w:t>
            </w:r>
          </w:p>
        </w:tc>
        <w:tc>
          <w:tcPr>
            <w:tcW w:w="1080" w:type="dxa"/>
            <w:vAlign w:val="center"/>
          </w:tcPr>
          <w:p>
            <w:pPr>
              <w:jc w:val="center"/>
              <w:rPr>
                <w:noProof/>
                <w:sz w:val="18"/>
              </w:rPr>
            </w:pPr>
            <w:r>
              <w:rPr>
                <w:noProof/>
              </w:rPr>
              <w:t>JĀ/NĒ</w:t>
            </w:r>
          </w:p>
        </w:tc>
        <w:tc>
          <w:tcPr>
            <w:tcW w:w="956" w:type="dxa"/>
            <w:vAlign w:val="center"/>
          </w:tcPr>
          <w:p>
            <w:pPr>
              <w:jc w:val="center"/>
              <w:rPr>
                <w:noProof/>
                <w:sz w:val="18"/>
              </w:rPr>
            </w:pPr>
            <w:r>
              <w:rPr>
                <w:noProof/>
              </w:rPr>
              <w:t>JĀ/NĒ</w:t>
            </w:r>
          </w:p>
        </w:tc>
        <w:tc>
          <w:tcPr>
            <w:tcW w:w="1448" w:type="dxa"/>
            <w:vAlign w:val="center"/>
          </w:tcPr>
          <w:p>
            <w:pPr>
              <w:jc w:val="center"/>
              <w:rPr>
                <w:noProof/>
              </w:rPr>
            </w:pPr>
            <w:r>
              <w:rPr>
                <w:noProof/>
              </w:rPr>
              <w:t>JĀ/NĒ</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Paredzamā ietekme uz izdevumiem </w:t>
      </w:r>
    </w:p>
    <w:p>
      <w:pPr>
        <w:rPr>
          <w:noProof/>
        </w:rPr>
      </w:pPr>
      <w:r>
        <w:rPr>
          <w:noProof/>
        </w:rPr>
        <w:t xml:space="preserve">Gan attiecībā uz saistību, gan uz maksājumu apropriācijām ierosinātais grozījums nozīmē daudzgadu finanšu shēmas (DFS) 2014. – 2020. gadam izmaiņas sadaļā par ekonomisko, sociālo un teritoriālo kohēziju. </w:t>
      </w:r>
    </w:p>
    <w:p>
      <w:pPr>
        <w:rPr>
          <w:noProof/>
        </w:rPr>
      </w:pPr>
      <w:r>
        <w:rPr>
          <w:noProof/>
        </w:rPr>
        <w:t>Pirmkārt, attiecībā uz saistību apropriācijām budžeta saistībām pieejamie resursi ekonomiskajai, sociālajai un teritoriālajai kohēzijai 2017. – 2020. gadam palielināsies par EUR 5 841 600 033 pašreizējās cenās. No kopējās summas EUR 14 200 000 000 ir īpašs piešķīrums JNI.</w:t>
      </w:r>
    </w:p>
    <w:p>
      <w:pPr>
        <w:pStyle w:val="Text1"/>
        <w:ind w:left="0"/>
        <w:rPr>
          <w:noProof/>
        </w:rPr>
      </w:pPr>
      <w:r>
        <w:rPr>
          <w:noProof/>
        </w:rPr>
        <w:t>Otrkārt, attiecība uz maksājumu apropriācijām papildu vajadzības attiecībā uz maksājumu apropriācijām ir aprēķinātas saskaņā ar šādiem pieņēmumiem.</w:t>
      </w:r>
    </w:p>
    <w:p>
      <w:pPr>
        <w:pStyle w:val="Bullet1"/>
        <w:numPr>
          <w:ilvl w:val="0"/>
          <w:numId w:val="17"/>
        </w:numPr>
        <w:rPr>
          <w:noProof/>
        </w:rPr>
      </w:pPr>
      <w:r>
        <w:rPr>
          <w:noProof/>
        </w:rPr>
        <w:t>Tā kā pārveidoto darbības programmu pieņemšana tiks pabeigta tikai 2017. gada otrajā pusgadā, ikgadējās priekšfinansējuma vajadzības ir iekļautas 2018. – 2020. gadā.</w:t>
      </w:r>
    </w:p>
    <w:p>
      <w:pPr>
        <w:pStyle w:val="Bullet1"/>
        <w:rPr>
          <w:noProof/>
        </w:rPr>
      </w:pPr>
      <w:r>
        <w:rPr>
          <w:noProof/>
        </w:rPr>
        <w:t xml:space="preserve">Tiek lēsts, ka starpposma maksājumi saistībā ar papildu resursiem 7. pantā paredzēto tehnisko korekciju rezultātā atbilst plānošanas perioda sākuma periodam. </w:t>
      </w:r>
    </w:p>
    <w:p>
      <w:pPr>
        <w:pStyle w:val="Bullet1"/>
        <w:rPr>
          <w:noProof/>
        </w:rPr>
      </w:pPr>
      <w:r>
        <w:rPr>
          <w:noProof/>
        </w:rPr>
        <w:t>Ir sagaidāms, ka starpposma maksājumi, kas saistīti ar JNI paplašināšanas īpašo piešķīrumu, notiks ātrāk, jo tagad ir likvidēti visi administratīvie šķēršļi un īstenošanas process notiek straujāk nekā attiecībā uz citiem ESI fondiem.</w:t>
      </w:r>
    </w:p>
    <w:p>
      <w:pPr>
        <w:pStyle w:val="ManualHeading3"/>
        <w:rPr>
          <w:noProof/>
          <w:u w:val="single"/>
        </w:rPr>
      </w:pPr>
      <w:r>
        <w:rPr>
          <w:noProof/>
        </w:rPr>
        <w:t>3.2.1.</w:t>
      </w:r>
      <w:r>
        <w:rPr>
          <w:noProof/>
        </w:rPr>
        <w:tab/>
        <w:t xml:space="preserve">Kopsavilkums par paredzamo ietekmi uz izdevumiem </w:t>
      </w:r>
    </w:p>
    <w:p>
      <w:pPr>
        <w:jc w:val="right"/>
        <w:rPr>
          <w:noProof/>
          <w:sz w:val="20"/>
        </w:rPr>
      </w:pPr>
      <w:r>
        <w:rPr>
          <w:noProof/>
          <w:sz w:val="20"/>
        </w:rPr>
        <w:t>EUR miljonos pašreizējās cenās (līdz 3 zīmēm aiz komata)</w:t>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Daudzgadu finanšu shēmas izdevumu</w:t>
            </w:r>
            <w:r>
              <w:rPr>
                <w:noProof/>
              </w:rPr>
              <w:br/>
            </w:r>
            <w:r>
              <w:rPr>
                <w:b/>
                <w:noProof/>
              </w:rPr>
              <w:t xml:space="preserve">kategorija </w:t>
            </w:r>
          </w:p>
        </w:tc>
        <w:tc>
          <w:tcPr>
            <w:tcW w:w="1080" w:type="dxa"/>
            <w:vAlign w:val="center"/>
          </w:tcPr>
          <w:p>
            <w:pPr>
              <w:spacing w:before="60" w:after="60"/>
              <w:jc w:val="center"/>
              <w:rPr>
                <w:noProof/>
              </w:rPr>
            </w:pPr>
            <w:r>
              <w:rPr>
                <w:noProof/>
                <w:sz w:val="22"/>
              </w:rPr>
              <w:t>Nr.</w:t>
            </w:r>
          </w:p>
          <w:p>
            <w:pPr>
              <w:spacing w:before="60" w:after="60"/>
              <w:jc w:val="center"/>
              <w:rPr>
                <w:noProof/>
              </w:rPr>
            </w:pPr>
            <w:r>
              <w:rPr>
                <w:noProof/>
                <w:sz w:val="22"/>
              </w:rPr>
              <w:t>1</w:t>
            </w:r>
          </w:p>
        </w:tc>
        <w:tc>
          <w:tcPr>
            <w:tcW w:w="7817" w:type="dxa"/>
            <w:vAlign w:val="center"/>
          </w:tcPr>
          <w:p>
            <w:pPr>
              <w:spacing w:before="60" w:after="60"/>
              <w:rPr>
                <w:noProof/>
              </w:rPr>
            </w:pPr>
            <w:r>
              <w:rPr>
                <w:noProof/>
              </w:rPr>
              <w:t>Gudra un iekļaujoša izaugsme</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EMPL, REGIO </w:t>
            </w:r>
            <w:r>
              <w:rPr>
                <w:noProof/>
              </w:rPr>
              <w:t xml:space="preserve">ĢD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20"/>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KOPĀ</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Darbības apropriācijas</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Ekonomiskā, sociālā un teritoriālā kohēzija</w:t>
            </w:r>
          </w:p>
          <w:p>
            <w:pPr>
              <w:spacing w:before="60"/>
              <w:rPr>
                <w:noProof/>
              </w:rPr>
            </w:pPr>
            <w:r>
              <w:rPr>
                <w:noProof/>
                <w:sz w:val="21"/>
              </w:rPr>
              <w:t>Eiropas Reģionālās attīstības fonds, Eiropas Sociālais fonds, Kohēzijas fonds</w:t>
            </w:r>
          </w:p>
        </w:tc>
        <w:tc>
          <w:tcPr>
            <w:tcW w:w="3119" w:type="dxa"/>
            <w:vAlign w:val="center"/>
          </w:tcPr>
          <w:p>
            <w:pPr>
              <w:spacing w:before="20" w:after="20"/>
              <w:rPr>
                <w:noProof/>
                <w:sz w:val="18"/>
              </w:rPr>
            </w:pPr>
            <w:r>
              <w:rPr>
                <w:noProof/>
                <w:sz w:val="18"/>
              </w:rPr>
              <w:t xml:space="preserve">Saistības </w:t>
            </w:r>
          </w:p>
          <w:p>
            <w:pPr>
              <w:spacing w:before="20" w:after="20"/>
              <w:rPr>
                <w:noProof/>
                <w:sz w:val="18"/>
              </w:rPr>
            </w:pPr>
          </w:p>
          <w:p>
            <w:pPr>
              <w:spacing w:before="20" w:after="20"/>
              <w:rPr>
                <w:noProof/>
                <w:sz w:val="18"/>
              </w:rPr>
            </w:pPr>
          </w:p>
          <w:p>
            <w:pPr>
              <w:spacing w:after="60"/>
              <w:rPr>
                <w:noProof/>
              </w:rPr>
            </w:pPr>
            <w:r>
              <w:rPr>
                <w:noProof/>
              </w:rPr>
              <w:t>04 02 60 – Eiropas Sociālais fonds – Mazāk attīstīti reģioni – Mērķis “Investīcijas izaugsmei un nodarbinātībai”</w:t>
            </w:r>
          </w:p>
          <w:p>
            <w:pPr>
              <w:spacing w:before="20" w:after="20"/>
              <w:rPr>
                <w:noProof/>
                <w:sz w:val="18"/>
              </w:rPr>
            </w:pPr>
          </w:p>
          <w:p>
            <w:pPr>
              <w:spacing w:after="60"/>
              <w:rPr>
                <w:noProof/>
              </w:rPr>
            </w:pPr>
            <w:r>
              <w:rPr>
                <w:noProof/>
              </w:rPr>
              <w:t>04 02 61 – Eiropas Sociālais fonds – Pārejas reģioni – Mērķis “Investīcijas izaugsmei un nodarbinātībai”</w:t>
            </w:r>
          </w:p>
          <w:p>
            <w:pPr>
              <w:spacing w:before="20" w:after="20"/>
              <w:rPr>
                <w:noProof/>
                <w:sz w:val="18"/>
              </w:rPr>
            </w:pPr>
          </w:p>
          <w:p>
            <w:pPr>
              <w:spacing w:after="60"/>
              <w:rPr>
                <w:noProof/>
              </w:rPr>
            </w:pPr>
            <w:r>
              <w:rPr>
                <w:noProof/>
              </w:rPr>
              <w:t xml:space="preserve">04 02 62 – Eiropas Sociālais fonds – Attīstītākie reģioni – Mērķis “Investīcijas izaugsmei un nodarbinātībai” </w:t>
            </w:r>
          </w:p>
          <w:p>
            <w:pPr>
              <w:spacing w:after="60"/>
              <w:rPr>
                <w:noProof/>
              </w:rPr>
            </w:pPr>
            <w:r>
              <w:rPr>
                <w:noProof/>
              </w:rPr>
              <w:t>04 02 64 – Jaunatnes nodarbinātības iniciatīva (JNI)</w:t>
            </w:r>
          </w:p>
          <w:p>
            <w:pPr>
              <w:spacing w:before="20" w:after="20"/>
              <w:rPr>
                <w:noProof/>
                <w:sz w:val="18"/>
              </w:rPr>
            </w:pPr>
          </w:p>
          <w:p>
            <w:pPr>
              <w:spacing w:after="60"/>
              <w:rPr>
                <w:noProof/>
              </w:rPr>
            </w:pPr>
            <w:r>
              <w:rPr>
                <w:noProof/>
              </w:rPr>
              <w:t xml:space="preserve">13 03 60 – Eiropas Reģionālās attīstības fonds (ERAF) – Mazāk attīstīti reģioni – Mērķis “Investīcijas izaugsmei un nodarbinātībai” </w:t>
            </w:r>
          </w:p>
          <w:p>
            <w:pPr>
              <w:spacing w:before="20" w:after="20"/>
              <w:rPr>
                <w:noProof/>
                <w:sz w:val="18"/>
              </w:rPr>
            </w:pPr>
          </w:p>
          <w:p>
            <w:pPr>
              <w:spacing w:after="60"/>
              <w:rPr>
                <w:noProof/>
              </w:rPr>
            </w:pPr>
            <w:r>
              <w:rPr>
                <w:noProof/>
              </w:rPr>
              <w:t xml:space="preserve">13 03 61 – Eiropas Reģionālās attīstības fonds (ERAF) – Pārejas reģioni – Mērķis “Investīcijas izaugsmei un nodarbinātībai” </w:t>
            </w:r>
          </w:p>
          <w:p>
            <w:pPr>
              <w:spacing w:after="60"/>
              <w:rPr>
                <w:noProof/>
              </w:rPr>
            </w:pPr>
            <w:r>
              <w:rPr>
                <w:noProof/>
              </w:rPr>
              <w:t xml:space="preserve">13 03 62 – Eiropas Reģionālās attīstības fonds (ERAF) – Attīstītākie reģioni – Mērķis “Investīcijas izaugsmei un nodarbinātībai” </w:t>
            </w:r>
          </w:p>
          <w:p>
            <w:pPr>
              <w:spacing w:before="20" w:after="20"/>
              <w:rPr>
                <w:noProof/>
                <w:sz w:val="18"/>
              </w:rPr>
            </w:pPr>
          </w:p>
          <w:p>
            <w:pPr>
              <w:spacing w:after="60"/>
              <w:rPr>
                <w:noProof/>
                <w:sz w:val="18"/>
              </w:rPr>
            </w:pPr>
            <w:r>
              <w:rPr>
                <w:noProof/>
              </w:rPr>
              <w:t>13 04 60 – Kohēzijas fonds – Mērķis “Investīcijas izaugsmei un nodarbinātībai”</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Maksājumi </w:t>
            </w:r>
          </w:p>
          <w:p>
            <w:pPr>
              <w:spacing w:after="60"/>
              <w:rPr>
                <w:noProof/>
              </w:rPr>
            </w:pPr>
            <w:r>
              <w:rPr>
                <w:noProof/>
              </w:rPr>
              <w:t>04 02 60 – Eiropas Sociālais fonds – Mazāk attīstīti reģioni – Mērķis “Investīcijas izaugsmei un nodarbinātībai”</w:t>
            </w:r>
          </w:p>
          <w:p>
            <w:pPr>
              <w:spacing w:after="60"/>
              <w:rPr>
                <w:noProof/>
              </w:rPr>
            </w:pPr>
          </w:p>
          <w:p>
            <w:pPr>
              <w:spacing w:after="60"/>
              <w:rPr>
                <w:noProof/>
              </w:rPr>
            </w:pPr>
            <w:r>
              <w:rPr>
                <w:noProof/>
              </w:rPr>
              <w:t>04 02 61 – Eiropas Sociālais fonds – Pārejas reģioni – Mērķis “Investīcijas izaugsmei un nodarbinātībai”</w:t>
            </w:r>
          </w:p>
          <w:p>
            <w:pPr>
              <w:spacing w:after="60"/>
              <w:rPr>
                <w:noProof/>
              </w:rPr>
            </w:pPr>
          </w:p>
          <w:p>
            <w:pPr>
              <w:spacing w:after="60"/>
              <w:rPr>
                <w:noProof/>
              </w:rPr>
            </w:pPr>
            <w:r>
              <w:rPr>
                <w:noProof/>
              </w:rPr>
              <w:t xml:space="preserve">04 02 62 – Eiropas Sociālais fonds – Attīstītākie reģioni – Mērķis “Investīcijas izaugsmei un nodarbinātībai” </w:t>
            </w:r>
          </w:p>
          <w:p>
            <w:pPr>
              <w:spacing w:after="60"/>
              <w:rPr>
                <w:noProof/>
              </w:rPr>
            </w:pPr>
          </w:p>
          <w:p>
            <w:pPr>
              <w:spacing w:after="60"/>
              <w:rPr>
                <w:noProof/>
              </w:rPr>
            </w:pPr>
            <w:r>
              <w:rPr>
                <w:noProof/>
              </w:rPr>
              <w:t>04 02 64 – Jaunatnes nodarbinātības iniciatīva (JNI)</w:t>
            </w:r>
          </w:p>
          <w:p>
            <w:pPr>
              <w:spacing w:after="60"/>
              <w:rPr>
                <w:noProof/>
              </w:rPr>
            </w:pPr>
          </w:p>
          <w:p>
            <w:pPr>
              <w:spacing w:after="60"/>
              <w:rPr>
                <w:noProof/>
              </w:rPr>
            </w:pPr>
            <w:r>
              <w:rPr>
                <w:noProof/>
              </w:rPr>
              <w:t xml:space="preserve"> 13 03 60 – Eiropas Reģionālās attīstības fonds (ERAF) – Mazāk attīstīti reģioni – Mērķis “Investīcijas izaugsmei un nodarbinātībai” </w:t>
            </w:r>
          </w:p>
          <w:p>
            <w:pPr>
              <w:spacing w:after="60"/>
              <w:rPr>
                <w:noProof/>
              </w:rPr>
            </w:pPr>
          </w:p>
          <w:p>
            <w:pPr>
              <w:spacing w:after="60"/>
              <w:rPr>
                <w:noProof/>
              </w:rPr>
            </w:pPr>
            <w:r>
              <w:rPr>
                <w:noProof/>
              </w:rPr>
              <w:t xml:space="preserve">13 03 61 – Eiropas Reģionālās attīstības fonds (ERAF) – Pārejas reģioni – Mērķis “Investīcijas izaugsmei un nodarbinātībai” </w:t>
            </w:r>
          </w:p>
          <w:p>
            <w:pPr>
              <w:spacing w:after="60"/>
              <w:rPr>
                <w:noProof/>
              </w:rPr>
            </w:pPr>
          </w:p>
          <w:p>
            <w:pPr>
              <w:spacing w:after="60"/>
              <w:rPr>
                <w:noProof/>
              </w:rPr>
            </w:pPr>
            <w:r>
              <w:rPr>
                <w:noProof/>
              </w:rPr>
              <w:t xml:space="preserve">13 03 62 – Eiropas Reģionālās attīstības fonds (ERAF) – Attīstītākie reģioni – Mērķis “Investīcijas izaugsmei un nodarbinātībai” </w:t>
            </w:r>
          </w:p>
          <w:p>
            <w:pPr>
              <w:spacing w:after="60"/>
              <w:rPr>
                <w:noProof/>
              </w:rPr>
            </w:pPr>
          </w:p>
          <w:p>
            <w:pPr>
              <w:spacing w:after="60"/>
              <w:rPr>
                <w:bCs/>
                <w:iCs/>
                <w:noProof/>
              </w:rPr>
            </w:pPr>
            <w:r>
              <w:rPr>
                <w:noProof/>
              </w:rPr>
              <w:t>13 03 63 – Eiropas Reģionālās attīstības fonds (ERAF) – Papildu piešķīrumi tālākajiem reģioniem un mazapdzīvotiem reģioniem – Mērķis “Investīcijas izaugsmei un nodarbinātībai”</w:t>
            </w:r>
          </w:p>
          <w:p>
            <w:pPr>
              <w:spacing w:after="60"/>
              <w:rPr>
                <w:bCs/>
                <w:iCs/>
                <w:noProof/>
              </w:rPr>
            </w:pPr>
          </w:p>
          <w:p>
            <w:pPr>
              <w:spacing w:after="60"/>
              <w:rPr>
                <w:bCs/>
                <w:iCs/>
                <w:noProof/>
              </w:rPr>
            </w:pPr>
            <w:r>
              <w:rPr>
                <w:noProof/>
              </w:rPr>
              <w:t>13 03 64 01 – Eiropas Reģionālās attīstības fonds (ERAF) – Eiropas teritoriālā sadarbība</w:t>
            </w:r>
          </w:p>
          <w:p>
            <w:pPr>
              <w:spacing w:after="60"/>
              <w:rPr>
                <w:bCs/>
                <w:iCs/>
                <w:noProof/>
              </w:rPr>
            </w:pPr>
          </w:p>
          <w:p>
            <w:pPr>
              <w:spacing w:after="60"/>
              <w:rPr>
                <w:noProof/>
                <w:sz w:val="18"/>
              </w:rPr>
            </w:pPr>
            <w:r>
              <w:rPr>
                <w:noProof/>
              </w:rPr>
              <w:t>13 04 60 – Kohēzijas fonds – Mērķis “Investīcijas izaugsmei un nodarbinātībai”</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220 000 000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275"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276"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349 000 000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518"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885 000 000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21"/>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Neattiecas</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KOPĀ</w:t>
            </w:r>
            <w:r>
              <w:rPr>
                <w:noProof/>
              </w:rPr>
              <w:t xml:space="preserve"> EMPL, REGIO </w:t>
            </w:r>
            <w:r>
              <w:rPr>
                <w:b/>
                <w:noProof/>
              </w:rPr>
              <w:t>ĢD</w:t>
            </w:r>
            <w:r>
              <w:rPr>
                <w:noProof/>
              </w:rPr>
              <w:br/>
              <w:t xml:space="preserve">apropriācijas </w:t>
            </w:r>
          </w:p>
        </w:tc>
        <w:tc>
          <w:tcPr>
            <w:tcW w:w="3197" w:type="dxa"/>
            <w:gridSpan w:val="2"/>
            <w:vAlign w:val="center"/>
          </w:tcPr>
          <w:p>
            <w:pPr>
              <w:rPr>
                <w:noProof/>
                <w:sz w:val="18"/>
              </w:rPr>
            </w:pPr>
            <w:r>
              <w:rPr>
                <w:noProof/>
                <w:sz w:val="18"/>
              </w:rPr>
              <w:t>Saistības</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1 626 162 416</w:t>
            </w:r>
          </w:p>
        </w:tc>
        <w:tc>
          <w:tcPr>
            <w:tcW w:w="1276" w:type="dxa"/>
            <w:vAlign w:val="center"/>
          </w:tcPr>
          <w:p>
            <w:pPr>
              <w:spacing w:before="20" w:after="20"/>
              <w:jc w:val="right"/>
              <w:rPr>
                <w:noProof/>
                <w:sz w:val="20"/>
              </w:rPr>
            </w:pPr>
            <w:r>
              <w:rPr>
                <w:noProof/>
                <w:sz w:val="20"/>
              </w:rPr>
              <w:t>1 382 019 001</w:t>
            </w:r>
          </w:p>
        </w:tc>
        <w:tc>
          <w:tcPr>
            <w:tcW w:w="1275" w:type="dxa"/>
            <w:vAlign w:val="center"/>
          </w:tcPr>
          <w:p>
            <w:pPr>
              <w:spacing w:before="20" w:after="20"/>
              <w:jc w:val="right"/>
              <w:rPr>
                <w:noProof/>
                <w:sz w:val="20"/>
              </w:rPr>
            </w:pPr>
            <w:r>
              <w:rPr>
                <w:noProof/>
                <w:sz w:val="20"/>
              </w:rPr>
              <w:t>1 404 992 715</w:t>
            </w:r>
          </w:p>
        </w:tc>
        <w:tc>
          <w:tcPr>
            <w:tcW w:w="1276" w:type="dxa"/>
            <w:vAlign w:val="center"/>
          </w:tcPr>
          <w:p>
            <w:pPr>
              <w:spacing w:before="20" w:after="20"/>
              <w:jc w:val="right"/>
              <w:rPr>
                <w:b/>
                <w:noProof/>
                <w:sz w:val="20"/>
              </w:rPr>
            </w:pPr>
            <w:r>
              <w:rPr>
                <w:noProof/>
                <w:sz w:val="20"/>
              </w:rPr>
              <w:t>1 428 425 901</w:t>
            </w:r>
          </w:p>
        </w:tc>
        <w:tc>
          <w:tcPr>
            <w:tcW w:w="1518" w:type="dxa"/>
            <w:vAlign w:val="center"/>
          </w:tcPr>
          <w:p>
            <w:pPr>
              <w:spacing w:before="20" w:after="20"/>
              <w:jc w:val="right"/>
              <w:rPr>
                <w:b/>
                <w:noProof/>
                <w:sz w:val="20"/>
              </w:rPr>
            </w:pPr>
            <w:r>
              <w:rPr>
                <w:b/>
                <w:noProof/>
                <w:sz w:val="20"/>
              </w:rPr>
              <w:t>5 841 600 033</w:t>
            </w:r>
          </w:p>
        </w:tc>
      </w:tr>
      <w:tr>
        <w:tc>
          <w:tcPr>
            <w:tcW w:w="2203" w:type="dxa"/>
            <w:vMerge/>
          </w:tcPr>
          <w:p>
            <w:pPr>
              <w:rPr>
                <w:noProof/>
                <w:sz w:val="20"/>
              </w:rPr>
            </w:pPr>
          </w:p>
        </w:tc>
        <w:tc>
          <w:tcPr>
            <w:tcW w:w="3197" w:type="dxa"/>
            <w:gridSpan w:val="2"/>
            <w:vAlign w:val="center"/>
          </w:tcPr>
          <w:p>
            <w:pPr>
              <w:rPr>
                <w:noProof/>
                <w:sz w:val="18"/>
              </w:rPr>
            </w:pPr>
            <w:r>
              <w:rPr>
                <w:noProof/>
                <w:sz w:val="18"/>
              </w:rPr>
              <w:t>Maksājumi</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85 000 000</w:t>
            </w:r>
          </w:p>
        </w:tc>
        <w:tc>
          <w:tcPr>
            <w:tcW w:w="1276" w:type="dxa"/>
            <w:vAlign w:val="center"/>
          </w:tcPr>
          <w:p>
            <w:pPr>
              <w:spacing w:before="20" w:after="20"/>
              <w:jc w:val="right"/>
              <w:rPr>
                <w:noProof/>
                <w:sz w:val="20"/>
              </w:rPr>
            </w:pPr>
            <w:r>
              <w:rPr>
                <w:noProof/>
                <w:sz w:val="20"/>
              </w:rPr>
              <w:t>339 985 361</w:t>
            </w:r>
          </w:p>
        </w:tc>
        <w:tc>
          <w:tcPr>
            <w:tcW w:w="1275" w:type="dxa"/>
            <w:vAlign w:val="center"/>
          </w:tcPr>
          <w:p>
            <w:pPr>
              <w:spacing w:before="20" w:after="20"/>
              <w:jc w:val="right"/>
              <w:rPr>
                <w:noProof/>
                <w:sz w:val="20"/>
              </w:rPr>
            </w:pPr>
            <w:r>
              <w:rPr>
                <w:noProof/>
                <w:sz w:val="20"/>
              </w:rPr>
              <w:t>472 479 242</w:t>
            </w:r>
          </w:p>
        </w:tc>
        <w:tc>
          <w:tcPr>
            <w:tcW w:w="1276" w:type="dxa"/>
            <w:vAlign w:val="center"/>
          </w:tcPr>
          <w:p>
            <w:pPr>
              <w:spacing w:before="20" w:after="20"/>
              <w:jc w:val="right"/>
              <w:rPr>
                <w:noProof/>
                <w:sz w:val="20"/>
              </w:rPr>
            </w:pPr>
            <w:r>
              <w:rPr>
                <w:noProof/>
                <w:sz w:val="20"/>
              </w:rPr>
              <w:t>863 846 276</w:t>
            </w:r>
          </w:p>
        </w:tc>
        <w:tc>
          <w:tcPr>
            <w:tcW w:w="1518" w:type="dxa"/>
            <w:vAlign w:val="center"/>
          </w:tcPr>
          <w:p>
            <w:pPr>
              <w:spacing w:before="20" w:after="20"/>
              <w:jc w:val="center"/>
              <w:rPr>
                <w:b/>
                <w:noProof/>
                <w:sz w:val="20"/>
              </w:rPr>
            </w:pPr>
            <w:r>
              <w:rPr>
                <w:b/>
                <w:noProof/>
                <w:sz w:val="20"/>
              </w:rPr>
              <w:t>1 761 310 878</w:t>
            </w: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 xml:space="preserve">KOPĀ </w:t>
            </w:r>
            <w:r>
              <w:rPr>
                <w:noProof/>
              </w:rPr>
              <w:t>daudzgadu finanšu shēmas</w:t>
            </w:r>
            <w:r>
              <w:rPr>
                <w:noProof/>
              </w:rPr>
              <w:br/>
            </w:r>
            <w:r>
              <w:rPr>
                <w:b/>
                <w:noProof/>
              </w:rPr>
              <w:t>1. IZDEVUMU KATEGORIJAS</w:t>
            </w:r>
            <w:r>
              <w:rPr>
                <w:noProof/>
              </w:rPr>
              <w:br/>
            </w:r>
            <w:r>
              <w:rPr>
                <w:noProof/>
                <w:sz w:val="22"/>
              </w:rPr>
              <w:t>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KOPĀ darbības apropriācijas</w:t>
            </w:r>
          </w:p>
        </w:tc>
        <w:tc>
          <w:tcPr>
            <w:tcW w:w="1440" w:type="dxa"/>
            <w:tcBorders>
              <w:top w:val="single" w:sz="4" w:space="0" w:color="auto"/>
            </w:tcBorders>
            <w:vAlign w:val="center"/>
          </w:tcPr>
          <w:p>
            <w:pPr>
              <w:spacing w:beforeLines="20" w:before="48" w:afterLines="20" w:after="48"/>
              <w:rPr>
                <w:noProof/>
                <w:sz w:val="18"/>
              </w:rPr>
            </w:pPr>
            <w:r>
              <w:rPr>
                <w:noProof/>
                <w:sz w:val="18"/>
              </w:rPr>
              <w:t>Saistības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KOPĀ </w:t>
            </w:r>
            <w:r>
              <w:rPr>
                <w:noProof/>
              </w:rPr>
              <w:t>daudzgadu finanšu shēmas</w:t>
            </w:r>
            <w:r>
              <w:rPr>
                <w:noProof/>
              </w:rPr>
              <w:br/>
            </w:r>
            <w:r>
              <w:rPr>
                <w:b/>
                <w:noProof/>
              </w:rPr>
              <w:t>1.–4. IZDEVUMU KATEGORIJAS</w:t>
            </w:r>
            <w:r>
              <w:rPr>
                <w:noProof/>
              </w:rPr>
              <w:br/>
              <w:t>apropriācijas</w:t>
            </w:r>
            <w:r>
              <w:rPr>
                <w:noProof/>
              </w:rPr>
              <w:br/>
            </w:r>
            <w:r>
              <w:rPr>
                <w:noProof/>
                <w:sz w:val="20"/>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Maksājumi</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Daudzgadu finanšu shēmas izdevumu</w:t>
            </w:r>
            <w:r>
              <w:rPr>
                <w:noProof/>
              </w:rPr>
              <w:br/>
            </w:r>
            <w:r>
              <w:rPr>
                <w:b/>
                <w:noProof/>
              </w:rPr>
              <w:t xml:space="preserve">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“Administratīvie izdevumi”</w:t>
            </w:r>
          </w:p>
        </w:tc>
      </w:tr>
    </w:tbl>
    <w:p>
      <w:pPr>
        <w:jc w:val="right"/>
        <w:rPr>
          <w:noProof/>
          <w:sz w:val="20"/>
        </w:rPr>
      </w:pPr>
      <w:r>
        <w:rPr>
          <w:noProof/>
          <w:sz w:val="20"/>
        </w:rPr>
        <w:t>EUR miljonos (līdz 3 zīmēm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rPr>
              <w:t>N</w:t>
            </w:r>
            <w:r>
              <w:rPr>
                <w:noProof/>
              </w:rPr>
              <w:t xml:space="preserve"> </w:t>
            </w:r>
            <w:r>
              <w:rPr>
                <w:noProof/>
              </w:rPr>
              <w:br/>
              <w:t>gads</w:t>
            </w:r>
          </w:p>
        </w:tc>
        <w:tc>
          <w:tcPr>
            <w:tcW w:w="868" w:type="dxa"/>
            <w:vAlign w:val="center"/>
          </w:tcPr>
          <w:p>
            <w:pPr>
              <w:jc w:val="center"/>
              <w:rPr>
                <w:noProof/>
                <w:sz w:val="20"/>
              </w:rPr>
            </w:pPr>
            <w:r>
              <w:rPr>
                <w:b/>
                <w:noProof/>
                <w:sz w:val="20"/>
              </w:rPr>
              <w:t>N+1</w:t>
            </w:r>
            <w:r>
              <w:rPr>
                <w:b/>
                <w:noProof/>
                <w:sz w:val="20"/>
              </w:rPr>
              <w:br/>
            </w:r>
            <w:r>
              <w:rPr>
                <w:noProof/>
              </w:rPr>
              <w:t>gads</w:t>
            </w:r>
          </w:p>
        </w:tc>
        <w:tc>
          <w:tcPr>
            <w:tcW w:w="868" w:type="dxa"/>
            <w:vAlign w:val="center"/>
          </w:tcPr>
          <w:p>
            <w:pPr>
              <w:jc w:val="center"/>
              <w:rPr>
                <w:noProof/>
                <w:sz w:val="20"/>
              </w:rPr>
            </w:pPr>
            <w:r>
              <w:rPr>
                <w:b/>
                <w:noProof/>
                <w:sz w:val="20"/>
              </w:rPr>
              <w:t>N+2</w:t>
            </w:r>
            <w:r>
              <w:rPr>
                <w:b/>
                <w:noProof/>
                <w:sz w:val="20"/>
              </w:rPr>
              <w:br/>
            </w:r>
            <w:r>
              <w:rPr>
                <w:noProof/>
              </w:rPr>
              <w:t>gads</w:t>
            </w:r>
          </w:p>
        </w:tc>
        <w:tc>
          <w:tcPr>
            <w:tcW w:w="868" w:type="dxa"/>
            <w:vAlign w:val="center"/>
          </w:tcPr>
          <w:p>
            <w:pPr>
              <w:jc w:val="center"/>
              <w:rPr>
                <w:noProof/>
                <w:sz w:val="20"/>
              </w:rPr>
            </w:pPr>
            <w:r>
              <w:rPr>
                <w:b/>
                <w:noProof/>
                <w:sz w:val="20"/>
              </w:rPr>
              <w:t>N+3</w:t>
            </w:r>
            <w:r>
              <w:rPr>
                <w:b/>
                <w:noProof/>
                <w:sz w:val="20"/>
              </w:rPr>
              <w:br/>
            </w:r>
            <w:r>
              <w:rPr>
                <w:noProof/>
              </w:rPr>
              <w:t>gads</w:t>
            </w: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rPr>
            </w:pPr>
            <w:r>
              <w:rPr>
                <w:noProof/>
                <w:sz w:val="22"/>
              </w:rPr>
              <w:t xml:space="preserve">&lt;…….&gt; </w:t>
            </w:r>
            <w:r>
              <w:rPr>
                <w:noProof/>
              </w:rPr>
              <w:t>ĢD</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Cilvēkresursi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Pārējie administratīvie izdevumi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KOPĀ </w:t>
            </w:r>
            <w:r>
              <w:rPr>
                <w:noProof/>
                <w:sz w:val="22"/>
              </w:rPr>
              <w:t>&lt;…….&gt;</w:t>
            </w:r>
            <w:r>
              <w:rPr>
                <w:noProof/>
              </w:rPr>
              <w:t xml:space="preserve"> </w:t>
            </w:r>
            <w:r>
              <w:rPr>
                <w:b/>
                <w:noProof/>
              </w:rPr>
              <w:t>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KOPĀ</w:t>
            </w:r>
            <w:r>
              <w:rPr>
                <w:noProof/>
              </w:rPr>
              <w:t xml:space="preserve"> daudzgadu finanšu shēmas</w:t>
            </w:r>
            <w:r>
              <w:rPr>
                <w:noProof/>
              </w:rPr>
              <w:br/>
            </w:r>
            <w:r>
              <w:rPr>
                <w:b/>
                <w:noProof/>
              </w:rPr>
              <w:t>5. IZDEVUMU KATEGORIJAS</w:t>
            </w:r>
            <w:r>
              <w:rPr>
                <w:noProof/>
              </w:rPr>
              <w:br/>
            </w:r>
            <w:r>
              <w:rPr>
                <w:noProof/>
                <w:sz w:val="22"/>
              </w:rPr>
              <w:t>apropriācijas</w:t>
            </w:r>
            <w:r>
              <w:rPr>
                <w:b/>
                <w:noProof/>
                <w:sz w:val="22"/>
              </w:rPr>
              <w:t xml:space="preserve"> </w:t>
            </w:r>
          </w:p>
        </w:tc>
        <w:tc>
          <w:tcPr>
            <w:tcW w:w="2094" w:type="dxa"/>
            <w:vAlign w:val="center"/>
          </w:tcPr>
          <w:p>
            <w:pPr>
              <w:spacing w:before="40" w:after="40"/>
              <w:rPr>
                <w:noProof/>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miljonos (līdz 3 zīmēm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rPr>
              <w:t>N</w:t>
            </w:r>
            <w:r>
              <w:rPr>
                <w:rStyle w:val="FootnoteReference"/>
                <w:b/>
                <w:noProof/>
              </w:rPr>
              <w:footnoteReference w:id="22"/>
            </w:r>
            <w:r>
              <w:rPr>
                <w:noProof/>
              </w:rPr>
              <w:t xml:space="preserve"> </w:t>
            </w:r>
            <w:r>
              <w:rPr>
                <w:noProof/>
              </w:rPr>
              <w:br/>
              <w:t>gads</w:t>
            </w:r>
          </w:p>
        </w:tc>
        <w:tc>
          <w:tcPr>
            <w:tcW w:w="868" w:type="dxa"/>
            <w:vAlign w:val="center"/>
          </w:tcPr>
          <w:p>
            <w:pPr>
              <w:jc w:val="center"/>
              <w:rPr>
                <w:noProof/>
                <w:sz w:val="20"/>
              </w:rPr>
            </w:pPr>
            <w:r>
              <w:rPr>
                <w:b/>
                <w:noProof/>
                <w:sz w:val="20"/>
              </w:rPr>
              <w:t>N+1</w:t>
            </w:r>
            <w:r>
              <w:rPr>
                <w:b/>
                <w:noProof/>
                <w:sz w:val="20"/>
              </w:rPr>
              <w:br/>
            </w:r>
            <w:r>
              <w:rPr>
                <w:noProof/>
              </w:rPr>
              <w:t>gads</w:t>
            </w:r>
          </w:p>
        </w:tc>
        <w:tc>
          <w:tcPr>
            <w:tcW w:w="868" w:type="dxa"/>
            <w:vAlign w:val="center"/>
          </w:tcPr>
          <w:p>
            <w:pPr>
              <w:jc w:val="center"/>
              <w:rPr>
                <w:noProof/>
                <w:sz w:val="20"/>
              </w:rPr>
            </w:pPr>
            <w:r>
              <w:rPr>
                <w:b/>
                <w:noProof/>
                <w:sz w:val="20"/>
              </w:rPr>
              <w:t>N+2</w:t>
            </w:r>
            <w:r>
              <w:rPr>
                <w:b/>
                <w:noProof/>
                <w:sz w:val="20"/>
              </w:rPr>
              <w:br/>
            </w:r>
            <w:r>
              <w:rPr>
                <w:noProof/>
              </w:rPr>
              <w:t>gads</w:t>
            </w:r>
          </w:p>
        </w:tc>
        <w:tc>
          <w:tcPr>
            <w:tcW w:w="868" w:type="dxa"/>
            <w:vAlign w:val="center"/>
          </w:tcPr>
          <w:p>
            <w:pPr>
              <w:jc w:val="center"/>
              <w:rPr>
                <w:noProof/>
                <w:sz w:val="20"/>
              </w:rPr>
            </w:pPr>
            <w:r>
              <w:rPr>
                <w:b/>
                <w:noProof/>
                <w:sz w:val="20"/>
              </w:rPr>
              <w:t>N+3</w:t>
            </w:r>
            <w:r>
              <w:rPr>
                <w:b/>
                <w:noProof/>
                <w:sz w:val="20"/>
              </w:rPr>
              <w:br/>
            </w:r>
            <w:r>
              <w:rPr>
                <w:noProof/>
              </w:rPr>
              <w:t>gads</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sz w:val="22"/>
              </w:rPr>
              <w:t xml:space="preserve">KOPĀ </w:t>
            </w:r>
            <w:r>
              <w:rPr>
                <w:noProof/>
              </w:rPr>
              <w:t>daudzgadu finanšu shēmas</w:t>
            </w:r>
            <w:r>
              <w:rPr>
                <w:noProof/>
              </w:rPr>
              <w:br/>
            </w:r>
            <w:r>
              <w:rPr>
                <w:b/>
                <w:noProof/>
              </w:rPr>
              <w:t>1.–5. IZDEVUMU KATEGORIJAS</w:t>
            </w:r>
            <w:r>
              <w:rPr>
                <w:noProof/>
              </w:rPr>
              <w:br/>
            </w:r>
            <w:r>
              <w:rPr>
                <w:noProof/>
                <w:sz w:val="22"/>
              </w:rPr>
              <w:t>apropriācijas</w:t>
            </w:r>
            <w:r>
              <w:rPr>
                <w:b/>
                <w:noProof/>
                <w:sz w:val="22"/>
              </w:rPr>
              <w:t xml:space="preserve">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Paredzamā ietekme uz darbības apropriācijām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sym w:font="Wingdings" w:char="F078"/>
      </w:r>
      <w:r>
        <w:rPr>
          <w:noProof/>
        </w:rPr>
        <w:tab/>
        <w:t>Priekšlikums/iniciatīva paredz izmantot darbības apropriācijas šādā veidā:</w:t>
      </w:r>
    </w:p>
    <w:p>
      <w:pPr>
        <w:jc w:val="right"/>
        <w:rPr>
          <w:noProof/>
          <w:sz w:val="20"/>
        </w:rPr>
      </w:pPr>
      <w:r>
        <w:rPr>
          <w:noProof/>
          <w:sz w:val="20"/>
        </w:rPr>
        <w:t>Saistību apropriācijas EUR miljonos (līdz 3 zīmēm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rPr>
              <w:t>N</w:t>
            </w:r>
            <w:r>
              <w:rPr>
                <w:noProof/>
              </w:rPr>
              <w:t xml:space="preserve"> </w:t>
            </w:r>
            <w:r>
              <w:rPr>
                <w:noProof/>
              </w:rPr>
              <w:br/>
              <w:t>gads</w:t>
            </w:r>
          </w:p>
        </w:tc>
        <w:tc>
          <w:tcPr>
            <w:tcW w:w="1260" w:type="dxa"/>
            <w:gridSpan w:val="2"/>
            <w:vAlign w:val="center"/>
          </w:tcPr>
          <w:p>
            <w:pPr>
              <w:ind w:right="-29"/>
              <w:jc w:val="center"/>
              <w:rPr>
                <w:noProof/>
                <w:sz w:val="18"/>
                <w:szCs w:val="18"/>
              </w:rPr>
            </w:pPr>
            <w:r>
              <w:rPr>
                <w:b/>
                <w:noProof/>
                <w:sz w:val="18"/>
              </w:rPr>
              <w:t>N+1</w:t>
            </w:r>
            <w:r>
              <w:rPr>
                <w:b/>
                <w:noProof/>
                <w:sz w:val="18"/>
              </w:rPr>
              <w:br/>
            </w:r>
            <w:r>
              <w:rPr>
                <w:noProof/>
              </w:rPr>
              <w:t>gads</w:t>
            </w:r>
          </w:p>
        </w:tc>
        <w:tc>
          <w:tcPr>
            <w:tcW w:w="1440" w:type="dxa"/>
            <w:gridSpan w:val="2"/>
            <w:vAlign w:val="center"/>
          </w:tcPr>
          <w:p>
            <w:pPr>
              <w:ind w:right="-29"/>
              <w:jc w:val="center"/>
              <w:rPr>
                <w:noProof/>
                <w:sz w:val="18"/>
                <w:szCs w:val="18"/>
              </w:rPr>
            </w:pPr>
            <w:r>
              <w:rPr>
                <w:b/>
                <w:noProof/>
                <w:sz w:val="18"/>
              </w:rPr>
              <w:t>N+2</w:t>
            </w:r>
            <w:r>
              <w:rPr>
                <w:b/>
                <w:noProof/>
                <w:sz w:val="18"/>
              </w:rPr>
              <w:br/>
            </w:r>
            <w:r>
              <w:rPr>
                <w:noProof/>
              </w:rPr>
              <w:t>gads</w:t>
            </w:r>
          </w:p>
        </w:tc>
        <w:tc>
          <w:tcPr>
            <w:tcW w:w="1620" w:type="dxa"/>
            <w:gridSpan w:val="3"/>
            <w:vAlign w:val="center"/>
          </w:tcPr>
          <w:p>
            <w:pPr>
              <w:ind w:right="-29"/>
              <w:jc w:val="center"/>
              <w:rPr>
                <w:noProof/>
                <w:sz w:val="18"/>
                <w:szCs w:val="18"/>
              </w:rPr>
            </w:pPr>
            <w:r>
              <w:rPr>
                <w:b/>
                <w:noProof/>
                <w:sz w:val="18"/>
              </w:rPr>
              <w:t>N+3</w:t>
            </w:r>
            <w:r>
              <w:rPr>
                <w:b/>
                <w:noProof/>
                <w:sz w:val="18"/>
              </w:rPr>
              <w:br/>
            </w:r>
            <w:r>
              <w:rPr>
                <w:noProof/>
              </w:rPr>
              <w:t>gads</w:t>
            </w:r>
          </w:p>
        </w:tc>
        <w:tc>
          <w:tcPr>
            <w:tcW w:w="3600" w:type="dxa"/>
            <w:gridSpan w:val="6"/>
            <w:vAlign w:val="center"/>
          </w:tcPr>
          <w:p>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sz w:val="18"/>
                <w:szCs w:val="18"/>
              </w:rPr>
            </w:pPr>
            <w:r>
              <w:rPr>
                <w:b/>
                <w:noProof/>
                <w:sz w:val="18"/>
              </w:rPr>
              <w:t>KOPĀ</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REZULTĀTI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Rezultāta veids</w:t>
            </w:r>
            <w:r>
              <w:rPr>
                <w:rStyle w:val="FootnoteReference"/>
                <w:noProof/>
                <w:sz w:val="18"/>
              </w:rPr>
              <w:footnoteReference w:id="23"/>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2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Paredzamā ietekme uz administratīvajām apropriācijām</w:t>
      </w:r>
    </w:p>
    <w:p>
      <w:pPr>
        <w:pStyle w:val="ManualHeading4"/>
        <w:rPr>
          <w:noProof/>
        </w:rPr>
      </w:pPr>
      <w:r>
        <w:rPr>
          <w:noProof/>
        </w:rPr>
        <w:t>3.2.3.1.</w:t>
      </w:r>
      <w:r>
        <w:rPr>
          <w:noProof/>
        </w:rPr>
        <w:tab/>
        <w:t xml:space="preserve">Kopsavilkums </w:t>
      </w:r>
    </w:p>
    <w:p>
      <w:pPr>
        <w:pStyle w:val="ListDash1"/>
        <w:rPr>
          <w:noProof/>
        </w:rPr>
      </w:pPr>
      <w:r>
        <w:rPr>
          <w:noProof/>
        </w:rPr>
        <w:sym w:font="Wingdings" w:char="F078"/>
      </w:r>
      <w:r>
        <w:rPr>
          <w:noProof/>
        </w:rPr>
        <w:tab/>
        <w:t xml:space="preserve">Priekšlikums/iniciatīva neparedz izmantot administratīvās apropriācijas </w:t>
      </w:r>
    </w:p>
    <w:p>
      <w:pPr>
        <w:pStyle w:val="ListDash1"/>
        <w:rPr>
          <w:noProof/>
        </w:rPr>
      </w:pPr>
      <w:r>
        <w:rPr>
          <w:noProof/>
        </w:rPr>
        <w:sym w:font="Wingdings" w:char="F0A8"/>
      </w:r>
      <w:r>
        <w:rPr>
          <w:noProof/>
        </w:rPr>
        <w:tab/>
        <w:t>Priekšlikums/iniciatīva paredz izmantot administratīvās apropriācijas šādā veidā:</w:t>
      </w:r>
    </w:p>
    <w:p>
      <w:pPr>
        <w:rPr>
          <w:noProof/>
          <w:sz w:val="20"/>
        </w:rPr>
      </w:pPr>
      <w:r>
        <w:rPr>
          <w:noProof/>
          <w:sz w:val="20"/>
        </w:rPr>
        <w:t>EUR miljonos (līdz 3 zīmēm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rPr>
              <w:t>N</w:t>
            </w:r>
            <w:r>
              <w:rPr>
                <w:noProof/>
              </w:rPr>
              <w:br/>
            </w:r>
            <w:r>
              <w:rPr>
                <w:noProof/>
                <w:sz w:val="16"/>
              </w:rPr>
              <w:t>gads</w:t>
            </w:r>
            <w:r>
              <w:rPr>
                <w:rStyle w:val="FootnoteReference"/>
                <w:noProof/>
                <w:sz w:val="16"/>
              </w:rPr>
              <w:footnoteReference w:id="25"/>
            </w:r>
          </w:p>
        </w:tc>
        <w:tc>
          <w:tcPr>
            <w:tcW w:w="1080" w:type="dxa"/>
            <w:vAlign w:val="center"/>
          </w:tcPr>
          <w:p>
            <w:pPr>
              <w:spacing w:before="60" w:after="60" w:line="200" w:lineRule="exact"/>
              <w:jc w:val="center"/>
              <w:rPr>
                <w:noProof/>
                <w:sz w:val="16"/>
                <w:szCs w:val="16"/>
              </w:rPr>
            </w:pPr>
            <w:r>
              <w:rPr>
                <w:b/>
                <w:noProof/>
                <w:sz w:val="16"/>
              </w:rPr>
              <w:t>N+1</w:t>
            </w:r>
            <w:r>
              <w:rPr>
                <w:b/>
                <w:noProof/>
                <w:sz w:val="16"/>
              </w:rPr>
              <w:br/>
            </w:r>
            <w:r>
              <w:rPr>
                <w:noProof/>
              </w:rPr>
              <w:t>gads</w:t>
            </w:r>
          </w:p>
        </w:tc>
        <w:tc>
          <w:tcPr>
            <w:tcW w:w="1080" w:type="dxa"/>
            <w:vAlign w:val="center"/>
          </w:tcPr>
          <w:p>
            <w:pPr>
              <w:spacing w:before="60" w:after="60" w:line="200" w:lineRule="exact"/>
              <w:jc w:val="center"/>
              <w:rPr>
                <w:noProof/>
                <w:sz w:val="16"/>
                <w:szCs w:val="16"/>
              </w:rPr>
            </w:pPr>
            <w:r>
              <w:rPr>
                <w:b/>
                <w:noProof/>
                <w:sz w:val="16"/>
              </w:rPr>
              <w:t>N+2</w:t>
            </w:r>
            <w:r>
              <w:rPr>
                <w:b/>
                <w:noProof/>
                <w:sz w:val="16"/>
              </w:rPr>
              <w:br/>
            </w:r>
            <w:r>
              <w:rPr>
                <w:noProof/>
              </w:rPr>
              <w:t>gads</w:t>
            </w:r>
          </w:p>
        </w:tc>
        <w:tc>
          <w:tcPr>
            <w:tcW w:w="1080" w:type="dxa"/>
            <w:vAlign w:val="center"/>
          </w:tcPr>
          <w:p>
            <w:pPr>
              <w:spacing w:before="60" w:after="60" w:line="200" w:lineRule="exact"/>
              <w:jc w:val="center"/>
              <w:rPr>
                <w:noProof/>
                <w:sz w:val="16"/>
                <w:szCs w:val="16"/>
              </w:rPr>
            </w:pPr>
            <w:r>
              <w:rPr>
                <w:b/>
                <w:noProof/>
                <w:sz w:val="16"/>
              </w:rPr>
              <w:t>N+3</w:t>
            </w:r>
            <w:r>
              <w:rPr>
                <w:b/>
                <w:noProof/>
                <w:sz w:val="16"/>
              </w:rPr>
              <w:br/>
            </w:r>
            <w:r>
              <w:rPr>
                <w:noProof/>
              </w:rPr>
              <w:t>gads</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w:t>
            </w:r>
            <w:r>
              <w:rPr>
                <w:noProof/>
              </w:rPr>
              <w:br/>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 daudzgadu finanšu shēmas</w:t>
            </w:r>
            <w:r>
              <w:rPr>
                <w:noProof/>
              </w:rPr>
              <w:br/>
            </w:r>
            <w:r>
              <w:rPr>
                <w:b/>
                <w:noProof/>
                <w:sz w:val="16"/>
              </w:rPr>
              <w:t xml:space="preserve">5. IZDEVUMU 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w:t>
            </w:r>
            <w:r>
              <w:rPr>
                <w:noProof/>
              </w:rPr>
              <w:br/>
            </w:r>
            <w:r>
              <w:rPr>
                <w:b/>
                <w:noProof/>
                <w:sz w:val="16"/>
              </w:rPr>
              <w:t>5. IZDEVUMU KATEGORIJAS</w:t>
            </w:r>
            <w:r>
              <w:rPr>
                <w:rStyle w:val="FootnoteReference"/>
                <w:b/>
                <w:noProof/>
                <w:sz w:val="16"/>
              </w:rPr>
              <w:footnoteReference w:id="26"/>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w:t>
            </w:r>
            <w:r>
              <w:rPr>
                <w:noProof/>
              </w:rPr>
              <w:br/>
            </w:r>
            <w:r>
              <w:rPr>
                <w:noProof/>
              </w:rPr>
              <w:br/>
            </w:r>
            <w:r>
              <w:rPr>
                <w:noProof/>
                <w:sz w:val="16"/>
              </w:rPr>
              <w:t>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w:t>
            </w:r>
            <w:r>
              <w:rPr>
                <w:b/>
                <w:noProof/>
                <w:sz w:val="16"/>
              </w:rPr>
              <w:br/>
              <w:t>ārpus daudzgadu finanšu shēmas</w:t>
            </w:r>
            <w:r>
              <w:rPr>
                <w:noProof/>
              </w:rPr>
              <w:br/>
            </w:r>
            <w:r>
              <w:rPr>
                <w:b/>
                <w:noProof/>
                <w:sz w:val="16"/>
              </w:rPr>
              <w:t xml:space="preserve">5. IZDEVUMU 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r>
        <w:rPr>
          <w:noProof/>
        </w:rPr>
        <w:tab/>
      </w:r>
    </w:p>
    <w:p>
      <w:pPr>
        <w:pStyle w:val="ManualHeading4"/>
        <w:rPr>
          <w:bCs/>
          <w:noProof/>
          <w:szCs w:val="24"/>
        </w:rPr>
      </w:pPr>
      <w:r>
        <w:rPr>
          <w:noProof/>
        </w:rPr>
        <w:t>3.2.3.2.</w:t>
      </w:r>
      <w:r>
        <w:rPr>
          <w:noProof/>
        </w:rPr>
        <w:tab/>
        <w:t>Paredzamās vajadzības pēc cilvēkresursiem</w:t>
      </w:r>
    </w:p>
    <w:p>
      <w:pPr>
        <w:pStyle w:val="ListDash1"/>
        <w:rPr>
          <w:noProof/>
        </w:rPr>
      </w:pPr>
      <w:r>
        <w:rPr>
          <w:noProof/>
        </w:rPr>
        <w:sym w:font="Wingdings" w:char="F078"/>
      </w:r>
      <w:r>
        <w:rPr>
          <w:noProof/>
        </w:rPr>
        <w:tab/>
        <w:t xml:space="preserve">Priekšlikums/iniciatīva neparedz cilvēkresursu izmantošanu </w:t>
      </w:r>
    </w:p>
    <w:p>
      <w:pPr>
        <w:pStyle w:val="ListDash1"/>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b/>
                <w:noProof/>
              </w:rPr>
              <w:t>N</w:t>
            </w:r>
            <w:r>
              <w:rPr>
                <w:noProof/>
              </w:rPr>
              <w:t xml:space="preserve"> </w:t>
            </w:r>
            <w:r>
              <w:rPr>
                <w:noProof/>
              </w:rPr>
              <w:br/>
              <w:t>gads</w:t>
            </w:r>
          </w:p>
        </w:tc>
        <w:tc>
          <w:tcPr>
            <w:tcW w:w="318" w:type="pct"/>
            <w:shd w:val="clear" w:color="auto" w:fill="auto"/>
            <w:vAlign w:val="center"/>
          </w:tcPr>
          <w:p>
            <w:pPr>
              <w:spacing w:before="20" w:after="20"/>
              <w:jc w:val="center"/>
              <w:rPr>
                <w:noProof/>
                <w:sz w:val="16"/>
                <w:szCs w:val="16"/>
              </w:rPr>
            </w:pPr>
            <w:r>
              <w:rPr>
                <w:b/>
                <w:noProof/>
                <w:sz w:val="16"/>
              </w:rPr>
              <w:t>N+1</w:t>
            </w:r>
            <w:r>
              <w:rPr>
                <w:b/>
                <w:noProof/>
                <w:sz w:val="16"/>
              </w:rPr>
              <w:br/>
            </w:r>
            <w:r>
              <w:rPr>
                <w:noProof/>
              </w:rPr>
              <w:t>gads</w:t>
            </w:r>
          </w:p>
        </w:tc>
        <w:tc>
          <w:tcPr>
            <w:tcW w:w="1891" w:type="pct"/>
            <w:shd w:val="clear" w:color="auto" w:fill="auto"/>
            <w:vAlign w:val="center"/>
          </w:tcPr>
          <w:p>
            <w:pPr>
              <w:spacing w:before="20" w:after="20"/>
              <w:jc w:val="center"/>
              <w:rPr>
                <w:noProof/>
                <w:sz w:val="16"/>
                <w:szCs w:val="16"/>
              </w:rPr>
            </w:pPr>
            <w:r>
              <w:rPr>
                <w:b/>
                <w:noProof/>
                <w:sz w:val="16"/>
              </w:rPr>
              <w:t>N+2</w:t>
            </w:r>
            <w:r>
              <w:rPr>
                <w:noProof/>
                <w:sz w:val="16"/>
              </w:rPr>
              <w:t> gads</w:t>
            </w:r>
          </w:p>
        </w:tc>
        <w:tc>
          <w:tcPr>
            <w:tcW w:w="226" w:type="pct"/>
            <w:shd w:val="clear" w:color="auto" w:fill="auto"/>
            <w:vAlign w:val="center"/>
          </w:tcPr>
          <w:p>
            <w:pPr>
              <w:spacing w:before="20" w:after="20"/>
              <w:jc w:val="center"/>
              <w:rPr>
                <w:noProof/>
                <w:sz w:val="16"/>
                <w:szCs w:val="16"/>
              </w:rPr>
            </w:pPr>
            <w:r>
              <w:rPr>
                <w:b/>
                <w:noProof/>
                <w:sz w:val="16"/>
              </w:rPr>
              <w:t>N+3</w:t>
            </w:r>
            <w:r>
              <w:rPr>
                <w:noProof/>
                <w:sz w:val="16"/>
              </w:rPr>
              <w:t> gads</w:t>
            </w:r>
          </w:p>
        </w:tc>
        <w:tc>
          <w:tcPr>
            <w:tcW w:w="345" w:type="pct"/>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Štatu sarakstā ietvertās amata vietas (ierēdņi un pagaidu darbinieki)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Ārštata darbinieki (izsakot ar pilnslodzes ekvivalentu – </w:t>
            </w:r>
            <w:r>
              <w:rPr>
                <w:b/>
                <w:i/>
                <w:noProof/>
                <w:sz w:val="16"/>
              </w:rPr>
              <w:t>FTE</w:t>
            </w:r>
            <w:r>
              <w:rPr>
                <w:b/>
                <w:noProof/>
                <w:sz w:val="16"/>
              </w:rPr>
              <w:t>)</w:t>
            </w:r>
            <w:r>
              <w:rPr>
                <w:rStyle w:val="FootnoteReference"/>
                <w:b/>
                <w:noProof/>
                <w:sz w:val="16"/>
              </w:rPr>
              <w:footnoteReference w:id="27"/>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ko finansē no vispārīgajām apropriācijām)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CA</w:t>
            </w:r>
            <w:r>
              <w:rPr>
                <w:noProof/>
                <w:sz w:val="16"/>
              </w:rPr>
              <w:t xml:space="preserve">, </w:t>
            </w:r>
            <w:r>
              <w:rPr>
                <w:i/>
                <w:noProof/>
                <w:sz w:val="16"/>
              </w:rPr>
              <w:t>LA</w:t>
            </w:r>
            <w:r>
              <w:rPr>
                <w:noProof/>
                <w:sz w:val="16"/>
              </w:rPr>
              <w:t xml:space="preserve">, </w:t>
            </w:r>
            <w:r>
              <w:rPr>
                <w:i/>
                <w:noProof/>
                <w:sz w:val="16"/>
              </w:rPr>
              <w:t>SNE</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8"/>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Saderība ar kārtējo daudzgadu finanšu shēmu </w:t>
      </w:r>
    </w:p>
    <w:p>
      <w:pPr>
        <w:pStyle w:val="ListDash1"/>
        <w:rPr>
          <w:noProof/>
        </w:rPr>
      </w:pPr>
      <w:r>
        <w:rPr>
          <w:noProof/>
        </w:rPr>
        <w:sym w:font="Wingdings" w:char="F078"/>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ListDash1"/>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ManualHeading3"/>
        <w:rPr>
          <w:bCs/>
          <w:noProof/>
          <w:szCs w:val="24"/>
        </w:rPr>
      </w:pPr>
      <w:r>
        <w:rPr>
          <w:noProof/>
        </w:rPr>
        <w:t>3.2.5.</w:t>
      </w:r>
      <w:r>
        <w:rPr>
          <w:noProof/>
        </w:rPr>
        <w:tab/>
        <w:t xml:space="preserve">Trešo personu iemaksas </w:t>
      </w:r>
    </w:p>
    <w:p>
      <w:pPr>
        <w:pStyle w:val="ListDash1"/>
        <w:rPr>
          <w:noProof/>
        </w:rPr>
      </w:pPr>
      <w:r>
        <w:rPr>
          <w:noProof/>
        </w:rPr>
        <w:t xml:space="preserve">Priekšlikums/iniciatīva neparedz trešo personu līdzfinansējumu </w:t>
      </w:r>
    </w:p>
    <w:p>
      <w:pPr>
        <w:pStyle w:val="ListDash1"/>
        <w:rPr>
          <w:noProof/>
        </w:rPr>
      </w:pPr>
      <w:r>
        <w:rPr>
          <w:noProof/>
        </w:rPr>
        <w:t>Priekšlikums/iniciatīva paredz šādu līdzfinansējumu:</w:t>
      </w:r>
    </w:p>
    <w:p>
      <w:pPr>
        <w:jc w:val="right"/>
        <w:rPr>
          <w:noProof/>
          <w:sz w:val="20"/>
        </w:rPr>
      </w:pPr>
      <w:r>
        <w:rPr>
          <w:noProof/>
          <w:sz w:val="20"/>
        </w:rPr>
        <w:t>Apropriācijas EUR miljonos (līdz 3 zīmēm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rPr>
              <w:t>N</w:t>
            </w:r>
            <w:r>
              <w:rPr>
                <w:noProof/>
              </w:rPr>
              <w:t xml:space="preserve"> Gads</w:t>
            </w:r>
          </w:p>
        </w:tc>
        <w:tc>
          <w:tcPr>
            <w:tcW w:w="964" w:type="dxa"/>
            <w:vAlign w:val="center"/>
          </w:tcPr>
          <w:p>
            <w:pPr>
              <w:jc w:val="center"/>
              <w:rPr>
                <w:noProof/>
                <w:sz w:val="20"/>
              </w:rPr>
            </w:pPr>
            <w:r>
              <w:rPr>
                <w:b/>
                <w:noProof/>
                <w:sz w:val="20"/>
              </w:rPr>
              <w:t>N+1</w:t>
            </w:r>
            <w:r>
              <w:rPr>
                <w:b/>
                <w:noProof/>
                <w:sz w:val="20"/>
              </w:rPr>
              <w:br/>
            </w:r>
            <w:r>
              <w:rPr>
                <w:noProof/>
              </w:rPr>
              <w:t>gads</w:t>
            </w:r>
          </w:p>
        </w:tc>
        <w:tc>
          <w:tcPr>
            <w:tcW w:w="964" w:type="dxa"/>
            <w:vAlign w:val="center"/>
          </w:tcPr>
          <w:p>
            <w:pPr>
              <w:jc w:val="center"/>
              <w:rPr>
                <w:noProof/>
                <w:sz w:val="20"/>
              </w:rPr>
            </w:pPr>
            <w:r>
              <w:rPr>
                <w:b/>
                <w:noProof/>
                <w:sz w:val="20"/>
              </w:rPr>
              <w:t>N+2</w:t>
            </w:r>
            <w:r>
              <w:rPr>
                <w:b/>
                <w:noProof/>
                <w:sz w:val="20"/>
              </w:rPr>
              <w:br/>
            </w:r>
            <w:r>
              <w:rPr>
                <w:noProof/>
              </w:rPr>
              <w:t>gads</w:t>
            </w:r>
          </w:p>
        </w:tc>
        <w:tc>
          <w:tcPr>
            <w:tcW w:w="964" w:type="dxa"/>
            <w:vAlign w:val="center"/>
          </w:tcPr>
          <w:p>
            <w:pPr>
              <w:jc w:val="center"/>
              <w:rPr>
                <w:noProof/>
                <w:sz w:val="20"/>
              </w:rPr>
            </w:pPr>
            <w:r>
              <w:rPr>
                <w:b/>
                <w:noProof/>
                <w:sz w:val="20"/>
              </w:rPr>
              <w:t>N+3</w:t>
            </w:r>
            <w:r>
              <w:rPr>
                <w:b/>
                <w:noProof/>
                <w:sz w:val="20"/>
              </w:rPr>
              <w:br/>
            </w:r>
            <w:r>
              <w:rPr>
                <w:noProof/>
              </w:rPr>
              <w:t>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Paredzamā ietekme uz ieņēmumiem </w:t>
      </w:r>
    </w:p>
    <w:p>
      <w:pPr>
        <w:pStyle w:val="ListDash1"/>
        <w:rPr>
          <w:noProof/>
        </w:rPr>
      </w:pPr>
      <w:r>
        <w:rPr>
          <w:noProof/>
        </w:rPr>
        <w:sym w:font="Wingdings" w:char="F078"/>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tabs>
          <w:tab w:val="clear" w:pos="2126"/>
        </w:tabs>
        <w:rPr>
          <w:noProof/>
        </w:rPr>
      </w:pPr>
      <w:r>
        <w:rPr>
          <w:noProof/>
        </w:rPr>
        <w:sym w:font="Wingdings" w:char="F0A8"/>
      </w:r>
      <w:r>
        <w:rPr>
          <w:noProof/>
        </w:rPr>
        <w:tab/>
        <w:t xml:space="preserve">pašu resursus </w:t>
      </w:r>
    </w:p>
    <w:p>
      <w:pPr>
        <w:pStyle w:val="ListNumberLevel3"/>
        <w:tabs>
          <w:tab w:val="clear" w:pos="2126"/>
        </w:tabs>
        <w:rPr>
          <w:noProof/>
        </w:rPr>
      </w:pPr>
      <w:r>
        <w:rPr>
          <w:noProof/>
        </w:rPr>
        <w:sym w:font="Wingdings" w:char="F0A8"/>
      </w:r>
      <w:r>
        <w:rPr>
          <w:noProof/>
        </w:rPr>
        <w:tab/>
        <w:t xml:space="preserve">dažādus ieņēmumus </w:t>
      </w:r>
    </w:p>
    <w:p>
      <w:pPr>
        <w:jc w:val="right"/>
        <w:rPr>
          <w:i/>
          <w:noProof/>
          <w:sz w:val="20"/>
        </w:rPr>
      </w:pPr>
      <w:r>
        <w:rPr>
          <w:noProof/>
        </w:rPr>
        <w:t>EUR miljonos (līdz 3 zīmēm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2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rPr>
              <w:t>N</w:t>
            </w:r>
            <w:r>
              <w:rPr>
                <w:noProof/>
              </w:rPr>
              <w:t xml:space="preserve"> gads</w:t>
            </w:r>
          </w:p>
        </w:tc>
        <w:tc>
          <w:tcPr>
            <w:tcW w:w="900" w:type="dxa"/>
            <w:vAlign w:val="center"/>
          </w:tcPr>
          <w:p>
            <w:pPr>
              <w:jc w:val="center"/>
              <w:rPr>
                <w:noProof/>
                <w:sz w:val="18"/>
              </w:rPr>
            </w:pPr>
            <w:r>
              <w:rPr>
                <w:b/>
                <w:noProof/>
                <w:sz w:val="18"/>
              </w:rPr>
              <w:t>N+1</w:t>
            </w:r>
            <w:r>
              <w:rPr>
                <w:b/>
                <w:noProof/>
                <w:sz w:val="18"/>
              </w:rPr>
              <w:br/>
            </w:r>
            <w:r>
              <w:rPr>
                <w:noProof/>
              </w:rPr>
              <w:t>gads</w:t>
            </w:r>
          </w:p>
        </w:tc>
        <w:tc>
          <w:tcPr>
            <w:tcW w:w="900" w:type="dxa"/>
            <w:vAlign w:val="center"/>
          </w:tcPr>
          <w:p>
            <w:pPr>
              <w:jc w:val="center"/>
              <w:rPr>
                <w:noProof/>
                <w:sz w:val="18"/>
              </w:rPr>
            </w:pPr>
            <w:r>
              <w:rPr>
                <w:b/>
                <w:noProof/>
                <w:sz w:val="18"/>
              </w:rPr>
              <w:t>N+2</w:t>
            </w:r>
            <w:r>
              <w:rPr>
                <w:b/>
                <w:noProof/>
                <w:sz w:val="18"/>
              </w:rPr>
              <w:br/>
            </w:r>
            <w:r>
              <w:rPr>
                <w:noProof/>
              </w:rPr>
              <w:t>gads</w:t>
            </w:r>
          </w:p>
        </w:tc>
        <w:tc>
          <w:tcPr>
            <w:tcW w:w="1080" w:type="dxa"/>
            <w:vAlign w:val="center"/>
          </w:tcPr>
          <w:p>
            <w:pPr>
              <w:jc w:val="center"/>
              <w:rPr>
                <w:noProof/>
                <w:sz w:val="18"/>
              </w:rPr>
            </w:pPr>
            <w:r>
              <w:rPr>
                <w:b/>
                <w:noProof/>
                <w:sz w:val="18"/>
              </w:rPr>
              <w:t>N+3</w:t>
            </w:r>
            <w:r>
              <w:rPr>
                <w:b/>
                <w:noProof/>
                <w:sz w:val="18"/>
              </w:rPr>
              <w:br/>
            </w:r>
            <w:r>
              <w:rPr>
                <w:noProof/>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Norādīt, ar kādu metodi aprēķināta ietekme uz ieņēmumiem.</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Eiropas Parlamenta un Padomes 2016. gada 23. novembra Regula (ES) Nr. 2016/2135, ar kuru Regulu (ES) Nr. 1303/2013 groza attiecībā uz konkrētiem noteikumiem, kas saistīti ar finanšu pārvaldību konkrētām dalībvalstīm, kuras saskaras ar nopietnām grūtībām vai kurām draud šādas grūtības saistībā ar to finanšu stabilitāti (OV L 338, 13.12.2016., 34. lpp.).</w:t>
      </w:r>
    </w:p>
  </w:footnote>
  <w:footnote w:id="3">
    <w:p>
      <w:pPr>
        <w:pStyle w:val="FootnoteText"/>
      </w:pPr>
      <w:r>
        <w:rPr>
          <w:rStyle w:val="FootnoteReference"/>
        </w:rPr>
        <w:footnoteRef/>
      </w:r>
      <w:r>
        <w:tab/>
        <w:t>Komisijas 2016. gada 3. novembra Īstenošanas lēmums (ES) 2016/1941, ar kuru groza Īstenošanas lēmumu 2014/190/ES, ar ko nosaka kopējo resursu gada sadalījumu pa dalībvalstīm Eiropas Reģionālās attīstības fondam, Eiropas Sociālajam fondam un Kohēzijas fondam atbilstīgi mērķim “Investīcijas izaugsmei un nodarbinātībai” un mērķim “Eiropas teritoriālā sadarbība”, Jaunatnes nodarbinātības iniciatīvai atvēlētā īpašā piešķīruma resursu gada sadalījumu pa dalībvalstīm kopā ar atbalsttiesīgo reģionu sarakstu un summas, kas jāpārvieto no katras dalībvalsts Kohēzijas fonda un struktūrfondu piešķīrumiem uz Eiropas infrastruktūras savienošanas instrumentu un uz atbalstu vistrūcīgākajām personām, laikposmam no 2014. līdz 2020. gadam (izziņots ar dokumenta numuru C(2016) 6909) (OV L 299, 5.11.2016., 61. lpp.).</w:t>
      </w:r>
    </w:p>
  </w:footnote>
  <w:footnote w:id="4">
    <w:p>
      <w:pPr>
        <w:pStyle w:val="FootnoteText"/>
      </w:pPr>
      <w:r>
        <w:rPr>
          <w:rStyle w:val="FootnoteReference"/>
        </w:rPr>
        <w:footnoteRef/>
      </w:r>
      <w:r>
        <w:tab/>
        <w:t>Komisijas 2016. gada 27. oktobra Īstenošanas lēmums (ES) 2016/1916 par grozījumiem Īstenošanas lēmumā Nr. 2014/99/ES, kurā 2014. līdz 2020. gadam noteikts to reģionu saraksts, kuri ir tiesīgi saņemt finansējumu no Eiropas Reģionālās attīstības fonda un Eiropas Sociālā fonda, un to dalībvalstu saraksts, kuras ir tiesīgas saņemt finansējumu no Kohēzijas fonda (izziņots ar dokumenta numuru C(2016) 6820) (OV L 296, 1.11.2016., 15. lpp.)</w:t>
      </w:r>
    </w:p>
  </w:footnote>
  <w:footnote w:id="5">
    <w:p>
      <w:pPr>
        <w:pStyle w:val="FootnoteText"/>
      </w:pPr>
      <w:r>
        <w:rPr>
          <w:rStyle w:val="FootnoteReference"/>
        </w:rPr>
        <w:footnoteRef/>
      </w:r>
      <w:r>
        <w:tab/>
        <w:t>Padomes 2013. gada 2. decembra Regula (ES, Euratom) Nr. 1311/2013, ar ko nosaka daudzgadu finanšu shēmu 2014.–2020. gadam (OV L 347, 20.12.2013., 884. lpp.).</w:t>
      </w:r>
    </w:p>
  </w:footnote>
  <w:footnote w:id="6">
    <w:p>
      <w:pPr>
        <w:pStyle w:val="FootnoteText"/>
        <w:rPr>
          <w:lang w:val="nn-NO"/>
        </w:rPr>
      </w:pPr>
      <w:r>
        <w:rPr>
          <w:rStyle w:val="FootnoteReference"/>
        </w:rPr>
        <w:footnoteRef/>
      </w:r>
      <w:r>
        <w:rPr>
          <w:lang w:val="nn-NO"/>
        </w:rPr>
        <w:tab/>
        <w:t>OV C [...], [...], [...]. lpp.</w:t>
      </w:r>
    </w:p>
  </w:footnote>
  <w:footnote w:id="7">
    <w:p>
      <w:pPr>
        <w:pStyle w:val="FootnoteText"/>
        <w:rPr>
          <w:lang w:val="nn-NO"/>
        </w:rPr>
      </w:pPr>
      <w:r>
        <w:rPr>
          <w:rStyle w:val="FootnoteReference"/>
        </w:rPr>
        <w:footnoteRef/>
      </w:r>
      <w:r>
        <w:rPr>
          <w:lang w:val="nn-NO"/>
        </w:rPr>
        <w:tab/>
        <w:t>OV C [...], [...], [...]. lpp.</w:t>
      </w:r>
    </w:p>
  </w:footnote>
  <w:footnote w:id="8">
    <w:p>
      <w:pPr>
        <w:pStyle w:val="FootnoteText"/>
        <w:rPr>
          <w:lang w:val="nn-NO"/>
        </w:rPr>
      </w:pPr>
      <w:r>
        <w:rPr>
          <w:rStyle w:val="FootnoteReference"/>
        </w:rPr>
        <w:footnoteRef/>
      </w:r>
      <w:r>
        <w:rPr>
          <w:lang w:val="nn-NO"/>
        </w:rPr>
        <w:tab/>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pPr>
        <w:pStyle w:val="FootnoteText"/>
        <w:rPr>
          <w:lang w:val="nn-NO"/>
        </w:rPr>
      </w:pPr>
      <w:r>
        <w:rPr>
          <w:rStyle w:val="FootnoteReference"/>
        </w:rPr>
        <w:footnoteRef/>
      </w:r>
      <w:r>
        <w:rPr>
          <w:lang w:val="nn-NO"/>
        </w:rPr>
        <w:tab/>
        <w:t>Padomes 2013. gada 2. decembra Regula (ES, Euratom) Nr. 1311/2013, ar ko nosaka daudzgadu finanšu shēmu 2014.–2020. gadam (OV L 347, 20.12.2013., 884. lpp.).</w:t>
      </w:r>
    </w:p>
  </w:footnote>
  <w:footnote w:id="10">
    <w:p>
      <w:pPr>
        <w:pStyle w:val="FootnoteText"/>
        <w:rPr>
          <w:lang w:val="nn-NO"/>
        </w:rPr>
      </w:pPr>
      <w:r>
        <w:rPr>
          <w:rStyle w:val="FootnoteReference"/>
        </w:rPr>
        <w:footnoteRef/>
      </w:r>
      <w:r>
        <w:rPr>
          <w:lang w:val="nn-NO"/>
        </w:rPr>
        <w:tab/>
        <w:t>Komisijas 2016. gada 30. jūnija paziņojums Padomei un Eiropas Parlamentam “Tehniskās korekcijas 2017. gada finanšu shēmā atbilstoši NKI izmaiņām un kohēzijas politikas finansējuma korekcijas” (COM(2016) 311).</w:t>
      </w:r>
    </w:p>
  </w:footnote>
  <w:footnote w:id="11">
    <w:p>
      <w:pPr>
        <w:pStyle w:val="FootnoteText"/>
        <w:rPr>
          <w:lang w:val="nn-NO"/>
        </w:rPr>
      </w:pPr>
      <w:r>
        <w:rPr>
          <w:rStyle w:val="FootnoteReference"/>
        </w:rPr>
        <w:footnoteRef/>
      </w:r>
      <w:r>
        <w:rPr>
          <w:lang w:val="nn-NO"/>
        </w:rPr>
        <w:tab/>
        <w:t>Komisijas 2016. gada 3. novembra Īstenošanas lēmums (ES) 2016/1941, ar kuru groza Īstenošanas lēmumu 2014/190/ES, ar ko nosaka kopējo resursu gada sadalījumu pa dalībvalstīm Eiropas Reģionālās attīstības fondam, Eiropas Sociālajam fondam un Kohēzijas fondam atbilstīgi mērķim “Investīcijas izaugsmei un nodarbinātībai” un mērķim “Eiropas teritoriālā sadarbība”, Jaunatnes nodarbinātības iniciatīvai atvēlētā īpašā piešķīruma resursu gada sadalījumu pa dalībvalstīm kopā ar atbalsttiesīgo reģionu sarakstu un summas, kas jāpārvieto no katras dalībvalsts Kohēzijas fonda un struktūrfondu piešķīrumiem uz Eiropas infrastruktūras savienošanas instrumentu un uz atbalstu vistrūcīgākajām personām, laikposmam no 2014. līdz 2020. gadam (izziņots ar dokumenta numuru C(2016) 6909) (OV L 299, 5.11.2016., 61. lpp.).</w:t>
      </w:r>
    </w:p>
  </w:footnote>
  <w:footnote w:id="12">
    <w:p>
      <w:pPr>
        <w:pStyle w:val="FootnoteText"/>
        <w:rPr>
          <w:lang w:val="nn-NO"/>
        </w:rPr>
      </w:pPr>
      <w:r>
        <w:rPr>
          <w:rStyle w:val="FootnoteReference"/>
        </w:rPr>
        <w:footnoteRef/>
      </w:r>
      <w:r>
        <w:rPr>
          <w:lang w:val="nn-NO"/>
        </w:rPr>
        <w:tab/>
        <w:t>Padomes 2017. gada 20. jūnija Regula (ES, Euratom) 2017/1123, ar kuru groza Regulu (ES, Euratom) Nr. 1311/2013, ar ko nosaka daudzgadu finanšu shēmu 2014.–2020. gadam (OV L 163, 24.6.2017., 1. lpp.).</w:t>
      </w:r>
    </w:p>
  </w:footnote>
  <w:footnote w:id="13">
    <w:p>
      <w:pPr>
        <w:pStyle w:val="FootnoteText"/>
        <w:rPr>
          <w:lang w:val="nn-NO"/>
        </w:rPr>
      </w:pPr>
      <w:r>
        <w:rPr>
          <w:rStyle w:val="FootnoteReference"/>
        </w:rPr>
        <w:footnoteRef/>
      </w:r>
      <w:r>
        <w:rPr>
          <w:lang w:val="nn-NO"/>
        </w:rPr>
        <w:tab/>
        <w:t>Padomes 2015. gada 21. aprīļa Regula (ES, Euratom) 2015/623, ar kuru groza Regulu (ES, Euratom) Nr. 1311/2013, ar ko nosaka daudzgadu finanšu shēmu 2014.–2020. gadam (OV L 103, 22.4.2015., 1. lpp.).</w:t>
      </w:r>
    </w:p>
  </w:footnote>
  <w:footnote w:id="14">
    <w:p>
      <w:pPr>
        <w:pStyle w:val="FootnoteText"/>
        <w:rPr>
          <w:szCs w:val="24"/>
          <w:lang w:val="nn-NO"/>
        </w:rPr>
      </w:pPr>
      <w:r>
        <w:rPr>
          <w:rStyle w:val="FootnoteReference"/>
        </w:rPr>
        <w:footnoteRef/>
      </w:r>
      <w:r>
        <w:rPr>
          <w:lang w:val="nn-NO"/>
        </w:rPr>
        <w:tab/>
      </w:r>
      <w:r>
        <w:rPr>
          <w:i/>
          <w:lang w:val="nn-NO"/>
        </w:rPr>
        <w:t>ABM</w:t>
      </w:r>
      <w:r>
        <w:rPr>
          <w:lang w:val="nn-NO"/>
        </w:rPr>
        <w:t xml:space="preserve"> – budžeta līdzekļu vadība pa darbības jomām, </w:t>
      </w:r>
      <w:r>
        <w:rPr>
          <w:i/>
          <w:lang w:val="nn-NO"/>
        </w:rPr>
        <w:t>ABB</w:t>
      </w:r>
      <w:r>
        <w:rPr>
          <w:lang w:val="nn-NO"/>
        </w:rPr>
        <w:t> – budžeta līdzekļu sadale pa darbības jomām.</w:t>
      </w:r>
    </w:p>
  </w:footnote>
  <w:footnote w:id="15">
    <w:p>
      <w:pPr>
        <w:pStyle w:val="FootnoteText"/>
        <w:rPr>
          <w:szCs w:val="24"/>
          <w:lang w:val="nn-NO"/>
        </w:rPr>
      </w:pPr>
      <w:r>
        <w:rPr>
          <w:rStyle w:val="FootnoteReference"/>
        </w:rPr>
        <w:footnoteRef/>
      </w:r>
      <w:r>
        <w:rPr>
          <w:lang w:val="nn-NO"/>
        </w:rPr>
        <w:tab/>
        <w:t>Kā paredzēts Finanšu regulas 54. panta 2. punkta attiecīgi a) vai b) apakšpunktā.</w:t>
      </w:r>
    </w:p>
  </w:footnote>
  <w:footnote w:id="16">
    <w:p>
      <w:pPr>
        <w:pStyle w:val="FootnoteText"/>
        <w:rPr>
          <w:szCs w:val="24"/>
          <w:lang w:val="nn-NO"/>
        </w:rPr>
      </w:pPr>
      <w:r>
        <w:rPr>
          <w:rStyle w:val="FootnoteReference"/>
        </w:rPr>
        <w:footnoteRef/>
      </w:r>
      <w:r>
        <w:rPr>
          <w:lang w:val="nn-NO"/>
        </w:rPr>
        <w:tab/>
        <w:t xml:space="preserve">Skaidrojumus par pārvaldības veidiem un atsauces uz Finanšu regulu skatīt </w:t>
      </w:r>
      <w:r>
        <w:rPr>
          <w:i/>
          <w:lang w:val="nn-NO"/>
        </w:rPr>
        <w:t>BudgWeb</w:t>
      </w:r>
      <w:r>
        <w:rPr>
          <w:lang w:val="nn-NO"/>
        </w:rPr>
        <w:t xml:space="preserve"> tīmekļa vietnē: </w:t>
      </w:r>
      <w:hyperlink r:id="rId1">
        <w:r>
          <w:rPr>
            <w:rStyle w:val="Hyperlink"/>
            <w:sz w:val="18"/>
            <w:lang w:val="nn-NO"/>
          </w:rPr>
          <w:t>http://www.cc.cec/budg/man/budgmanag/budgmanag_en.html.</w:t>
        </w:r>
      </w:hyperlink>
    </w:p>
  </w:footnote>
  <w:footnote w:id="17">
    <w:p>
      <w:pPr>
        <w:pStyle w:val="FootnoteText"/>
        <w:rPr>
          <w:szCs w:val="24"/>
          <w:lang w:val="nn-NO"/>
        </w:rPr>
      </w:pPr>
      <w:r>
        <w:rPr>
          <w:rStyle w:val="FootnoteReference"/>
        </w:rPr>
        <w:footnoteRef/>
      </w:r>
      <w:r>
        <w:rPr>
          <w:lang w:val="nn-NO"/>
        </w:rPr>
        <w:tab/>
        <w:t>Dif. – diferencētās apropriācijas, nedif. – nediferencētās apropriācijas.</w:t>
      </w:r>
    </w:p>
  </w:footnote>
  <w:footnote w:id="18">
    <w:p>
      <w:pPr>
        <w:pStyle w:val="FootnoteText"/>
        <w:rPr>
          <w:szCs w:val="24"/>
          <w:lang w:val="nn-NO"/>
        </w:rPr>
      </w:pPr>
      <w:r>
        <w:rPr>
          <w:rStyle w:val="FootnoteReference"/>
        </w:rPr>
        <w:footnoteRef/>
      </w:r>
      <w:r>
        <w:rPr>
          <w:lang w:val="nn-NO"/>
        </w:rPr>
        <w:tab/>
        <w:t xml:space="preserve">EBTA – Eiropas Brīvās tirdzniecības asociācija. </w:t>
      </w:r>
    </w:p>
  </w:footnote>
  <w:footnote w:id="19">
    <w:p>
      <w:pPr>
        <w:pStyle w:val="FootnoteText"/>
        <w:rPr>
          <w:szCs w:val="24"/>
          <w:lang w:val="nn-NO"/>
        </w:rPr>
      </w:pPr>
      <w:r>
        <w:rPr>
          <w:rStyle w:val="FootnoteReference"/>
        </w:rPr>
        <w:footnoteRef/>
      </w:r>
      <w:r>
        <w:rPr>
          <w:lang w:val="nn-NO"/>
        </w:rPr>
        <w:tab/>
        <w:t>Kandidātvalstis un attiecīgā gadījumā potenciālās kandidātvalstis no Rietumbalkāniem.</w:t>
      </w:r>
    </w:p>
  </w:footnote>
  <w:footnote w:id="20">
    <w:p>
      <w:pPr>
        <w:pStyle w:val="FootnoteText"/>
        <w:rPr>
          <w:lang w:val="nn-NO"/>
        </w:rPr>
      </w:pPr>
      <w:r>
        <w:rPr>
          <w:rStyle w:val="FootnoteReference"/>
        </w:rPr>
        <w:footnoteRef/>
      </w:r>
      <w:r>
        <w:rPr>
          <w:lang w:val="nn-NO"/>
        </w:rPr>
        <w:tab/>
        <w:t>Saskaņā ar Regulas (ES) Nr. 1303/2013 136. pantu priekšfinansējumu attaisno (atļauj) ar JNI izdevumiem, kas deklarēti līdz 2018. gada 31. decembrim.</w:t>
      </w:r>
    </w:p>
  </w:footnote>
  <w:footnote w:id="21">
    <w:p>
      <w:pPr>
        <w:pStyle w:val="FootnoteText"/>
        <w:rPr>
          <w:szCs w:val="24"/>
          <w:lang w:val="nn-NO"/>
        </w:rPr>
      </w:pPr>
      <w:r>
        <w:rPr>
          <w:rStyle w:val="FootnoteReference"/>
        </w:rPr>
        <w:footnoteRef/>
      </w:r>
      <w:r>
        <w:rPr>
          <w:lang w:val="nn-NO"/>
        </w:rPr>
        <w:tab/>
        <w:t>Tehniskais un/vai administratīvais atbalsts un ES programmu un/vai darbību īstenošanas atbalsta izdevumi (kādreizējās “BA” pozīcijas), netiešā pētniecība, tiešā pētniecība.</w:t>
      </w:r>
    </w:p>
  </w:footnote>
  <w:footnote w:id="22">
    <w:p>
      <w:pPr>
        <w:pStyle w:val="FootnoteText"/>
        <w:rPr>
          <w:szCs w:val="24"/>
          <w:lang w:val="nn-NO"/>
        </w:rPr>
      </w:pPr>
      <w:r>
        <w:rPr>
          <w:rStyle w:val="FootnoteReference"/>
        </w:rPr>
        <w:footnoteRef/>
      </w:r>
      <w:r>
        <w:rPr>
          <w:lang w:val="nn-NO"/>
        </w:rPr>
        <w:tab/>
        <w:t>N gads ir gads, kurā priekšlikumu/iniciatīvu sāk īstenot.</w:t>
      </w:r>
    </w:p>
  </w:footnote>
  <w:footnote w:id="23">
    <w:p>
      <w:pPr>
        <w:pStyle w:val="FootnoteText"/>
        <w:rPr>
          <w:szCs w:val="24"/>
          <w:lang w:val="nn-NO"/>
        </w:rPr>
      </w:pPr>
      <w:r>
        <w:rPr>
          <w:rStyle w:val="FootnoteReference"/>
        </w:rPr>
        <w:footnoteRef/>
      </w:r>
      <w:r>
        <w:rPr>
          <w:lang w:val="nn-NO"/>
        </w:rPr>
        <w:tab/>
        <w:t>Rezultāti ir attiecīgie produkti vai pakalpojumi (piemēram, finansēto studentu apmaiņu skaits, uzbūvēto ceļu garums kilometros utt.).</w:t>
      </w:r>
    </w:p>
  </w:footnote>
  <w:footnote w:id="24">
    <w:p>
      <w:pPr>
        <w:pStyle w:val="FootnoteText"/>
        <w:rPr>
          <w:szCs w:val="24"/>
          <w:lang w:val="nn-NO"/>
        </w:rPr>
      </w:pPr>
      <w:r>
        <w:rPr>
          <w:rStyle w:val="FootnoteReference"/>
        </w:rPr>
        <w:footnoteRef/>
      </w:r>
      <w:r>
        <w:rPr>
          <w:lang w:val="nn-NO"/>
        </w:rPr>
        <w:tab/>
        <w:t xml:space="preserve">Konkrētie mērķi, kas norādīti 1.4.2. punktā. </w:t>
      </w:r>
    </w:p>
  </w:footnote>
  <w:footnote w:id="25">
    <w:p>
      <w:pPr>
        <w:pStyle w:val="FootnoteText"/>
        <w:rPr>
          <w:szCs w:val="24"/>
          <w:lang w:val="nn-NO"/>
        </w:rPr>
      </w:pPr>
      <w:r>
        <w:rPr>
          <w:rStyle w:val="FootnoteReference"/>
        </w:rPr>
        <w:footnoteRef/>
      </w:r>
      <w:r>
        <w:rPr>
          <w:lang w:val="nn-NO"/>
        </w:rPr>
        <w:tab/>
        <w:t>N gads ir gads, kurā priekšlikumu/iniciatīvu sāk īstenot.</w:t>
      </w:r>
    </w:p>
  </w:footnote>
  <w:footnote w:id="26">
    <w:p>
      <w:pPr>
        <w:pStyle w:val="FootnoteText"/>
        <w:rPr>
          <w:szCs w:val="24"/>
          <w:lang w:val="nn-NO"/>
        </w:rPr>
      </w:pPr>
      <w:r>
        <w:rPr>
          <w:rStyle w:val="FootnoteReference"/>
        </w:rPr>
        <w:footnoteRef/>
      </w:r>
      <w:r>
        <w:rPr>
          <w:lang w:val="nn-NO"/>
        </w:rPr>
        <w:tab/>
        <w:t>Tehniskais un/vai administratīvais atbalsts un ES programmu un/vai darbību īstenošanas atbalsta izdevumi (kādreizējās "</w:t>
      </w:r>
      <w:r>
        <w:rPr>
          <w:i/>
          <w:lang w:val="nn-NO"/>
        </w:rPr>
        <w:t>BA</w:t>
      </w:r>
      <w:r>
        <w:rPr>
          <w:lang w:val="nn-NO"/>
        </w:rPr>
        <w:t>" pozīcijas), netiešā pētniecība, tiešā pētniecība.</w:t>
      </w:r>
    </w:p>
  </w:footnote>
  <w:footnote w:id="27">
    <w:p>
      <w:pPr>
        <w:pStyle w:val="FootnoteText"/>
        <w:rPr>
          <w:szCs w:val="24"/>
          <w:lang w:val="nn-NO"/>
        </w:rPr>
      </w:pPr>
      <w:r>
        <w:rPr>
          <w:rStyle w:val="FootnoteReference"/>
        </w:rPr>
        <w:footnoteRef/>
      </w:r>
      <w:r>
        <w:rPr>
          <w:lang w:val="nn-NO"/>
        </w:rPr>
        <w:tab/>
      </w:r>
      <w:r>
        <w:rPr>
          <w:i/>
          <w:lang w:val="nn-NO"/>
        </w:rPr>
        <w:t>CA</w:t>
      </w:r>
      <w:r>
        <w:rPr>
          <w:lang w:val="nn-NO"/>
        </w:rPr>
        <w:t xml:space="preserve"> – līgumdarbinieki, </w:t>
      </w:r>
      <w:r>
        <w:rPr>
          <w:i/>
          <w:lang w:val="nn-NO"/>
        </w:rPr>
        <w:t>LA</w:t>
      </w:r>
      <w:r>
        <w:rPr>
          <w:lang w:val="nn-NO"/>
        </w:rPr>
        <w:t xml:space="preserve"> – vietējie darbinieki, </w:t>
      </w:r>
      <w:r>
        <w:rPr>
          <w:i/>
          <w:lang w:val="nn-NO"/>
        </w:rPr>
        <w:t>SNE</w:t>
      </w:r>
      <w:r>
        <w:rPr>
          <w:lang w:val="nn-NO"/>
        </w:rPr>
        <w:t xml:space="preserve"> – valstu norīkotie eksperti, </w:t>
      </w:r>
      <w:r>
        <w:rPr>
          <w:i/>
          <w:lang w:val="nn-NO"/>
        </w:rPr>
        <w:t>INT</w:t>
      </w:r>
      <w:r>
        <w:rPr>
          <w:lang w:val="nn-NO"/>
        </w:rPr>
        <w:t xml:space="preserve"> – aģentūras darbinieki, </w:t>
      </w:r>
      <w:r>
        <w:rPr>
          <w:i/>
          <w:lang w:val="nn-NO"/>
        </w:rPr>
        <w:t>JED</w:t>
      </w:r>
      <w:r>
        <w:rPr>
          <w:lang w:val="nn-NO"/>
        </w:rPr>
        <w:t xml:space="preserve"> – jaunākie eksperti delegācijās. </w:t>
      </w:r>
    </w:p>
  </w:footnote>
  <w:footnote w:id="28">
    <w:p>
      <w:pPr>
        <w:pStyle w:val="FootnoteText"/>
        <w:rPr>
          <w:szCs w:val="24"/>
          <w:lang w:val="nn-NO"/>
        </w:rPr>
      </w:pPr>
      <w:r>
        <w:rPr>
          <w:rStyle w:val="FootnoteReference"/>
        </w:rPr>
        <w:footnoteRef/>
      </w:r>
      <w:r>
        <w:rPr>
          <w:lang w:val="nn-NO"/>
        </w:rPr>
        <w:tab/>
        <w:t>Ārštata darbiniekiem paredzēto maksimālo summu finansē no darbības apropriācijām (kādreizējām “BA” pozīcijām).</w:t>
      </w:r>
    </w:p>
  </w:footnote>
  <w:footnote w:id="29">
    <w:p>
      <w:pPr>
        <w:pStyle w:val="FootnoteText"/>
        <w:rPr>
          <w:szCs w:val="24"/>
          <w:lang w:val="nn-NO"/>
        </w:rPr>
      </w:pPr>
      <w:r>
        <w:rPr>
          <w:rStyle w:val="FootnoteReference"/>
        </w:rPr>
        <w:footnoteRef/>
      </w:r>
      <w:r>
        <w:rPr>
          <w:lang w:val="nn-NO"/>
        </w:rP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 w:numId="32">
    <w:abstractNumId w:val="22"/>
  </w:num>
  <w:num w:numId="33">
    <w:abstractNumId w:val="14"/>
  </w:num>
  <w:num w:numId="34">
    <w:abstractNumId w:val="24"/>
  </w:num>
  <w:num w:numId="35">
    <w:abstractNumId w:val="12"/>
  </w:num>
  <w:num w:numId="36">
    <w:abstractNumId w:val="15"/>
  </w:num>
  <w:num w:numId="37">
    <w:abstractNumId w:val="10"/>
  </w:num>
  <w:num w:numId="38">
    <w:abstractNumId w:val="23"/>
  </w:num>
  <w:num w:numId="39">
    <w:abstractNumId w:val="9"/>
  </w:num>
  <w:num w:numId="40">
    <w:abstractNumId w:val="16"/>
  </w:num>
  <w:num w:numId="41">
    <w:abstractNumId w:val="20"/>
  </w:num>
  <w:num w:numId="42">
    <w:abstractNumId w:val="21"/>
  </w:num>
  <w:num w:numId="43">
    <w:abstractNumId w:val="11"/>
  </w:num>
  <w:num w:numId="44">
    <w:abstractNumId w:val="19"/>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09:44: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8AE0F90AB894FD6BEA3D15145275EC5"/>
    <w:docVar w:name="LW_CROSSREFERENCE" w:val="&lt;UNUSED&gt;"/>
    <w:docVar w:name="LW_DocType" w:val="COM"/>
    <w:docVar w:name="LW_EMISSION" w:val="5.10.2017"/>
    <w:docVar w:name="LW_EMISSION_ISODATE" w:val="2017-10-05"/>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47"/>
    <w:docVar w:name="LW_REF.II.NEW.CP_YEAR" w:val="2017"/>
    <w:docVar w:name="LW_REF.INST.NEW" w:val="COM"/>
    <w:docVar w:name="LW_REF.INST.NEW_ADOPTED" w:val="final"/>
    <w:docVar w:name="LW_REF.INST.NEW_TEXT" w:val="(2017) 565"/>
    <w:docVar w:name="LW_REF.INTERNE" w:val="&lt;UNUSED&gt;"/>
    <w:docVar w:name="LW_SOUS.TITRE.OBJ.CP" w:val="&lt;UNUSED&gt;"/>
    <w:docVar w:name="LW_STATUT.CP" w:val="Priek\u353?likums"/>
    <w:docVar w:name="LW_SUPERTITRE" w:val="&lt;UNUSED&gt;"/>
    <w:docVar w:name="LW_TITRE.OBJ.CP" w:val="ar ko Regulu (ES) Nr. 1303/2013 groza attiec\u299?b\u257? uz izmai\u326?\u257?m resursos, kas paredz\u275?ti ekonomiskajai, soci\u257?lajai un teritori\u257?lajai koh\u275?zijai, un resursos, kas paredz\u275?ti m\u275?r\u311?im \u8220?Invest\u299?cijas izaugsmei un nodarbin\u257?t\u299?bai\u8221? un m\u275?r\u311?im \u8220?Eiropas teritori\u257?l\u257? sadarb\u299?ba\u8221?"/>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506">
      <w:bodyDiv w:val="1"/>
      <w:marLeft w:val="0"/>
      <w:marRight w:val="0"/>
      <w:marTop w:val="0"/>
      <w:marBottom w:val="0"/>
      <w:divBdr>
        <w:top w:val="none" w:sz="0" w:space="0" w:color="auto"/>
        <w:left w:val="none" w:sz="0" w:space="0" w:color="auto"/>
        <w:bottom w:val="none" w:sz="0" w:space="0" w:color="auto"/>
        <w:right w:val="none" w:sz="0" w:space="0" w:color="auto"/>
      </w:divBdr>
      <w:divsChild>
        <w:div w:id="1453860283">
          <w:marLeft w:val="0"/>
          <w:marRight w:val="0"/>
          <w:marTop w:val="0"/>
          <w:marBottom w:val="0"/>
          <w:divBdr>
            <w:top w:val="none" w:sz="0" w:space="0" w:color="auto"/>
            <w:left w:val="none" w:sz="0" w:space="0" w:color="auto"/>
            <w:bottom w:val="none" w:sz="0" w:space="0" w:color="auto"/>
            <w:right w:val="none" w:sz="0" w:space="0" w:color="auto"/>
          </w:divBdr>
        </w:div>
      </w:divsChild>
    </w:div>
    <w:div w:id="227881525">
      <w:bodyDiv w:val="1"/>
      <w:marLeft w:val="0"/>
      <w:marRight w:val="0"/>
      <w:marTop w:val="0"/>
      <w:marBottom w:val="0"/>
      <w:divBdr>
        <w:top w:val="none" w:sz="0" w:space="0" w:color="auto"/>
        <w:left w:val="none" w:sz="0" w:space="0" w:color="auto"/>
        <w:bottom w:val="none" w:sz="0" w:space="0" w:color="auto"/>
        <w:right w:val="none" w:sz="0" w:space="0" w:color="auto"/>
      </w:divBdr>
      <w:divsChild>
        <w:div w:id="1778021271">
          <w:marLeft w:val="0"/>
          <w:marRight w:val="0"/>
          <w:marTop w:val="0"/>
          <w:marBottom w:val="0"/>
          <w:divBdr>
            <w:top w:val="none" w:sz="0" w:space="0" w:color="auto"/>
            <w:left w:val="none" w:sz="0" w:space="0" w:color="auto"/>
            <w:bottom w:val="none" w:sz="0" w:space="0" w:color="auto"/>
            <w:right w:val="none" w:sz="0" w:space="0" w:color="auto"/>
          </w:divBdr>
        </w:div>
      </w:divsChild>
    </w:div>
    <w:div w:id="448165128">
      <w:bodyDiv w:val="1"/>
      <w:marLeft w:val="0"/>
      <w:marRight w:val="0"/>
      <w:marTop w:val="0"/>
      <w:marBottom w:val="0"/>
      <w:divBdr>
        <w:top w:val="none" w:sz="0" w:space="0" w:color="auto"/>
        <w:left w:val="none" w:sz="0" w:space="0" w:color="auto"/>
        <w:bottom w:val="none" w:sz="0" w:space="0" w:color="auto"/>
        <w:right w:val="none" w:sz="0" w:space="0" w:color="auto"/>
      </w:divBdr>
      <w:divsChild>
        <w:div w:id="1971157902">
          <w:marLeft w:val="0"/>
          <w:marRight w:val="0"/>
          <w:marTop w:val="0"/>
          <w:marBottom w:val="0"/>
          <w:divBdr>
            <w:top w:val="none" w:sz="0" w:space="0" w:color="auto"/>
            <w:left w:val="none" w:sz="0" w:space="0" w:color="auto"/>
            <w:bottom w:val="none" w:sz="0" w:space="0" w:color="auto"/>
            <w:right w:val="none" w:sz="0" w:space="0" w:color="auto"/>
          </w:divBdr>
        </w:div>
      </w:divsChild>
    </w:div>
    <w:div w:id="676881867">
      <w:bodyDiv w:val="1"/>
      <w:marLeft w:val="0"/>
      <w:marRight w:val="0"/>
      <w:marTop w:val="0"/>
      <w:marBottom w:val="0"/>
      <w:divBdr>
        <w:top w:val="none" w:sz="0" w:space="0" w:color="auto"/>
        <w:left w:val="none" w:sz="0" w:space="0" w:color="auto"/>
        <w:bottom w:val="none" w:sz="0" w:space="0" w:color="auto"/>
        <w:right w:val="none" w:sz="0" w:space="0" w:color="auto"/>
      </w:divBdr>
      <w:divsChild>
        <w:div w:id="727843991">
          <w:marLeft w:val="0"/>
          <w:marRight w:val="0"/>
          <w:marTop w:val="0"/>
          <w:marBottom w:val="0"/>
          <w:divBdr>
            <w:top w:val="none" w:sz="0" w:space="0" w:color="auto"/>
            <w:left w:val="none" w:sz="0" w:space="0" w:color="auto"/>
            <w:bottom w:val="none" w:sz="0" w:space="0" w:color="auto"/>
            <w:right w:val="none" w:sz="0" w:space="0" w:color="auto"/>
          </w:divBdr>
        </w:div>
      </w:divsChild>
    </w:div>
    <w:div w:id="790781615">
      <w:bodyDiv w:val="1"/>
      <w:marLeft w:val="0"/>
      <w:marRight w:val="0"/>
      <w:marTop w:val="0"/>
      <w:marBottom w:val="0"/>
      <w:divBdr>
        <w:top w:val="none" w:sz="0" w:space="0" w:color="auto"/>
        <w:left w:val="none" w:sz="0" w:space="0" w:color="auto"/>
        <w:bottom w:val="none" w:sz="0" w:space="0" w:color="auto"/>
        <w:right w:val="none" w:sz="0" w:space="0" w:color="auto"/>
      </w:divBdr>
      <w:divsChild>
        <w:div w:id="941377238">
          <w:marLeft w:val="0"/>
          <w:marRight w:val="0"/>
          <w:marTop w:val="0"/>
          <w:marBottom w:val="0"/>
          <w:divBdr>
            <w:top w:val="none" w:sz="0" w:space="0" w:color="auto"/>
            <w:left w:val="none" w:sz="0" w:space="0" w:color="auto"/>
            <w:bottom w:val="none" w:sz="0" w:space="0" w:color="auto"/>
            <w:right w:val="none" w:sz="0" w:space="0" w:color="auto"/>
          </w:divBdr>
        </w:div>
      </w:divsChild>
    </w:div>
    <w:div w:id="986514969">
      <w:bodyDiv w:val="1"/>
      <w:marLeft w:val="0"/>
      <w:marRight w:val="0"/>
      <w:marTop w:val="0"/>
      <w:marBottom w:val="0"/>
      <w:divBdr>
        <w:top w:val="none" w:sz="0" w:space="0" w:color="auto"/>
        <w:left w:val="none" w:sz="0" w:space="0" w:color="auto"/>
        <w:bottom w:val="none" w:sz="0" w:space="0" w:color="auto"/>
        <w:right w:val="none" w:sz="0" w:space="0" w:color="auto"/>
      </w:divBdr>
      <w:divsChild>
        <w:div w:id="1066142732">
          <w:marLeft w:val="0"/>
          <w:marRight w:val="0"/>
          <w:marTop w:val="0"/>
          <w:marBottom w:val="0"/>
          <w:divBdr>
            <w:top w:val="none" w:sz="0" w:space="0" w:color="auto"/>
            <w:left w:val="none" w:sz="0" w:space="0" w:color="auto"/>
            <w:bottom w:val="none" w:sz="0" w:space="0" w:color="auto"/>
            <w:right w:val="none" w:sz="0" w:space="0" w:color="auto"/>
          </w:divBdr>
          <w:divsChild>
            <w:div w:id="776481600">
              <w:marLeft w:val="0"/>
              <w:marRight w:val="0"/>
              <w:marTop w:val="0"/>
              <w:marBottom w:val="0"/>
              <w:divBdr>
                <w:top w:val="none" w:sz="0" w:space="0" w:color="auto"/>
                <w:left w:val="none" w:sz="0" w:space="0" w:color="auto"/>
                <w:bottom w:val="none" w:sz="0" w:space="0" w:color="auto"/>
                <w:right w:val="none" w:sz="0" w:space="0" w:color="auto"/>
              </w:divBdr>
              <w:divsChild>
                <w:div w:id="786436942">
                  <w:marLeft w:val="0"/>
                  <w:marRight w:val="0"/>
                  <w:marTop w:val="0"/>
                  <w:marBottom w:val="0"/>
                  <w:divBdr>
                    <w:top w:val="none" w:sz="0" w:space="0" w:color="auto"/>
                    <w:left w:val="none" w:sz="0" w:space="0" w:color="auto"/>
                    <w:bottom w:val="none" w:sz="0" w:space="0" w:color="auto"/>
                    <w:right w:val="none" w:sz="0" w:space="0" w:color="auto"/>
                  </w:divBdr>
                  <w:divsChild>
                    <w:div w:id="347563230">
                      <w:marLeft w:val="1"/>
                      <w:marRight w:val="1"/>
                      <w:marTop w:val="0"/>
                      <w:marBottom w:val="0"/>
                      <w:divBdr>
                        <w:top w:val="none" w:sz="0" w:space="0" w:color="auto"/>
                        <w:left w:val="none" w:sz="0" w:space="0" w:color="auto"/>
                        <w:bottom w:val="none" w:sz="0" w:space="0" w:color="auto"/>
                        <w:right w:val="none" w:sz="0" w:space="0" w:color="auto"/>
                      </w:divBdr>
                      <w:divsChild>
                        <w:div w:id="1269923262">
                          <w:marLeft w:val="0"/>
                          <w:marRight w:val="0"/>
                          <w:marTop w:val="0"/>
                          <w:marBottom w:val="0"/>
                          <w:divBdr>
                            <w:top w:val="none" w:sz="0" w:space="0" w:color="auto"/>
                            <w:left w:val="none" w:sz="0" w:space="0" w:color="auto"/>
                            <w:bottom w:val="none" w:sz="0" w:space="0" w:color="auto"/>
                            <w:right w:val="none" w:sz="0" w:space="0" w:color="auto"/>
                          </w:divBdr>
                          <w:divsChild>
                            <w:div w:id="1612667735">
                              <w:marLeft w:val="0"/>
                              <w:marRight w:val="0"/>
                              <w:marTop w:val="0"/>
                              <w:marBottom w:val="360"/>
                              <w:divBdr>
                                <w:top w:val="none" w:sz="0" w:space="0" w:color="auto"/>
                                <w:left w:val="none" w:sz="0" w:space="0" w:color="auto"/>
                                <w:bottom w:val="none" w:sz="0" w:space="0" w:color="auto"/>
                                <w:right w:val="none" w:sz="0" w:space="0" w:color="auto"/>
                              </w:divBdr>
                              <w:divsChild>
                                <w:div w:id="140390823">
                                  <w:marLeft w:val="0"/>
                                  <w:marRight w:val="0"/>
                                  <w:marTop w:val="0"/>
                                  <w:marBottom w:val="0"/>
                                  <w:divBdr>
                                    <w:top w:val="none" w:sz="0" w:space="0" w:color="auto"/>
                                    <w:left w:val="none" w:sz="0" w:space="0" w:color="auto"/>
                                    <w:bottom w:val="none" w:sz="0" w:space="0" w:color="auto"/>
                                    <w:right w:val="none" w:sz="0" w:space="0" w:color="auto"/>
                                  </w:divBdr>
                                  <w:divsChild>
                                    <w:div w:id="1458374493">
                                      <w:marLeft w:val="0"/>
                                      <w:marRight w:val="0"/>
                                      <w:marTop w:val="0"/>
                                      <w:marBottom w:val="0"/>
                                      <w:divBdr>
                                        <w:top w:val="none" w:sz="0" w:space="0" w:color="auto"/>
                                        <w:left w:val="none" w:sz="0" w:space="0" w:color="auto"/>
                                        <w:bottom w:val="none" w:sz="0" w:space="0" w:color="auto"/>
                                        <w:right w:val="none" w:sz="0" w:space="0" w:color="auto"/>
                                      </w:divBdr>
                                      <w:divsChild>
                                        <w:div w:id="1773624652">
                                          <w:marLeft w:val="0"/>
                                          <w:marRight w:val="0"/>
                                          <w:marTop w:val="0"/>
                                          <w:marBottom w:val="0"/>
                                          <w:divBdr>
                                            <w:top w:val="none" w:sz="0" w:space="0" w:color="auto"/>
                                            <w:left w:val="none" w:sz="0" w:space="0" w:color="auto"/>
                                            <w:bottom w:val="none" w:sz="0" w:space="0" w:color="auto"/>
                                            <w:right w:val="none" w:sz="0" w:space="0" w:color="auto"/>
                                          </w:divBdr>
                                          <w:divsChild>
                                            <w:div w:id="348921227">
                                              <w:marLeft w:val="0"/>
                                              <w:marRight w:val="0"/>
                                              <w:marTop w:val="0"/>
                                              <w:marBottom w:val="0"/>
                                              <w:divBdr>
                                                <w:top w:val="none" w:sz="0" w:space="0" w:color="auto"/>
                                                <w:left w:val="none" w:sz="0" w:space="0" w:color="auto"/>
                                                <w:bottom w:val="none" w:sz="0" w:space="0" w:color="auto"/>
                                                <w:right w:val="none" w:sz="0" w:space="0" w:color="auto"/>
                                              </w:divBdr>
                                              <w:divsChild>
                                                <w:div w:id="523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791">
      <w:bodyDiv w:val="1"/>
      <w:marLeft w:val="0"/>
      <w:marRight w:val="0"/>
      <w:marTop w:val="0"/>
      <w:marBottom w:val="0"/>
      <w:divBdr>
        <w:top w:val="none" w:sz="0" w:space="0" w:color="auto"/>
        <w:left w:val="none" w:sz="0" w:space="0" w:color="auto"/>
        <w:bottom w:val="none" w:sz="0" w:space="0" w:color="auto"/>
        <w:right w:val="none" w:sz="0" w:space="0" w:color="auto"/>
      </w:divBdr>
      <w:divsChild>
        <w:div w:id="140972235">
          <w:marLeft w:val="0"/>
          <w:marRight w:val="0"/>
          <w:marTop w:val="0"/>
          <w:marBottom w:val="0"/>
          <w:divBdr>
            <w:top w:val="none" w:sz="0" w:space="0" w:color="auto"/>
            <w:left w:val="none" w:sz="0" w:space="0" w:color="auto"/>
            <w:bottom w:val="none" w:sz="0" w:space="0" w:color="auto"/>
            <w:right w:val="none" w:sz="0" w:space="0" w:color="auto"/>
          </w:divBdr>
          <w:divsChild>
            <w:div w:id="1057704275">
              <w:marLeft w:val="0"/>
              <w:marRight w:val="0"/>
              <w:marTop w:val="0"/>
              <w:marBottom w:val="0"/>
              <w:divBdr>
                <w:top w:val="none" w:sz="0" w:space="0" w:color="auto"/>
                <w:left w:val="none" w:sz="0" w:space="0" w:color="auto"/>
                <w:bottom w:val="none" w:sz="0" w:space="0" w:color="auto"/>
                <w:right w:val="none" w:sz="0" w:space="0" w:color="auto"/>
              </w:divBdr>
              <w:divsChild>
                <w:div w:id="359742476">
                  <w:marLeft w:val="0"/>
                  <w:marRight w:val="0"/>
                  <w:marTop w:val="0"/>
                  <w:marBottom w:val="0"/>
                  <w:divBdr>
                    <w:top w:val="none" w:sz="0" w:space="0" w:color="auto"/>
                    <w:left w:val="none" w:sz="0" w:space="0" w:color="auto"/>
                    <w:bottom w:val="none" w:sz="0" w:space="0" w:color="auto"/>
                    <w:right w:val="none" w:sz="0" w:space="0" w:color="auto"/>
                  </w:divBdr>
                  <w:divsChild>
                    <w:div w:id="981694903">
                      <w:marLeft w:val="1"/>
                      <w:marRight w:val="1"/>
                      <w:marTop w:val="0"/>
                      <w:marBottom w:val="0"/>
                      <w:divBdr>
                        <w:top w:val="none" w:sz="0" w:space="0" w:color="auto"/>
                        <w:left w:val="none" w:sz="0" w:space="0" w:color="auto"/>
                        <w:bottom w:val="none" w:sz="0" w:space="0" w:color="auto"/>
                        <w:right w:val="none" w:sz="0" w:space="0" w:color="auto"/>
                      </w:divBdr>
                      <w:divsChild>
                        <w:div w:id="288365808">
                          <w:marLeft w:val="0"/>
                          <w:marRight w:val="0"/>
                          <w:marTop w:val="0"/>
                          <w:marBottom w:val="0"/>
                          <w:divBdr>
                            <w:top w:val="none" w:sz="0" w:space="0" w:color="auto"/>
                            <w:left w:val="none" w:sz="0" w:space="0" w:color="auto"/>
                            <w:bottom w:val="none" w:sz="0" w:space="0" w:color="auto"/>
                            <w:right w:val="none" w:sz="0" w:space="0" w:color="auto"/>
                          </w:divBdr>
                          <w:divsChild>
                            <w:div w:id="1465733293">
                              <w:marLeft w:val="0"/>
                              <w:marRight w:val="0"/>
                              <w:marTop w:val="0"/>
                              <w:marBottom w:val="360"/>
                              <w:divBdr>
                                <w:top w:val="none" w:sz="0" w:space="0" w:color="auto"/>
                                <w:left w:val="none" w:sz="0" w:space="0" w:color="auto"/>
                                <w:bottom w:val="none" w:sz="0" w:space="0" w:color="auto"/>
                                <w:right w:val="none" w:sz="0" w:space="0" w:color="auto"/>
                              </w:divBdr>
                              <w:divsChild>
                                <w:div w:id="108625414">
                                  <w:marLeft w:val="0"/>
                                  <w:marRight w:val="0"/>
                                  <w:marTop w:val="0"/>
                                  <w:marBottom w:val="0"/>
                                  <w:divBdr>
                                    <w:top w:val="none" w:sz="0" w:space="0" w:color="auto"/>
                                    <w:left w:val="none" w:sz="0" w:space="0" w:color="auto"/>
                                    <w:bottom w:val="none" w:sz="0" w:space="0" w:color="auto"/>
                                    <w:right w:val="none" w:sz="0" w:space="0" w:color="auto"/>
                                  </w:divBdr>
                                  <w:divsChild>
                                    <w:div w:id="1030883539">
                                      <w:marLeft w:val="0"/>
                                      <w:marRight w:val="0"/>
                                      <w:marTop w:val="0"/>
                                      <w:marBottom w:val="0"/>
                                      <w:divBdr>
                                        <w:top w:val="none" w:sz="0" w:space="0" w:color="auto"/>
                                        <w:left w:val="none" w:sz="0" w:space="0" w:color="auto"/>
                                        <w:bottom w:val="none" w:sz="0" w:space="0" w:color="auto"/>
                                        <w:right w:val="none" w:sz="0" w:space="0" w:color="auto"/>
                                      </w:divBdr>
                                      <w:divsChild>
                                        <w:div w:id="1317951803">
                                          <w:marLeft w:val="0"/>
                                          <w:marRight w:val="0"/>
                                          <w:marTop w:val="0"/>
                                          <w:marBottom w:val="0"/>
                                          <w:divBdr>
                                            <w:top w:val="none" w:sz="0" w:space="0" w:color="auto"/>
                                            <w:left w:val="none" w:sz="0" w:space="0" w:color="auto"/>
                                            <w:bottom w:val="none" w:sz="0" w:space="0" w:color="auto"/>
                                            <w:right w:val="none" w:sz="0" w:space="0" w:color="auto"/>
                                          </w:divBdr>
                                          <w:divsChild>
                                            <w:div w:id="731662566">
                                              <w:marLeft w:val="0"/>
                                              <w:marRight w:val="0"/>
                                              <w:marTop w:val="0"/>
                                              <w:marBottom w:val="0"/>
                                              <w:divBdr>
                                                <w:top w:val="none" w:sz="0" w:space="0" w:color="auto"/>
                                                <w:left w:val="none" w:sz="0" w:space="0" w:color="auto"/>
                                                <w:bottom w:val="none" w:sz="0" w:space="0" w:color="auto"/>
                                                <w:right w:val="none" w:sz="0" w:space="0" w:color="auto"/>
                                              </w:divBdr>
                                              <w:divsChild>
                                                <w:div w:id="151607660">
                                                  <w:marLeft w:val="0"/>
                                                  <w:marRight w:val="0"/>
                                                  <w:marTop w:val="0"/>
                                                  <w:marBottom w:val="0"/>
                                                  <w:divBdr>
                                                    <w:top w:val="none" w:sz="0" w:space="0" w:color="auto"/>
                                                    <w:left w:val="none" w:sz="0" w:space="0" w:color="auto"/>
                                                    <w:bottom w:val="none" w:sz="0" w:space="0" w:color="auto"/>
                                                    <w:right w:val="none" w:sz="0" w:space="0" w:color="auto"/>
                                                  </w:divBdr>
                                                  <w:divsChild>
                                                    <w:div w:id="1775515992">
                                                      <w:marLeft w:val="0"/>
                                                      <w:marRight w:val="0"/>
                                                      <w:marTop w:val="0"/>
                                                      <w:marBottom w:val="0"/>
                                                      <w:divBdr>
                                                        <w:top w:val="none" w:sz="0" w:space="0" w:color="auto"/>
                                                        <w:left w:val="none" w:sz="0" w:space="0" w:color="auto"/>
                                                        <w:bottom w:val="none" w:sz="0" w:space="0" w:color="auto"/>
                                                        <w:right w:val="none" w:sz="0" w:space="0" w:color="auto"/>
                                                      </w:divBdr>
                                                      <w:divsChild>
                                                        <w:div w:id="2077318096">
                                                          <w:marLeft w:val="0"/>
                                                          <w:marRight w:val="0"/>
                                                          <w:marTop w:val="0"/>
                                                          <w:marBottom w:val="0"/>
                                                          <w:divBdr>
                                                            <w:top w:val="none" w:sz="0" w:space="0" w:color="auto"/>
                                                            <w:left w:val="none" w:sz="0" w:space="0" w:color="auto"/>
                                                            <w:bottom w:val="none" w:sz="0" w:space="0" w:color="auto"/>
                                                            <w:right w:val="none" w:sz="0" w:space="0" w:color="auto"/>
                                                          </w:divBdr>
                                                          <w:divsChild>
                                                            <w:div w:id="1023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64715">
      <w:bodyDiv w:val="1"/>
      <w:marLeft w:val="0"/>
      <w:marRight w:val="0"/>
      <w:marTop w:val="0"/>
      <w:marBottom w:val="0"/>
      <w:divBdr>
        <w:top w:val="none" w:sz="0" w:space="0" w:color="auto"/>
        <w:left w:val="none" w:sz="0" w:space="0" w:color="auto"/>
        <w:bottom w:val="none" w:sz="0" w:space="0" w:color="auto"/>
        <w:right w:val="none" w:sz="0" w:space="0" w:color="auto"/>
      </w:divBdr>
      <w:divsChild>
        <w:div w:id="414523516">
          <w:marLeft w:val="0"/>
          <w:marRight w:val="0"/>
          <w:marTop w:val="0"/>
          <w:marBottom w:val="0"/>
          <w:divBdr>
            <w:top w:val="none" w:sz="0" w:space="0" w:color="auto"/>
            <w:left w:val="none" w:sz="0" w:space="0" w:color="auto"/>
            <w:bottom w:val="none" w:sz="0" w:space="0" w:color="auto"/>
            <w:right w:val="none" w:sz="0" w:space="0" w:color="auto"/>
          </w:divBdr>
        </w:div>
      </w:divsChild>
    </w:div>
    <w:div w:id="1602494971">
      <w:bodyDiv w:val="1"/>
      <w:marLeft w:val="0"/>
      <w:marRight w:val="0"/>
      <w:marTop w:val="0"/>
      <w:marBottom w:val="0"/>
      <w:divBdr>
        <w:top w:val="none" w:sz="0" w:space="0" w:color="auto"/>
        <w:left w:val="none" w:sz="0" w:space="0" w:color="auto"/>
        <w:bottom w:val="none" w:sz="0" w:space="0" w:color="auto"/>
        <w:right w:val="none" w:sz="0" w:space="0" w:color="auto"/>
      </w:divBdr>
      <w:divsChild>
        <w:div w:id="1915699597">
          <w:marLeft w:val="0"/>
          <w:marRight w:val="0"/>
          <w:marTop w:val="0"/>
          <w:marBottom w:val="0"/>
          <w:divBdr>
            <w:top w:val="none" w:sz="0" w:space="0" w:color="auto"/>
            <w:left w:val="none" w:sz="0" w:space="0" w:color="auto"/>
            <w:bottom w:val="none" w:sz="0" w:space="0" w:color="auto"/>
            <w:right w:val="none" w:sz="0" w:space="0" w:color="auto"/>
          </w:divBdr>
        </w:div>
      </w:divsChild>
    </w:div>
    <w:div w:id="1625194211">
      <w:bodyDiv w:val="1"/>
      <w:marLeft w:val="0"/>
      <w:marRight w:val="0"/>
      <w:marTop w:val="0"/>
      <w:marBottom w:val="0"/>
      <w:divBdr>
        <w:top w:val="none" w:sz="0" w:space="0" w:color="auto"/>
        <w:left w:val="none" w:sz="0" w:space="0" w:color="auto"/>
        <w:bottom w:val="none" w:sz="0" w:space="0" w:color="auto"/>
        <w:right w:val="none" w:sz="0" w:space="0" w:color="auto"/>
      </w:divBdr>
      <w:divsChild>
        <w:div w:id="1139763268">
          <w:marLeft w:val="0"/>
          <w:marRight w:val="0"/>
          <w:marTop w:val="0"/>
          <w:marBottom w:val="0"/>
          <w:divBdr>
            <w:top w:val="none" w:sz="0" w:space="0" w:color="auto"/>
            <w:left w:val="none" w:sz="0" w:space="0" w:color="auto"/>
            <w:bottom w:val="none" w:sz="0" w:space="0" w:color="auto"/>
            <w:right w:val="none" w:sz="0" w:space="0" w:color="auto"/>
          </w:divBdr>
          <w:divsChild>
            <w:div w:id="211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705">
      <w:bodyDiv w:val="1"/>
      <w:marLeft w:val="0"/>
      <w:marRight w:val="0"/>
      <w:marTop w:val="0"/>
      <w:marBottom w:val="0"/>
      <w:divBdr>
        <w:top w:val="none" w:sz="0" w:space="0" w:color="auto"/>
        <w:left w:val="none" w:sz="0" w:space="0" w:color="auto"/>
        <w:bottom w:val="none" w:sz="0" w:space="0" w:color="auto"/>
        <w:right w:val="none" w:sz="0" w:space="0" w:color="auto"/>
      </w:divBdr>
      <w:divsChild>
        <w:div w:id="30962155">
          <w:marLeft w:val="0"/>
          <w:marRight w:val="0"/>
          <w:marTop w:val="0"/>
          <w:marBottom w:val="0"/>
          <w:divBdr>
            <w:top w:val="none" w:sz="0" w:space="0" w:color="auto"/>
            <w:left w:val="none" w:sz="0" w:space="0" w:color="auto"/>
            <w:bottom w:val="none" w:sz="0" w:space="0" w:color="auto"/>
            <w:right w:val="none" w:sz="0" w:space="0" w:color="auto"/>
          </w:divBdr>
          <w:divsChild>
            <w:div w:id="1616517122">
              <w:marLeft w:val="0"/>
              <w:marRight w:val="0"/>
              <w:marTop w:val="0"/>
              <w:marBottom w:val="0"/>
              <w:divBdr>
                <w:top w:val="none" w:sz="0" w:space="0" w:color="auto"/>
                <w:left w:val="none" w:sz="0" w:space="0" w:color="auto"/>
                <w:bottom w:val="none" w:sz="0" w:space="0" w:color="auto"/>
                <w:right w:val="none" w:sz="0" w:space="0" w:color="auto"/>
              </w:divBdr>
              <w:divsChild>
                <w:div w:id="1063914249">
                  <w:marLeft w:val="0"/>
                  <w:marRight w:val="0"/>
                  <w:marTop w:val="0"/>
                  <w:marBottom w:val="0"/>
                  <w:divBdr>
                    <w:top w:val="none" w:sz="0" w:space="0" w:color="auto"/>
                    <w:left w:val="none" w:sz="0" w:space="0" w:color="auto"/>
                    <w:bottom w:val="none" w:sz="0" w:space="0" w:color="auto"/>
                    <w:right w:val="none" w:sz="0" w:space="0" w:color="auto"/>
                  </w:divBdr>
                  <w:divsChild>
                    <w:div w:id="23986901">
                      <w:marLeft w:val="1"/>
                      <w:marRight w:val="1"/>
                      <w:marTop w:val="0"/>
                      <w:marBottom w:val="0"/>
                      <w:divBdr>
                        <w:top w:val="none" w:sz="0" w:space="0" w:color="auto"/>
                        <w:left w:val="none" w:sz="0" w:space="0" w:color="auto"/>
                        <w:bottom w:val="none" w:sz="0" w:space="0" w:color="auto"/>
                        <w:right w:val="none" w:sz="0" w:space="0" w:color="auto"/>
                      </w:divBdr>
                      <w:divsChild>
                        <w:div w:id="936862724">
                          <w:marLeft w:val="0"/>
                          <w:marRight w:val="0"/>
                          <w:marTop w:val="0"/>
                          <w:marBottom w:val="0"/>
                          <w:divBdr>
                            <w:top w:val="none" w:sz="0" w:space="0" w:color="auto"/>
                            <w:left w:val="none" w:sz="0" w:space="0" w:color="auto"/>
                            <w:bottom w:val="none" w:sz="0" w:space="0" w:color="auto"/>
                            <w:right w:val="none" w:sz="0" w:space="0" w:color="auto"/>
                          </w:divBdr>
                          <w:divsChild>
                            <w:div w:id="397822852">
                              <w:marLeft w:val="0"/>
                              <w:marRight w:val="0"/>
                              <w:marTop w:val="0"/>
                              <w:marBottom w:val="360"/>
                              <w:divBdr>
                                <w:top w:val="none" w:sz="0" w:space="0" w:color="auto"/>
                                <w:left w:val="none" w:sz="0" w:space="0" w:color="auto"/>
                                <w:bottom w:val="none" w:sz="0" w:space="0" w:color="auto"/>
                                <w:right w:val="none" w:sz="0" w:space="0" w:color="auto"/>
                              </w:divBdr>
                              <w:divsChild>
                                <w:div w:id="2103598754">
                                  <w:marLeft w:val="0"/>
                                  <w:marRight w:val="0"/>
                                  <w:marTop w:val="0"/>
                                  <w:marBottom w:val="0"/>
                                  <w:divBdr>
                                    <w:top w:val="none" w:sz="0" w:space="0" w:color="auto"/>
                                    <w:left w:val="none" w:sz="0" w:space="0" w:color="auto"/>
                                    <w:bottom w:val="none" w:sz="0" w:space="0" w:color="auto"/>
                                    <w:right w:val="none" w:sz="0" w:space="0" w:color="auto"/>
                                  </w:divBdr>
                                  <w:divsChild>
                                    <w:div w:id="504173963">
                                      <w:marLeft w:val="0"/>
                                      <w:marRight w:val="0"/>
                                      <w:marTop w:val="0"/>
                                      <w:marBottom w:val="0"/>
                                      <w:divBdr>
                                        <w:top w:val="none" w:sz="0" w:space="0" w:color="auto"/>
                                        <w:left w:val="none" w:sz="0" w:space="0" w:color="auto"/>
                                        <w:bottom w:val="none" w:sz="0" w:space="0" w:color="auto"/>
                                        <w:right w:val="none" w:sz="0" w:space="0" w:color="auto"/>
                                      </w:divBdr>
                                      <w:divsChild>
                                        <w:div w:id="1186406453">
                                          <w:marLeft w:val="0"/>
                                          <w:marRight w:val="0"/>
                                          <w:marTop w:val="0"/>
                                          <w:marBottom w:val="0"/>
                                          <w:divBdr>
                                            <w:top w:val="none" w:sz="0" w:space="0" w:color="auto"/>
                                            <w:left w:val="none" w:sz="0" w:space="0" w:color="auto"/>
                                            <w:bottom w:val="none" w:sz="0" w:space="0" w:color="auto"/>
                                            <w:right w:val="none" w:sz="0" w:space="0" w:color="auto"/>
                                          </w:divBdr>
                                          <w:divsChild>
                                            <w:div w:id="1616446910">
                                              <w:marLeft w:val="0"/>
                                              <w:marRight w:val="0"/>
                                              <w:marTop w:val="0"/>
                                              <w:marBottom w:val="0"/>
                                              <w:divBdr>
                                                <w:top w:val="none" w:sz="0" w:space="0" w:color="auto"/>
                                                <w:left w:val="none" w:sz="0" w:space="0" w:color="auto"/>
                                                <w:bottom w:val="none" w:sz="0" w:space="0" w:color="auto"/>
                                                <w:right w:val="none" w:sz="0" w:space="0" w:color="auto"/>
                                              </w:divBdr>
                                              <w:divsChild>
                                                <w:div w:id="1987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16777">
      <w:bodyDiv w:val="1"/>
      <w:marLeft w:val="0"/>
      <w:marRight w:val="0"/>
      <w:marTop w:val="0"/>
      <w:marBottom w:val="0"/>
      <w:divBdr>
        <w:top w:val="none" w:sz="0" w:space="0" w:color="auto"/>
        <w:left w:val="none" w:sz="0" w:space="0" w:color="auto"/>
        <w:bottom w:val="none" w:sz="0" w:space="0" w:color="auto"/>
        <w:right w:val="none" w:sz="0" w:space="0" w:color="auto"/>
      </w:divBdr>
      <w:divsChild>
        <w:div w:id="44095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6389-CB58-4376-95A4-58F979F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4970</Words>
  <Characters>32062</Characters>
  <Application>Microsoft Office Word</Application>
  <DocSecurity>0</DocSecurity>
  <Lines>2290</Lines>
  <Paragraphs>712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2017-09-12T11:58:00Z</cp:lastPrinted>
  <dcterms:created xsi:type="dcterms:W3CDTF">2017-10-04T13:31:00Z</dcterms:created>
  <dcterms:modified xsi:type="dcterms:W3CDTF">2017-10-05T07:44:00Z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