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11" w:rsidRDefault="00623804" w:rsidP="0062380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645C8AB5C934C79AA45783F8C15B413" style="width:450.75pt;height:516.75pt">
            <v:imagedata r:id="rId13" o:title=""/>
          </v:shape>
        </w:pict>
      </w:r>
    </w:p>
    <w:p w:rsidR="00557911" w:rsidRDefault="00557911">
      <w:pPr>
        <w:rPr>
          <w:noProof/>
        </w:rPr>
        <w:sectPr w:rsidR="00557911" w:rsidSect="00623804">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557911" w:rsidRDefault="00623804">
      <w:pPr>
        <w:pStyle w:val="Exposdesmotifstitre"/>
        <w:rPr>
          <w:noProof/>
        </w:rPr>
      </w:pPr>
      <w:bookmarkStart w:id="0" w:name="_Toc492216444"/>
      <w:bookmarkStart w:id="1" w:name="_GoBack"/>
      <w:bookmarkEnd w:id="1"/>
      <w:r>
        <w:rPr>
          <w:noProof/>
        </w:rPr>
        <w:lastRenderedPageBreak/>
        <w:t>DŮVODOVÁ ZPRÁVA</w:t>
      </w:r>
      <w:bookmarkEnd w:id="0"/>
    </w:p>
    <w:p w:rsidR="00557911" w:rsidRDefault="00623804">
      <w:pPr>
        <w:pStyle w:val="ManualHeading1"/>
        <w:rPr>
          <w:noProof/>
        </w:rPr>
      </w:pPr>
      <w:bookmarkStart w:id="2" w:name="_Toc492216445"/>
      <w:r>
        <w:t>1.</w:t>
      </w:r>
      <w:r>
        <w:tab/>
      </w:r>
      <w:r>
        <w:rPr>
          <w:noProof/>
        </w:rPr>
        <w:t>SOUVISLOSTI NÁVRHU</w:t>
      </w:r>
      <w:bookmarkEnd w:id="2"/>
    </w:p>
    <w:p w:rsidR="00557911" w:rsidRDefault="00623804">
      <w:pPr>
        <w:pStyle w:val="ManualHeading2"/>
        <w:rPr>
          <w:rFonts w:eastAsia="Arial Unicode MS"/>
          <w:noProof/>
        </w:rPr>
      </w:pPr>
      <w:bookmarkStart w:id="3" w:name="_Toc492216446"/>
      <w:r>
        <w:rPr>
          <w:noProof/>
        </w:rPr>
        <w:t>•</w:t>
      </w:r>
      <w:r>
        <w:rPr>
          <w:noProof/>
        </w:rPr>
        <w:tab/>
        <w:t>Odůvodnění a cíle návrhu</w:t>
      </w:r>
      <w:bookmarkEnd w:id="3"/>
    </w:p>
    <w:p w:rsidR="00557911" w:rsidRDefault="00623804">
      <w:pPr>
        <w:spacing w:after="180"/>
        <w:rPr>
          <w:noProof/>
          <w:szCs w:val="24"/>
        </w:rPr>
      </w:pPr>
      <w:r>
        <w:rPr>
          <w:noProof/>
        </w:rPr>
        <w:t xml:space="preserve">Evropská unie přijala celou řadu </w:t>
      </w:r>
      <w:r>
        <w:rPr>
          <w:noProof/>
        </w:rPr>
        <w:t>opatření na zvýšení odolnosti a zlepšení své připravenosti v oblasti kybernetické bezpečnosti. První strategie kybernetické bezpečnosti Evropské unie</w:t>
      </w:r>
      <w:r>
        <w:rPr>
          <w:rStyle w:val="FootnoteReference"/>
          <w:noProof/>
        </w:rPr>
        <w:footnoteReference w:id="2"/>
      </w:r>
      <w:r>
        <w:rPr>
          <w:noProof/>
        </w:rPr>
        <w:t xml:space="preserve"> přijatá v roce 2013 stanovila strategické cíle a konkrétní opatření s cílem dosáhnout odolnosti, snížit k</w:t>
      </w:r>
      <w:r>
        <w:rPr>
          <w:noProof/>
        </w:rPr>
        <w:t>yberkriminalitu, vypracovat politiku kybernetické obrany a související kapacity, vytvořit průmyslové a technologické zdroje a zavést soudržnou mezinárodní politiku Evropské unie v oblasti kyberprostoru. V této souvislosti od té doby došlo k důležitému vývo</w:t>
      </w:r>
      <w:r>
        <w:rPr>
          <w:noProof/>
        </w:rPr>
        <w:t>ji, k němuž patří zejména druhý mandát pro Agenturu Evropské unie pro bezpečnost sítí a informací (agentura ENISA)</w:t>
      </w:r>
      <w:r>
        <w:rPr>
          <w:rStyle w:val="FootnoteReference"/>
          <w:noProof/>
        </w:rPr>
        <w:footnoteReference w:id="3"/>
      </w:r>
      <w:r>
        <w:rPr>
          <w:noProof/>
        </w:rPr>
        <w:t xml:space="preserve"> a přijetí </w:t>
      </w:r>
      <w:r>
        <w:rPr>
          <w:b/>
          <w:noProof/>
        </w:rPr>
        <w:t>směrnice o bezpečnosti sítí a informačních systémů</w:t>
      </w:r>
      <w:r>
        <w:rPr>
          <w:rStyle w:val="FootnoteReference"/>
          <w:noProof/>
        </w:rPr>
        <w:footnoteReference w:id="4"/>
      </w:r>
      <w:r>
        <w:rPr>
          <w:noProof/>
        </w:rPr>
        <w:t xml:space="preserve"> (dále jen „směrnice o bezpečnosti sítí a informací“), které tvoří základ tohot</w:t>
      </w:r>
      <w:r>
        <w:rPr>
          <w:noProof/>
        </w:rPr>
        <w:t xml:space="preserve">o návrhu. </w:t>
      </w:r>
    </w:p>
    <w:p w:rsidR="00557911" w:rsidRDefault="00623804">
      <w:pPr>
        <w:spacing w:after="180"/>
        <w:rPr>
          <w:noProof/>
          <w:szCs w:val="24"/>
        </w:rPr>
      </w:pPr>
      <w:r>
        <w:rPr>
          <w:noProof/>
        </w:rPr>
        <w:t xml:space="preserve">Dále </w:t>
      </w:r>
      <w:r>
        <w:rPr>
          <w:b/>
          <w:noProof/>
        </w:rPr>
        <w:t>Evropská komise</w:t>
      </w:r>
      <w:r>
        <w:rPr>
          <w:noProof/>
        </w:rPr>
        <w:t xml:space="preserve"> </w:t>
      </w:r>
      <w:r>
        <w:rPr>
          <w:b/>
          <w:noProof/>
        </w:rPr>
        <w:t>v roce 2016 přijala sdělení o posílení evropského systému kybernetické odolnosti a o podpoře konkurenceschopného a inovativního odvětví kybernetické bezpečnosti</w:t>
      </w:r>
      <w:r>
        <w:rPr>
          <w:rStyle w:val="FootnoteReference"/>
          <w:noProof/>
        </w:rPr>
        <w:footnoteReference w:id="5"/>
      </w:r>
      <w:r>
        <w:rPr>
          <w:noProof/>
        </w:rPr>
        <w:t>, v němž byla oznámena další opatření k posílení spolupráce, sd</w:t>
      </w:r>
      <w:r>
        <w:rPr>
          <w:noProof/>
        </w:rPr>
        <w:t xml:space="preserve">ílení informací a znalostí a ke zvýšení odolnosti a připravenosti EU, a to i s ohledem na možnost rozsáhlých incidentů a možnou celoevropskou krizi v oblasti kybernetické bezpečnosti. Komise v této souvislosti oznámila, že uspíší </w:t>
      </w:r>
      <w:r>
        <w:rPr>
          <w:b/>
          <w:noProof/>
        </w:rPr>
        <w:t xml:space="preserve">hodnocení </w:t>
      </w:r>
      <w:r>
        <w:rPr>
          <w:noProof/>
        </w:rPr>
        <w:t xml:space="preserve">a </w:t>
      </w:r>
      <w:r>
        <w:rPr>
          <w:b/>
          <w:noProof/>
        </w:rPr>
        <w:t>přezkum</w:t>
      </w:r>
      <w:r>
        <w:rPr>
          <w:noProof/>
        </w:rPr>
        <w:t xml:space="preserve"> naříze</w:t>
      </w:r>
      <w:r>
        <w:rPr>
          <w:noProof/>
        </w:rPr>
        <w:t>ní Evropského parlamentu a Rady (EU) č. 526/2013 o agentuře ENISA a o zrušení nařízení (ES) č. 460/2004 (dále jen „nařízení o agentuře ENISA“). Proces hodnocení by mohl vést k případné reformě agentury a k posílení jejích schopností a kapacit udržitelným z</w:t>
      </w:r>
      <w:r>
        <w:rPr>
          <w:noProof/>
        </w:rPr>
        <w:t>působem podporovat členské státy. Tato reforma by tedy agentuře přisoudila operativnější a více ústřední úlohu při dosahování odolnosti z hlediska kybernetické bezpečnosti a v novém mandátu agentury by uznala nové úkoly agentury na základě směrnice o bezpe</w:t>
      </w:r>
      <w:r>
        <w:rPr>
          <w:noProof/>
        </w:rPr>
        <w:t>čnosti sítí a informací.</w:t>
      </w:r>
    </w:p>
    <w:p w:rsidR="00557911" w:rsidRDefault="00623804">
      <w:pPr>
        <w:rPr>
          <w:noProof/>
          <w:szCs w:val="24"/>
        </w:rPr>
      </w:pPr>
      <w:r>
        <w:rPr>
          <w:noProof/>
        </w:rPr>
        <w:t>Směrnice o bezpečnosti sítí a informací je prvním zásadním krokem směrem k podpoře kultury řízení rizik, jelikož zavádí bezpečnostní požadavky jakožto právní povinnost pro klíčové hospodářské subjekty, zejména pro provozovatele pos</w:t>
      </w:r>
      <w:r>
        <w:rPr>
          <w:noProof/>
        </w:rPr>
        <w:t xml:space="preserve">kytující základní služby (provozovatelé základních služeb) a pro dodavatele některých klíčových digitálních služeb (poskytovatelé digitálních služeb). Vzhledem k tomu, že bezpečnostní požadavky jsou vnímány jako stěžejní pro zajištění výhod rozvíjející se </w:t>
      </w:r>
      <w:r>
        <w:rPr>
          <w:noProof/>
        </w:rPr>
        <w:t xml:space="preserve">digitalizace společnosti, a vzhledem k rychlému a strmému nárůstu počtu zařízení připojených k internetu (internet věcí) sdělení z roku 2016 rovněž nastínilo myšlenku zřízení rámce pro certifikaci bezpečnosti produktů a služeb IKT za účelem zvýšení důvěry </w:t>
      </w:r>
      <w:r>
        <w:rPr>
          <w:noProof/>
        </w:rPr>
        <w:t xml:space="preserve">a bezpečnosti na jednotném digitálním trhu. Certifikace kybernetické bezpečnosti IKT se stává obzvláště důležitou s ohledem na rostoucí využívání technologií, které vyžadují vysokou úroveň kybernetické bezpečnosti, jako jsou například </w:t>
      </w:r>
      <w:r>
        <w:rPr>
          <w:noProof/>
        </w:rPr>
        <w:lastRenderedPageBreak/>
        <w:t>propojené a automatiz</w:t>
      </w:r>
      <w:r>
        <w:rPr>
          <w:noProof/>
        </w:rPr>
        <w:t xml:space="preserve">ované automobily, elektronické zdravotnictví nebo průmyslové automatizační řídicí systémy (IACS). </w:t>
      </w:r>
    </w:p>
    <w:p w:rsidR="00557911" w:rsidRDefault="00623804">
      <w:pPr>
        <w:rPr>
          <w:noProof/>
          <w:szCs w:val="24"/>
        </w:rPr>
      </w:pPr>
      <w:r>
        <w:rPr>
          <w:noProof/>
        </w:rPr>
        <w:t xml:space="preserve">Tato politická opatření a oznámení byla dále posílena </w:t>
      </w:r>
      <w:r>
        <w:rPr>
          <w:b/>
          <w:noProof/>
        </w:rPr>
        <w:t>závěry Rady</w:t>
      </w:r>
      <w:r>
        <w:rPr>
          <w:noProof/>
        </w:rPr>
        <w:t xml:space="preserve"> z roku 2016, v nichž bylo uznáno, že „kybernetické hrozby a zranitelnost se nadále vyvíjí a</w:t>
      </w:r>
      <w:r>
        <w:rPr>
          <w:noProof/>
        </w:rPr>
        <w:t xml:space="preserve"> stupňují, což bude vyžadovat pokračující a užší spolupráci, zejména při řešení rozsáhlých přeshraničních kybernetických bezpečnostních incidentů“. Závěry znovu potvrdily, že „nařízení o agentuře ENISA je jedním ze zásadních prvků rámce kybernetické odolno</w:t>
      </w:r>
      <w:r>
        <w:rPr>
          <w:noProof/>
        </w:rPr>
        <w:t>sti EU“</w:t>
      </w:r>
      <w:r>
        <w:rPr>
          <w:rStyle w:val="FootnoteReference"/>
          <w:noProof/>
        </w:rPr>
        <w:footnoteReference w:id="6"/>
      </w:r>
      <w:r>
        <w:rPr>
          <w:noProof/>
        </w:rPr>
        <w:t>, a vyzvaly Komisi, aby učinila další kroky k řešení otázky certifikace na evropské úrovni.</w:t>
      </w:r>
    </w:p>
    <w:p w:rsidR="00557911" w:rsidRDefault="00623804">
      <w:pPr>
        <w:rPr>
          <w:noProof/>
          <w:szCs w:val="24"/>
        </w:rPr>
      </w:pPr>
      <w:r>
        <w:rPr>
          <w:noProof/>
        </w:rPr>
        <w:t>Zavedení systému certifikace by vyžadovalo vytvoření vhodného systému řízení na úrovni EU, jenž by zahrnoval podrobné odborné poradenství poskytované nezávi</w:t>
      </w:r>
      <w:r>
        <w:rPr>
          <w:noProof/>
        </w:rPr>
        <w:t>slou agenturou EU. Tento návrh v této souvislosti identifikuje agenturu ENISA jako přirozenou instituci na úrovni EU, která je příslušná pro otázky kybernetické bezpečnosti a která by měla tuto úlohu přijmout a propojit a koordinovat práci příslušných vnit</w:t>
      </w:r>
      <w:r>
        <w:rPr>
          <w:noProof/>
        </w:rPr>
        <w:t xml:space="preserve">rostátních orgánů v oblasti certifikace. </w:t>
      </w:r>
    </w:p>
    <w:p w:rsidR="00557911" w:rsidRDefault="00623804">
      <w:pPr>
        <w:spacing w:after="180"/>
        <w:rPr>
          <w:noProof/>
          <w:szCs w:val="24"/>
        </w:rPr>
      </w:pPr>
      <w:r>
        <w:rPr>
          <w:noProof/>
        </w:rPr>
        <w:t xml:space="preserve">Komise ve svém sdělení </w:t>
      </w:r>
      <w:r>
        <w:rPr>
          <w:b/>
          <w:noProof/>
        </w:rPr>
        <w:t xml:space="preserve">z května 2017 o přezkumu strategie pro jednotný digitální trh v polovině období </w:t>
      </w:r>
      <w:r>
        <w:rPr>
          <w:noProof/>
        </w:rPr>
        <w:t>dále upřesnila, že do září 2017 přezkoumá mandát agentury ENISA. Účelem tohoto přezkumu je nové vymezení role a</w:t>
      </w:r>
      <w:r>
        <w:rPr>
          <w:noProof/>
        </w:rPr>
        <w:t>gentury v měnícím se kybernetickobezpečnostním ekosystému a vypracování opatření v oblasti norem kybernetické bezpečnosti, certifikace a označování v zájmu lepšího kybernetického zabezpečení systémů IKT včetně propojených objektů</w:t>
      </w:r>
      <w:r>
        <w:rPr>
          <w:rStyle w:val="FootnoteReference"/>
          <w:noProof/>
        </w:rPr>
        <w:footnoteReference w:id="7"/>
      </w:r>
      <w:r>
        <w:rPr>
          <w:noProof/>
        </w:rPr>
        <w:t xml:space="preserve">. </w:t>
      </w:r>
      <w:r>
        <w:rPr>
          <w:b/>
          <w:noProof/>
        </w:rPr>
        <w:t>Evropská rada ve svých z</w:t>
      </w:r>
      <w:r>
        <w:rPr>
          <w:b/>
          <w:noProof/>
        </w:rPr>
        <w:t>ávěrech</w:t>
      </w:r>
      <w:r>
        <w:rPr>
          <w:noProof/>
        </w:rPr>
        <w:t xml:space="preserve"> z června 2017</w:t>
      </w:r>
      <w:r>
        <w:rPr>
          <w:rStyle w:val="FootnoteReference"/>
          <w:noProof/>
        </w:rPr>
        <w:footnoteReference w:id="8"/>
      </w:r>
      <w:r>
        <w:rPr>
          <w:noProof/>
        </w:rPr>
        <w:t xml:space="preserve"> uvítala záměr Komise přezkoumat v září strategii kybernetické bezpečnosti a ještě do konce roku 2017 navrhnout další cílená opatření.</w:t>
      </w:r>
    </w:p>
    <w:p w:rsidR="00557911" w:rsidRDefault="00623804">
      <w:pPr>
        <w:spacing w:after="0"/>
        <w:contextualSpacing/>
        <w:rPr>
          <w:noProof/>
          <w:szCs w:val="24"/>
        </w:rPr>
      </w:pPr>
      <w:r>
        <w:rPr>
          <w:noProof/>
        </w:rPr>
        <w:t>Navrhované nařízení stanoví komplexní soubor opatření, která vycházejí z předchozích opatření a pod</w:t>
      </w:r>
      <w:r>
        <w:rPr>
          <w:noProof/>
        </w:rPr>
        <w:t>porují vzájemně se doplňující specifické cíle:</w:t>
      </w:r>
    </w:p>
    <w:p w:rsidR="00557911" w:rsidRDefault="00623804">
      <w:pPr>
        <w:pStyle w:val="Bullet0"/>
        <w:numPr>
          <w:ilvl w:val="0"/>
          <w:numId w:val="22"/>
        </w:numPr>
        <w:rPr>
          <w:noProof/>
        </w:rPr>
      </w:pPr>
      <w:r>
        <w:rPr>
          <w:b/>
          <w:noProof/>
        </w:rPr>
        <w:t xml:space="preserve">zvýšení schopností a připravenosti </w:t>
      </w:r>
      <w:r>
        <w:rPr>
          <w:noProof/>
        </w:rPr>
        <w:t xml:space="preserve">členských států a podniků, </w:t>
      </w:r>
    </w:p>
    <w:p w:rsidR="00557911" w:rsidRDefault="00623804">
      <w:pPr>
        <w:pStyle w:val="Bullet0"/>
        <w:rPr>
          <w:noProof/>
        </w:rPr>
      </w:pPr>
      <w:r>
        <w:rPr>
          <w:noProof/>
        </w:rPr>
        <w:t xml:space="preserve">zlepšení </w:t>
      </w:r>
      <w:r>
        <w:rPr>
          <w:b/>
          <w:noProof/>
        </w:rPr>
        <w:t>spolupráce a koordinace</w:t>
      </w:r>
      <w:r>
        <w:rPr>
          <w:noProof/>
        </w:rPr>
        <w:t xml:space="preserve"> napříč členskými státy a orgány, agenturami a dalšími subjekty EU,</w:t>
      </w:r>
    </w:p>
    <w:p w:rsidR="00557911" w:rsidRDefault="00623804">
      <w:pPr>
        <w:pStyle w:val="Bullet0"/>
        <w:rPr>
          <w:noProof/>
        </w:rPr>
      </w:pPr>
      <w:r>
        <w:rPr>
          <w:noProof/>
        </w:rPr>
        <w:t xml:space="preserve">zvýšení </w:t>
      </w:r>
      <w:r>
        <w:rPr>
          <w:b/>
          <w:noProof/>
        </w:rPr>
        <w:t xml:space="preserve">úrovně schopností EU doplňovat </w:t>
      </w:r>
      <w:r>
        <w:rPr>
          <w:b/>
          <w:noProof/>
        </w:rPr>
        <w:t>opatření členských států</w:t>
      </w:r>
      <w:r>
        <w:rPr>
          <w:noProof/>
        </w:rPr>
        <w:t>, zejména v případě přeshraničních kybernetických krizí,</w:t>
      </w:r>
    </w:p>
    <w:p w:rsidR="00557911" w:rsidRDefault="00623804">
      <w:pPr>
        <w:pStyle w:val="Bullet0"/>
        <w:rPr>
          <w:noProof/>
        </w:rPr>
      </w:pPr>
      <w:r>
        <w:rPr>
          <w:noProof/>
        </w:rPr>
        <w:t xml:space="preserve">zvýšení </w:t>
      </w:r>
      <w:r>
        <w:rPr>
          <w:b/>
          <w:noProof/>
        </w:rPr>
        <w:t xml:space="preserve">informovanosti </w:t>
      </w:r>
      <w:r>
        <w:rPr>
          <w:noProof/>
        </w:rPr>
        <w:t xml:space="preserve">občanů a podniků o otázkách týkajících se kybernetické bezpečnosti, </w:t>
      </w:r>
    </w:p>
    <w:p w:rsidR="00557911" w:rsidRDefault="00623804">
      <w:pPr>
        <w:pStyle w:val="Bullet0"/>
        <w:rPr>
          <w:noProof/>
        </w:rPr>
      </w:pPr>
      <w:r>
        <w:rPr>
          <w:noProof/>
        </w:rPr>
        <w:t xml:space="preserve">zvýšení celkové </w:t>
      </w:r>
      <w:r>
        <w:rPr>
          <w:b/>
          <w:noProof/>
        </w:rPr>
        <w:t>transparentnosti záruky kybernetické bezpečnosti</w:t>
      </w:r>
      <w:r>
        <w:rPr>
          <w:rStyle w:val="FootnoteReference"/>
          <w:noProof/>
        </w:rPr>
        <w:footnoteReference w:id="9"/>
      </w:r>
      <w:r>
        <w:rPr>
          <w:noProof/>
        </w:rPr>
        <w:t xml:space="preserve"> produktů a služeb IKT, aby se posílila důvěra v jednotný digitální trh a digitální inovace, a</w:t>
      </w:r>
    </w:p>
    <w:p w:rsidR="00557911" w:rsidRDefault="00623804">
      <w:pPr>
        <w:pStyle w:val="Bullet0"/>
        <w:rPr>
          <w:noProof/>
        </w:rPr>
      </w:pPr>
      <w:r>
        <w:rPr>
          <w:noProof/>
        </w:rPr>
        <w:t xml:space="preserve">zabránění </w:t>
      </w:r>
      <w:r>
        <w:rPr>
          <w:b/>
          <w:noProof/>
        </w:rPr>
        <w:t>roztříštěnosti systémů certifikace</w:t>
      </w:r>
      <w:r>
        <w:rPr>
          <w:noProof/>
        </w:rPr>
        <w:t xml:space="preserve"> v EU a souvisejících bezpečnostních požadavků a hodnoticích kritérií napříč členskými státy a odvětvími.</w:t>
      </w:r>
    </w:p>
    <w:p w:rsidR="00557911" w:rsidRDefault="00557911">
      <w:pPr>
        <w:autoSpaceDE w:val="0"/>
        <w:autoSpaceDN w:val="0"/>
        <w:adjustRightInd w:val="0"/>
        <w:spacing w:after="0"/>
        <w:rPr>
          <w:noProof/>
          <w:szCs w:val="24"/>
        </w:rPr>
      </w:pPr>
    </w:p>
    <w:p w:rsidR="00557911" w:rsidRDefault="00623804">
      <w:pPr>
        <w:spacing w:after="0"/>
        <w:contextualSpacing/>
        <w:rPr>
          <w:noProof/>
          <w:szCs w:val="24"/>
        </w:rPr>
      </w:pPr>
      <w:r>
        <w:rPr>
          <w:noProof/>
        </w:rPr>
        <w:lastRenderedPageBreak/>
        <w:t>Následujíc</w:t>
      </w:r>
      <w:r>
        <w:rPr>
          <w:noProof/>
        </w:rPr>
        <w:t xml:space="preserve">í část důvodové zprávy podrobněji vysvětluje odůvodnění tohoto podnětu s ohledem na navrhovaná opatření týkající se agentury ENISA a certifikace kybernetické bezpečnosti. </w:t>
      </w:r>
    </w:p>
    <w:p w:rsidR="00557911" w:rsidRDefault="00557911">
      <w:pPr>
        <w:rPr>
          <w:b/>
          <w:noProof/>
          <w:szCs w:val="24"/>
        </w:rPr>
      </w:pPr>
    </w:p>
    <w:p w:rsidR="00557911" w:rsidRDefault="00623804">
      <w:pPr>
        <w:spacing w:before="0" w:after="200" w:line="276" w:lineRule="auto"/>
        <w:jc w:val="left"/>
        <w:rPr>
          <w:b/>
          <w:noProof/>
          <w:szCs w:val="24"/>
        </w:rPr>
      </w:pPr>
      <w:r>
        <w:rPr>
          <w:noProof/>
        </w:rPr>
        <w:br w:type="page"/>
      </w:r>
    </w:p>
    <w:p w:rsidR="00557911" w:rsidRDefault="00623804">
      <w:pPr>
        <w:rPr>
          <w:b/>
          <w:noProof/>
          <w:szCs w:val="24"/>
        </w:rPr>
      </w:pPr>
      <w:r>
        <w:rPr>
          <w:b/>
          <w:noProof/>
        </w:rPr>
        <w:t>Agentura ENISA</w:t>
      </w:r>
    </w:p>
    <w:p w:rsidR="00557911" w:rsidRDefault="00623804">
      <w:pPr>
        <w:rPr>
          <w:noProof/>
          <w:szCs w:val="24"/>
        </w:rPr>
      </w:pPr>
      <w:r>
        <w:rPr>
          <w:noProof/>
        </w:rPr>
        <w:t>Agentura ENISA působí jako odborné středisko zaměřené na zvýšení b</w:t>
      </w:r>
      <w:r>
        <w:rPr>
          <w:noProof/>
        </w:rPr>
        <w:t xml:space="preserve">ezpečnosti sítí a informací v Unii a na podporu budování kapacit členských států. </w:t>
      </w:r>
    </w:p>
    <w:p w:rsidR="00557911" w:rsidRDefault="00623804">
      <w:pPr>
        <w:rPr>
          <w:noProof/>
          <w:szCs w:val="24"/>
        </w:rPr>
      </w:pPr>
      <w:r>
        <w:rPr>
          <w:noProof/>
        </w:rPr>
        <w:t>Agentura ENISA byla zřízena v roce 2004</w:t>
      </w:r>
      <w:r>
        <w:rPr>
          <w:rStyle w:val="FootnoteReference"/>
          <w:noProof/>
        </w:rPr>
        <w:footnoteReference w:id="10"/>
      </w:r>
      <w:r>
        <w:rPr>
          <w:noProof/>
        </w:rPr>
        <w:t>, aby přispěla k celkovému cíli zajištění vysoké úrovně bezpečnosti sítí a informací v EU. Nařízení (EU) č. 526/2013 v roce 2013 stan</w:t>
      </w:r>
      <w:r>
        <w:rPr>
          <w:noProof/>
        </w:rPr>
        <w:t xml:space="preserve">ovilo pro agenturu nový mandát na dobu sedmi let, do roku 2020. Agentura má své kanceláře v Řecku, konkrétně správní sídlo v Heraklionu (Kréta) a hlavní útvary v Aténách.  </w:t>
      </w:r>
    </w:p>
    <w:p w:rsidR="00557911" w:rsidRDefault="00623804">
      <w:pPr>
        <w:rPr>
          <w:noProof/>
          <w:szCs w:val="24"/>
        </w:rPr>
      </w:pPr>
      <w:r>
        <w:rPr>
          <w:noProof/>
        </w:rPr>
        <w:t>Agentura ENISA je ve srovnání s ostatními agenturami EU malou agenturou s nízkým ro</w:t>
      </w:r>
      <w:r>
        <w:rPr>
          <w:noProof/>
        </w:rPr>
        <w:t>zpočtem a počtem zaměstnanců. Má mandát na dobu určitou.</w:t>
      </w:r>
    </w:p>
    <w:p w:rsidR="00557911" w:rsidRDefault="00623804">
      <w:pPr>
        <w:spacing w:after="180"/>
        <w:rPr>
          <w:noProof/>
          <w:szCs w:val="24"/>
        </w:rPr>
      </w:pPr>
      <w:r>
        <w:rPr>
          <w:noProof/>
        </w:rPr>
        <w:t xml:space="preserve">Agentura ENISA podporuje evropské orgány, členské státy a podnikatelský sektor při </w:t>
      </w:r>
      <w:r>
        <w:rPr>
          <w:b/>
          <w:noProof/>
        </w:rPr>
        <w:t>řešení problémů v oblasti bezpečnosti sítí a informací, reagování na tyto problémy a především při předcházení těmto</w:t>
      </w:r>
      <w:r>
        <w:rPr>
          <w:b/>
          <w:noProof/>
        </w:rPr>
        <w:t xml:space="preserve"> problémům.</w:t>
      </w:r>
      <w:r>
        <w:rPr>
          <w:noProof/>
        </w:rPr>
        <w:t xml:space="preserve"> Činí tak prostřednictvím souboru činností napříč pěti oblastmi stanovenými v její strategii</w:t>
      </w:r>
      <w:r>
        <w:rPr>
          <w:rStyle w:val="FootnoteReference"/>
          <w:noProof/>
        </w:rPr>
        <w:footnoteReference w:id="11"/>
      </w:r>
      <w:r>
        <w:rPr>
          <w:noProof/>
        </w:rPr>
        <w:t>:</w:t>
      </w:r>
    </w:p>
    <w:p w:rsidR="00557911" w:rsidRDefault="00623804">
      <w:pPr>
        <w:pStyle w:val="Bullet1"/>
        <w:numPr>
          <w:ilvl w:val="0"/>
          <w:numId w:val="23"/>
        </w:numPr>
        <w:rPr>
          <w:noProof/>
        </w:rPr>
      </w:pPr>
      <w:r>
        <w:rPr>
          <w:noProof/>
        </w:rPr>
        <w:t>Odborné znalosti: poskytování informací a odborných znalostí týkajících se klíčových otázek bezpečnosti sítí a informací.</w:t>
      </w:r>
    </w:p>
    <w:p w:rsidR="00557911" w:rsidRDefault="00623804">
      <w:pPr>
        <w:pStyle w:val="Bullet1"/>
        <w:rPr>
          <w:noProof/>
        </w:rPr>
      </w:pPr>
      <w:r>
        <w:rPr>
          <w:noProof/>
        </w:rPr>
        <w:t>Politika: podpora tvorby pol</w:t>
      </w:r>
      <w:r>
        <w:rPr>
          <w:noProof/>
        </w:rPr>
        <w:t>itik a jejich provádění v Unii.</w:t>
      </w:r>
    </w:p>
    <w:p w:rsidR="00557911" w:rsidRDefault="00623804">
      <w:pPr>
        <w:pStyle w:val="Bullet1"/>
        <w:rPr>
          <w:noProof/>
        </w:rPr>
      </w:pPr>
      <w:r>
        <w:rPr>
          <w:noProof/>
        </w:rPr>
        <w:t>Kapacita: podpora budování kapacit v Unii (např. prostřednictvím školení, doporučení, osvětových činností).</w:t>
      </w:r>
    </w:p>
    <w:p w:rsidR="00557911" w:rsidRDefault="00623804">
      <w:pPr>
        <w:pStyle w:val="Bullet1"/>
        <w:rPr>
          <w:noProof/>
        </w:rPr>
      </w:pPr>
      <w:r>
        <w:rPr>
          <w:noProof/>
        </w:rPr>
        <w:t>Společenství: podpora komunity v oblasti bezpečnosti sítí a informací (např. podpora skupin pro reakce na počítačové</w:t>
      </w:r>
      <w:r>
        <w:rPr>
          <w:noProof/>
        </w:rPr>
        <w:t xml:space="preserve"> hrozby (CERT), koordinace celoevropských kybernetických cvičení).</w:t>
      </w:r>
    </w:p>
    <w:p w:rsidR="00557911" w:rsidRDefault="00623804">
      <w:pPr>
        <w:pStyle w:val="Bullet1"/>
        <w:rPr>
          <w:noProof/>
        </w:rPr>
      </w:pPr>
      <w:r>
        <w:rPr>
          <w:noProof/>
        </w:rPr>
        <w:t>Umožňování (např. spolupráce se zúčastněnými stranami a zapojení v rámci mezinárodních vztahů).</w:t>
      </w:r>
    </w:p>
    <w:p w:rsidR="00557911" w:rsidRDefault="00557911">
      <w:pPr>
        <w:spacing w:after="0"/>
        <w:ind w:left="714"/>
        <w:rPr>
          <w:noProof/>
          <w:szCs w:val="24"/>
        </w:rPr>
      </w:pPr>
    </w:p>
    <w:p w:rsidR="00557911" w:rsidRDefault="00623804">
      <w:pPr>
        <w:spacing w:after="180"/>
        <w:rPr>
          <w:noProof/>
          <w:szCs w:val="24"/>
        </w:rPr>
      </w:pPr>
      <w:r>
        <w:rPr>
          <w:noProof/>
        </w:rPr>
        <w:t xml:space="preserve">V průběhu jednání o směrnici o bezpečnosti sítí a informací se spolunormotvůrci EU rozhodli </w:t>
      </w:r>
      <w:r>
        <w:rPr>
          <w:noProof/>
        </w:rPr>
        <w:t>svěřit agentuře ENISA důležité úkoly při provádění této směrnice. Agentura zejména zajišťuje služby sekretariátu pro síť CSIRT (zřízenou za účelem podpory rychlé a účinné operativní spolupráce mezi členskými státy při konkrétních kybernetických bezpečnostn</w:t>
      </w:r>
      <w:r>
        <w:rPr>
          <w:noProof/>
        </w:rPr>
        <w:t>ích incidentech a při sdílení informací o rizicích) a jejím úkolem je rovněž být nápomocna skupině pro spolupráci při plnění jejích úkolů. Kromě toho směrnice požaduje, aby agentura ENISA pomáhala členským státům a Komisi poskytováním odborných rad a dopor</w:t>
      </w:r>
      <w:r>
        <w:rPr>
          <w:noProof/>
        </w:rPr>
        <w:t>učení a usnadňováním výměny osvědčených postupů.</w:t>
      </w:r>
    </w:p>
    <w:p w:rsidR="00557911" w:rsidRDefault="00623804">
      <w:pPr>
        <w:spacing w:after="180"/>
        <w:rPr>
          <w:noProof/>
          <w:szCs w:val="24"/>
        </w:rPr>
      </w:pPr>
      <w:r>
        <w:rPr>
          <w:noProof/>
        </w:rPr>
        <w:t>Komise v souladu s nařízením o agentuře ENISA vypracovala hodnocení agentury, které zahrnuje nezávislou studii, jakož i veřejnou konzultaci. V rámci hodnocení se posuzovaly význam, dopad, účinnost, efektivit</w:t>
      </w:r>
      <w:r>
        <w:rPr>
          <w:noProof/>
        </w:rPr>
        <w:t>a, soudržnost a evropská přidaná hodnota agentury s ohledem na její výkon, řízení, vnitřní organizační strukturu a pracovní postupy v období 2013–2016.</w:t>
      </w:r>
    </w:p>
    <w:p w:rsidR="00557911" w:rsidRDefault="00623804">
      <w:pPr>
        <w:spacing w:after="180"/>
        <w:rPr>
          <w:noProof/>
          <w:szCs w:val="24"/>
        </w:rPr>
      </w:pPr>
      <w:r>
        <w:rPr>
          <w:noProof/>
        </w:rPr>
        <w:t>Většina respondentů</w:t>
      </w:r>
      <w:r>
        <w:rPr>
          <w:rStyle w:val="FootnoteReference"/>
          <w:noProof/>
        </w:rPr>
        <w:footnoteReference w:id="12"/>
      </w:r>
      <w:r>
        <w:rPr>
          <w:noProof/>
        </w:rPr>
        <w:t xml:space="preserve"> (74 %) v rámci veřejné konzultace hodnotila celkový výkon agentury ENISA kladně. Vě</w:t>
      </w:r>
      <w:r>
        <w:rPr>
          <w:noProof/>
        </w:rPr>
        <w:t xml:space="preserve">tšina respondentů se dále domnívala, že agentura ENISA dosahuje svých různých cílů (u každého z cílů alespoň 63 %). Služby a produkty agentury ENISA pravidelně (každý měsíc nebo častěji) používá téměř polovina respondentů (46 %) a oceňována je skutečnost, </w:t>
      </w:r>
      <w:r>
        <w:rPr>
          <w:noProof/>
        </w:rPr>
        <w:t xml:space="preserve">že jsou zajišťovány subjektem na úrovni EU (83 %) a jejich kvalita (62 %). </w:t>
      </w:r>
    </w:p>
    <w:p w:rsidR="00557911" w:rsidRDefault="00623804">
      <w:pPr>
        <w:spacing w:after="180"/>
        <w:rPr>
          <w:noProof/>
          <w:szCs w:val="24"/>
        </w:rPr>
      </w:pPr>
      <w:r>
        <w:rPr>
          <w:noProof/>
        </w:rPr>
        <w:t>Velká většina respondentů (88 %) se však domnívala, že stávající nástroje a mechanismy dostupné na úrovni EU jsou pro řešení stávajících kybernetických bezpečnostních výzev nedosta</w:t>
      </w:r>
      <w:r>
        <w:rPr>
          <w:noProof/>
        </w:rPr>
        <w:t>tečné nebo pouze částečně přiměřené. Převážná většina respondentů (98 %) uvedla, že by tyto potřeby měla řešit instituce EU, a 99 % z těchto respondentů se domnívalo, že by to měla být právě agentura ENISA. Kromě toho 67,5 % respondentů vyjádřilo názor, že</w:t>
      </w:r>
      <w:r>
        <w:rPr>
          <w:noProof/>
        </w:rPr>
        <w:t xml:space="preserve"> ENISA by se mohla zapojit do vytváření harmonizovaného rámce pro certifikaci bezpečnosti produktů a služeb IT. </w:t>
      </w:r>
    </w:p>
    <w:p w:rsidR="00557911" w:rsidRDefault="00623804">
      <w:pPr>
        <w:rPr>
          <w:noProof/>
          <w:szCs w:val="24"/>
        </w:rPr>
      </w:pPr>
      <w:r>
        <w:rPr>
          <w:noProof/>
        </w:rPr>
        <w:t>V rámci celkového hodnocení (vycházejícího nejen ze zmíněné veřejné konzultace, ale také z řady individuálních rozhovorů, dalších cílených průz</w:t>
      </w:r>
      <w:r>
        <w:rPr>
          <w:noProof/>
        </w:rPr>
        <w:t xml:space="preserve">kumů a seminářů) se dospělo k následujícím závěrům: </w:t>
      </w:r>
    </w:p>
    <w:p w:rsidR="00557911" w:rsidRDefault="00623804">
      <w:pPr>
        <w:pStyle w:val="Bullet0"/>
        <w:rPr>
          <w:noProof/>
        </w:rPr>
      </w:pPr>
      <w:r>
        <w:rPr>
          <w:noProof/>
        </w:rPr>
        <w:t>Cíle agentury ENISA jsou stále aktuální. V kontextu rychlého technologického vývoje a nových hrozeb a s ohledem na rostoucí celosvětová kybernetická bezpečnostní rizika existuje v EU jasná potřeba podpor</w:t>
      </w:r>
      <w:r>
        <w:rPr>
          <w:noProof/>
        </w:rPr>
        <w:t>ovat a dále posilovat technické odborné znalosti na vysoké úrovni, co se týče otázek kybernetické bezpečnosti. V členských státech je třeba budovat kapacity pro rozpoznávání hrozeb a reagování na ně a zúčastněné strany musí spolupracovat napříč tematickými</w:t>
      </w:r>
      <w:r>
        <w:rPr>
          <w:noProof/>
        </w:rPr>
        <w:t xml:space="preserve"> oblastmi a napříč institucemi. </w:t>
      </w:r>
    </w:p>
    <w:p w:rsidR="00557911" w:rsidRDefault="00623804">
      <w:pPr>
        <w:pStyle w:val="Bullet0"/>
        <w:rPr>
          <w:noProof/>
        </w:rPr>
      </w:pPr>
      <w:r>
        <w:rPr>
          <w:noProof/>
        </w:rPr>
        <w:t>I přes svůj malý rozpočet je agentura při využívání svých zdrojů a provádění svých úkolů z provozního hlediska efektivní. Nicméně rozdělení umístění mezi Atény a Heraklion také způsobilo další administrativní náklady.</w:t>
      </w:r>
    </w:p>
    <w:p w:rsidR="00557911" w:rsidRDefault="00623804">
      <w:pPr>
        <w:pStyle w:val="Bullet0"/>
        <w:rPr>
          <w:noProof/>
        </w:rPr>
      </w:pPr>
      <w:r>
        <w:rPr>
          <w:noProof/>
        </w:rPr>
        <w:t xml:space="preserve">Z </w:t>
      </w:r>
      <w:r>
        <w:rPr>
          <w:noProof/>
        </w:rPr>
        <w:t>hlediska účinnosti agentura ENISA částečně splnila své cíle. Agentura úspěšně přispěla ke zlepšení bezpečnosti sítí a informací v Evropě, a to tím, že zajistila budování kapacit ve 28 členských státech</w:t>
      </w:r>
      <w:r>
        <w:rPr>
          <w:rStyle w:val="FootnoteReference"/>
          <w:noProof/>
        </w:rPr>
        <w:footnoteReference w:id="13"/>
      </w:r>
      <w:r>
        <w:rPr>
          <w:noProof/>
        </w:rPr>
        <w:t>, posílila spolupráci mezi členskými státy a zúčastněn</w:t>
      </w:r>
      <w:r>
        <w:rPr>
          <w:noProof/>
        </w:rPr>
        <w:t>ými stranami z oblasti bezpečností sítí a informací a zajistila odborné znalosti, budování komunit a podporu pro rozvoj politik. Celkově lze říci, že se agentura ENISA pečlivě soustředila na provádění svého pracovního programu, a ve vztahu ke svým zúčastně</w:t>
      </w:r>
      <w:r>
        <w:rPr>
          <w:noProof/>
        </w:rPr>
        <w:t xml:space="preserve">ným stranám jednala jako důvěryhodný partner, a to v oblasti, jejíž tak silný přeshraniční význam byl uznán teprve nedávno. </w:t>
      </w:r>
    </w:p>
    <w:p w:rsidR="00557911" w:rsidRDefault="00623804">
      <w:pPr>
        <w:pStyle w:val="Bullet0"/>
        <w:rPr>
          <w:noProof/>
        </w:rPr>
      </w:pPr>
      <w:r>
        <w:rPr>
          <w:noProof/>
        </w:rPr>
        <w:t>Agentuře ENISA se, alespoň do určité míry, podařilo ovlivnit rozsáhlou oblast bezpečnosti sítí a informací, nepodařilo se jí však p</w:t>
      </w:r>
      <w:r>
        <w:rPr>
          <w:noProof/>
        </w:rPr>
        <w:t>lně uspět při budování silné značky a při získávání dostatečné viditelnosti, aby začala být uznávána jako „ono“ odborné středisko v Evropě. Vysvětlení této skutečnosti spočívá v širokém mandátu agentury ENISA, která nebyla vybavena úměrně dostatečnými pros</w:t>
      </w:r>
      <w:r>
        <w:rPr>
          <w:noProof/>
        </w:rPr>
        <w:t>tředky. Kromě toho agentura ENISA zůstává jedinou agenturou EU s mandátem na dobu určitou, což omezuje její schopnost rozvíjet dlouhodobou vizi a udržitelným způsobem podporovat své zúčastněné strany. Je to rovněž v rozporu s ustanoveními směrnice o bezpeč</w:t>
      </w:r>
      <w:r>
        <w:rPr>
          <w:noProof/>
        </w:rPr>
        <w:t xml:space="preserve">nosti sítí a informací, která agentuře ENISA svěřují úkoly, u nichž není stanoveno konečné datum. A konečně, na základě posouzení bylo zjištěno, že tuto omezenou účinnost lze částečně vysvětlit vysokou mírou spoléhání se na vnější odborné znalosti namísto </w:t>
      </w:r>
      <w:r>
        <w:rPr>
          <w:noProof/>
        </w:rPr>
        <w:t>interních odborných znalostí a obtížemi s najímáním specializovaných zaměstnanců a s jejich udržením.</w:t>
      </w:r>
    </w:p>
    <w:p w:rsidR="00557911" w:rsidRDefault="00623804">
      <w:pPr>
        <w:pStyle w:val="Bullet0"/>
        <w:rPr>
          <w:noProof/>
        </w:rPr>
      </w:pPr>
      <w:r>
        <w:rPr>
          <w:noProof/>
        </w:rPr>
        <w:t xml:space="preserve">V neposlední řadě hodnocení dospělo k závěru, že přidaná hodnota agentury ENISA spočívá především ve schopnosti agentury posilovat spolupráci hlavně mezi </w:t>
      </w:r>
      <w:r>
        <w:rPr>
          <w:noProof/>
        </w:rPr>
        <w:t>členskými státy, a zvláště se spřízněnými komunitami v oblasti bezpečnosti sítí a informací (zejména mezi skupinami CSIRT). Na úrovni EU není žádný jiný subjekt, který podporuje tak široké spektrum zúčastněných stran z oblasti bezpečnosti sítí a informací.</w:t>
      </w:r>
      <w:r>
        <w:rPr>
          <w:noProof/>
        </w:rPr>
        <w:t xml:space="preserve"> Vzhledem k tomu, že agentura ENISA musí přísně dbát na priority své činnosti, se její pracovní program řídí převážně potřebami členských států. V důsledku toho agentura dostatečně neřeší potřeby jiných zúčastněných stran, zejména průmyslu. Agentura také k</w:t>
      </w:r>
      <w:r>
        <w:rPr>
          <w:noProof/>
        </w:rPr>
        <w:t>vůli tomu reaguje v zájmu uspokojování potřeb svých klíčových zúčastněných stran, což jí brání v dosažení většího dopadu. Přidaná hodnota, již agentura poskytovala, se proto lišila v závislosti na rozdílných potřebách jejích zúčastněných stran a podle míry</w:t>
      </w:r>
      <w:r>
        <w:rPr>
          <w:noProof/>
        </w:rPr>
        <w:t xml:space="preserve">, do jaké byla agentura schopna na tyto potřeby reagovat (např. velké versus malé členské státy, členské státy versus průmysl). </w:t>
      </w:r>
    </w:p>
    <w:p w:rsidR="00557911" w:rsidRDefault="00623804">
      <w:pPr>
        <w:rPr>
          <w:noProof/>
          <w:szCs w:val="24"/>
        </w:rPr>
      </w:pPr>
      <w:r>
        <w:rPr>
          <w:noProof/>
        </w:rPr>
        <w:t>Souhrnně lze říci, že výsledky konzultace se zúčastněnými stranami a hodnocení naznačují, že mandát a prostředky agentury ENISA</w:t>
      </w:r>
      <w:r>
        <w:rPr>
          <w:noProof/>
        </w:rPr>
        <w:t xml:space="preserve"> je třeba upravit, aby mohla agentura hrát odpovídající úlohu při reagování na současné i budoucí problémy. </w:t>
      </w:r>
    </w:p>
    <w:p w:rsidR="00557911" w:rsidRDefault="00623804">
      <w:pPr>
        <w:spacing w:after="0"/>
        <w:rPr>
          <w:rFonts w:eastAsia="Calibri"/>
          <w:noProof/>
          <w:szCs w:val="24"/>
        </w:rPr>
      </w:pPr>
      <w:r>
        <w:rPr>
          <w:noProof/>
        </w:rPr>
        <w:t>Tento návrh s ohledem na tato zjištění přezkoumává stávající mandát agentury ENISA a stanoví obnovený soubor úkolů a funkcí s cílem účinně a efekti</w:t>
      </w:r>
      <w:r>
        <w:rPr>
          <w:noProof/>
        </w:rPr>
        <w:t xml:space="preserve">vně podporovat členské státy, orgány EU a další zúčastněné strany v jejich úsilí zajistit bezpečný kyberprostor v Evropské unii. Nový navrhovaný mandát se snaží udělit agentuře silnější a více ústřední úlohu, zejména tím, že rovněž podporuje členské státy </w:t>
      </w:r>
      <w:r>
        <w:rPr>
          <w:noProof/>
        </w:rPr>
        <w:t>při provádění směrnice o bezpečnosti sítí a informací a při aktivnějším čelení konkrétním hrozbám (operativní kapacita), a také tím, že se agentura stane odborným střediskem podporujícím členské státy a Komisi v otázkách certifikace kybernetické bezpečnost</w:t>
      </w:r>
      <w:r>
        <w:rPr>
          <w:noProof/>
        </w:rPr>
        <w:t xml:space="preserve">i. Podle tohoto návrhu: </w:t>
      </w:r>
    </w:p>
    <w:p w:rsidR="00557911" w:rsidRDefault="00623804">
      <w:pPr>
        <w:pStyle w:val="Bullet0"/>
        <w:rPr>
          <w:noProof/>
        </w:rPr>
      </w:pPr>
      <w:r>
        <w:rPr>
          <w:noProof/>
        </w:rPr>
        <w:t>Agentuře ENISA by byl udělen trvalý mandát a agentura by tak do budoucna měla pevný základ. Mandát, cíle a úkoly by stále měly podléhat pravidelnému přezkumu.</w:t>
      </w:r>
    </w:p>
    <w:p w:rsidR="00557911" w:rsidRDefault="00623804">
      <w:pPr>
        <w:pStyle w:val="Bullet0"/>
        <w:rPr>
          <w:noProof/>
        </w:rPr>
      </w:pPr>
      <w:r>
        <w:rPr>
          <w:noProof/>
        </w:rPr>
        <w:t>Navrhovaný mandát dále upřesňuje úlohu agentury ENISA jakožto agentury EU pro kybernetickou bezpečnost a jakožto referenčního místa v kybernetickobezpečnostním ekosystému EU, které úzce spolupracuje se všemi dalšími příslušnými subjekty v tomto ekosystému.</w:t>
      </w:r>
      <w:r>
        <w:rPr>
          <w:noProof/>
        </w:rPr>
        <w:t xml:space="preserve"> </w:t>
      </w:r>
    </w:p>
    <w:p w:rsidR="00557911" w:rsidRDefault="00623804">
      <w:pPr>
        <w:pStyle w:val="Bullet0"/>
        <w:rPr>
          <w:noProof/>
        </w:rPr>
      </w:pPr>
      <w:r>
        <w:rPr>
          <w:noProof/>
        </w:rPr>
        <w:t xml:space="preserve">Organizace a řízení agentury, které byly v průběhu hodnocení posouzeny kladně, by byly přezkoumány pouze mírně, zejména aby se zajistilo, že v práci agentury se lépe odrážejí potřeby širšího společenství zúčastněných stran. </w:t>
      </w:r>
    </w:p>
    <w:p w:rsidR="00557911" w:rsidRDefault="00623804">
      <w:pPr>
        <w:pStyle w:val="Bullet0"/>
        <w:rPr>
          <w:noProof/>
        </w:rPr>
      </w:pPr>
      <w:r>
        <w:rPr>
          <w:noProof/>
        </w:rPr>
        <w:t xml:space="preserve">Navrhovaný rozsah mandátu je </w:t>
      </w:r>
      <w:r>
        <w:rPr>
          <w:noProof/>
        </w:rPr>
        <w:t>vymezen tak, aby posílil oblasti, kde se ukázala jasná přidaná hodnota agentury, a aby byly přidány nové oblasti, v nichž je nezbytná pomoc s ohledem na nové politické priority a nástroje, zejména na směrnici o bezpečnosti sítí a informací, na přezkum stra</w:t>
      </w:r>
      <w:r>
        <w:rPr>
          <w:noProof/>
        </w:rPr>
        <w:t>tegie kybernetické bezpečnosti Evropské unie a na nadcházející plán kybernetické bezpečnosti EU pro koordinaci v případě kybernetických krizí a pro certifikaci bezpečnosti IKT.</w:t>
      </w:r>
    </w:p>
    <w:p w:rsidR="00557911" w:rsidRDefault="00623804">
      <w:pPr>
        <w:pStyle w:val="Bullet1"/>
        <w:rPr>
          <w:noProof/>
        </w:rPr>
      </w:pPr>
      <w:r>
        <w:rPr>
          <w:b/>
          <w:noProof/>
        </w:rPr>
        <w:t xml:space="preserve">Rozvoj a provádění politiky EU: </w:t>
      </w:r>
      <w:r>
        <w:rPr>
          <w:noProof/>
        </w:rPr>
        <w:t>Agentura ENISA by byla pověřena, aby aktivně př</w:t>
      </w:r>
      <w:r>
        <w:rPr>
          <w:noProof/>
        </w:rPr>
        <w:t>ispívala k rozvoji politiky v oblasti bezpečnosti sítí a informací, jakož i k dalším politickým iniciativám s prvky kybernetické bezpečnosti v různých odvětvích (např. energetika, doprava, finančnictví). Za tímto účelem by měla silnou poradní úlohu, kterou</w:t>
      </w:r>
      <w:r>
        <w:rPr>
          <w:noProof/>
        </w:rPr>
        <w:t xml:space="preserve"> by mohla naplňovat poskytováním nezávislých stanovisek a přípravnými činnostmi pro rozvoj a aktualizaci politiky a právních předpisů. Agentura ENISA by rovněž podporovala politiku a právní předpisy EU v oblastech elektronických komunikací, elektronické id</w:t>
      </w:r>
      <w:r>
        <w:rPr>
          <w:noProof/>
        </w:rPr>
        <w:t>entity a služeb vytvářejících důvěru, a to s cílem podporovat vyšší úroveň kybernetické bezpečnosti. Ve fázi provádění, zejména v kontextu skupiny pro spolupráci v oblasti bezpečnosti sítí a informací, by agentura ENISA pomáhala členským státům dosahovat j</w:t>
      </w:r>
      <w:r>
        <w:rPr>
          <w:noProof/>
        </w:rPr>
        <w:t>ednotného přístupu k provádění směrnice o bezpečnosti sítí a informací napříč hranicemi a odvětvími, jakož i v dalších oblastech příslušných politik a právních předpisů. S cílem podpořit pravidelný přezkum politik a právních předpisů v oblasti kybernetické</w:t>
      </w:r>
      <w:r>
        <w:rPr>
          <w:noProof/>
        </w:rPr>
        <w:t xml:space="preserve"> bezpečnosti by agentura ENISA rovněž podávala pravidelné zprávy o stavu provádění právního rámce EU. </w:t>
      </w:r>
    </w:p>
    <w:p w:rsidR="00557911" w:rsidRDefault="00623804">
      <w:pPr>
        <w:pStyle w:val="Bullet1"/>
        <w:rPr>
          <w:noProof/>
        </w:rPr>
      </w:pPr>
      <w:r>
        <w:rPr>
          <w:b/>
          <w:noProof/>
        </w:rPr>
        <w:t>Budování kapacit:</w:t>
      </w:r>
      <w:r>
        <w:rPr>
          <w:noProof/>
        </w:rPr>
        <w:t xml:space="preserve"> Agentura ENISA by přispívala ke zlepšení schopností a odborných znalostí orgánů EU a vnitrostátních veřejných orgánů členských států, v</w:t>
      </w:r>
      <w:r>
        <w:rPr>
          <w:noProof/>
        </w:rPr>
        <w:t>četně schopností a znalostí týkajících se reakcí na incidenty a dozoru nad regulačními opatřeními souvisejícími s kybernetickou bezpečností. Agentura by rovněž byla povinna přispět ke zřízení středisek pro analýzu a sdílení informací v různých odvětvích, a</w:t>
      </w:r>
      <w:r>
        <w:rPr>
          <w:noProof/>
        </w:rPr>
        <w:t xml:space="preserve"> to tím, že by poskytovala osvědčené postupy a pokyny k dostupným nástrojům a postupům, jakož i tím, že by odpovídajícím způsobem řešila regulační otázky týkající se sdílení informací.</w:t>
      </w:r>
    </w:p>
    <w:p w:rsidR="00557911" w:rsidRDefault="00623804">
      <w:pPr>
        <w:pStyle w:val="Bullet1"/>
        <w:rPr>
          <w:noProof/>
        </w:rPr>
      </w:pPr>
      <w:r>
        <w:rPr>
          <w:b/>
          <w:noProof/>
        </w:rPr>
        <w:t>Znalosti a informace, zvyšování informovanosti:</w:t>
      </w:r>
      <w:r>
        <w:rPr>
          <w:noProof/>
        </w:rPr>
        <w:t xml:space="preserve"> Agentura ENISA by se st</w:t>
      </w:r>
      <w:r>
        <w:rPr>
          <w:noProof/>
        </w:rPr>
        <w:t xml:space="preserve">ala informačním centrem EU. To by znamenalo podporu a sdílení osvědčených postupů a iniciativ v celé EU prostřednictvím shromažďování informací o kybernetické bezpečnosti získaných od unijních a vnitrostátních orgánů, institucí a jiných subjektů. Agentura </w:t>
      </w:r>
      <w:r>
        <w:rPr>
          <w:noProof/>
        </w:rPr>
        <w:t xml:space="preserve">by rovněž zpřístupňovala poradenství, pokyny a osvědčené postupy týkající se bezpečnosti kritických infrastruktur. Po významných přeshraničních kybernetických bezpečnostních incidentech by agentura ENISA dále vypracovávala zprávy s cílem poskytnout pokyny </w:t>
      </w:r>
      <w:r>
        <w:rPr>
          <w:noProof/>
        </w:rPr>
        <w:t xml:space="preserve">podnikům a občanům v celé EU. Tato řada úkolů by rovněž zahrnovala pravidelné organizování činností na zvyšování informovanosti ve spolupráci s orgány členských států. </w:t>
      </w:r>
    </w:p>
    <w:p w:rsidR="00557911" w:rsidRDefault="00623804">
      <w:pPr>
        <w:pStyle w:val="Bullet1"/>
        <w:rPr>
          <w:noProof/>
        </w:rPr>
      </w:pPr>
      <w:r>
        <w:rPr>
          <w:b/>
          <w:noProof/>
        </w:rPr>
        <w:t>Úkoly související s trhem (normalizace, certifikace kybernetické bezpečnosti):</w:t>
      </w:r>
      <w:r>
        <w:rPr>
          <w:noProof/>
        </w:rPr>
        <w:t xml:space="preserve"> agentura</w:t>
      </w:r>
      <w:r>
        <w:rPr>
          <w:noProof/>
        </w:rPr>
        <w:t xml:space="preserve"> ENISA by vykonávala řadu funkcí, které by konkrétně podporovaly vnitřní trh a pokrývaly „sledování trhu“ kybernetické bezpečnosti, a to tak, že by analyzovala příslušné trendy na trhu kybernetické bezpečnosti, aby bylo možné lépe sladit nabídku a poptávku</w:t>
      </w:r>
      <w:r>
        <w:rPr>
          <w:noProof/>
        </w:rPr>
        <w:t xml:space="preserve">, a podporovala by rozvoj politiky EU v oblastech normalizace IKT a certifikace kybernetické bezpečnosti IKT. Zejména, pokud jde o normalizaci, by agentura usnadňovala vytváření a zavádění norem kybernetické bezpečnosti. Agentura by rovněž prováděla úkoly </w:t>
      </w:r>
      <w:r>
        <w:rPr>
          <w:noProof/>
        </w:rPr>
        <w:t xml:space="preserve">předpokládané v souvislosti s budoucím rámcem pro certifikaci (viz oddíl níže). </w:t>
      </w:r>
    </w:p>
    <w:p w:rsidR="00557911" w:rsidRDefault="00623804">
      <w:pPr>
        <w:pStyle w:val="Bullet1"/>
        <w:rPr>
          <w:noProof/>
        </w:rPr>
      </w:pPr>
      <w:r>
        <w:rPr>
          <w:b/>
          <w:noProof/>
        </w:rPr>
        <w:t xml:space="preserve">Výzkum a inovace: </w:t>
      </w:r>
      <w:r>
        <w:rPr>
          <w:noProof/>
        </w:rPr>
        <w:t xml:space="preserve">agentura ENISA by přispěla svými odbornými znalostmi tím, že by orgánům EU a vnitrostátním orgánům poskytovala poradenství ke stanovení priorit ve výzkumu a </w:t>
      </w:r>
      <w:r>
        <w:rPr>
          <w:noProof/>
        </w:rPr>
        <w:t>vývoji, a to i v kontextu smluvního partnerství veřejného a soukromého sektoru pro kybernetickou bezpečnost. Doporučení agentury ENISA v oblasti výzkumu by se v rámci příštího víceletého finančního rámce shromažďovala v novém evropském výzkumném a odborném</w:t>
      </w:r>
      <w:r>
        <w:rPr>
          <w:noProof/>
        </w:rPr>
        <w:t xml:space="preserve"> středisku pro kybernetickou bezpečnost. Pokud by o to byla požádána Komisí, agentura ENISA by se rovněž účastnila provádění programů EU v oblasti financování výzkumu a inovací.</w:t>
      </w:r>
    </w:p>
    <w:p w:rsidR="00557911" w:rsidRDefault="00623804">
      <w:pPr>
        <w:pStyle w:val="Bullet1"/>
        <w:rPr>
          <w:noProof/>
        </w:rPr>
      </w:pPr>
      <w:r>
        <w:rPr>
          <w:b/>
          <w:noProof/>
        </w:rPr>
        <w:t>Operativní spolupráce a řešení krizí:</w:t>
      </w:r>
      <w:r>
        <w:rPr>
          <w:noProof/>
        </w:rPr>
        <w:t xml:space="preserve"> tato řada úkolů by měla vycházet z posíl</w:t>
      </w:r>
      <w:r>
        <w:rPr>
          <w:noProof/>
        </w:rPr>
        <w:t>ení stávajících preventivních operativních schopností, zejména z aktualizace celoevropských cvičení v oblasti kybernetické bezpečnosti (Cyber Europe) tak, že se budou konat každoročně, a z podpůrné role při operativní spolupráci jakožto sekretariát sítě CS</w:t>
      </w:r>
      <w:r>
        <w:rPr>
          <w:noProof/>
        </w:rPr>
        <w:t xml:space="preserve">IRT (podle ustanovení směrnice o bezpečnosti sítí a informací) tím, že agentura bude mimo jiné zajišťovat řádné fungování infrastruktury IT sítě CSIRT a jejích komunikačních kanálů. V této souvislosti by byla vyžadována strukturovaná spolupráce s CERT-EU, </w:t>
      </w:r>
      <w:r>
        <w:rPr>
          <w:noProof/>
        </w:rPr>
        <w:t>Evropským centrem pro boj proti kyberkriminalitě (EC3) a dalšími příslušnými subjekty EU. Kromě toho by strukturovaná spolupráce s CERT-EU, v těsné fyzické blízkosti, měla vést k funkci spočívající v poskytování technické pomoci v případě významných incide</w:t>
      </w:r>
      <w:r>
        <w:rPr>
          <w:noProof/>
        </w:rPr>
        <w:t xml:space="preserve">ntů a v podpoře analýzy incidentu. Členským státům, které o to požádají, se dostane pomoci při řešení incidentů a podpory při analýze zranitelnosti, artefaktů a incidentů s cílem posílit jejich vlastní schopnosti, co se týče prevence a reakce. </w:t>
      </w:r>
    </w:p>
    <w:p w:rsidR="00557911" w:rsidRDefault="00623804">
      <w:pPr>
        <w:pStyle w:val="Bullet1"/>
        <w:rPr>
          <w:rFonts w:eastAsia="Calibri"/>
          <w:noProof/>
        </w:rPr>
      </w:pPr>
      <w:r>
        <w:rPr>
          <w:noProof/>
        </w:rPr>
        <w:t>Agentura EN</w:t>
      </w:r>
      <w:r>
        <w:rPr>
          <w:noProof/>
        </w:rPr>
        <w:t xml:space="preserve">ISA by rovněž hrála úlohu v </w:t>
      </w:r>
      <w:r>
        <w:rPr>
          <w:b/>
          <w:noProof/>
        </w:rPr>
        <w:t>plánu kybernetické bezpečnosti EU</w:t>
      </w:r>
      <w:r>
        <w:rPr>
          <w:noProof/>
        </w:rPr>
        <w:t xml:space="preserve"> představeném jako součást tohoto balíčku a ve stanovování doporučení Komise určeného členským státům ohledně koordinované reakce na rozsáhlé přeshraniční kybernetické bezpečnostní incidenty a kr</w:t>
      </w:r>
      <w:r>
        <w:rPr>
          <w:noProof/>
        </w:rPr>
        <w:t>ize na úrovni EU</w:t>
      </w:r>
      <w:r>
        <w:rPr>
          <w:rStyle w:val="FootnoteReference"/>
          <w:noProof/>
        </w:rPr>
        <w:footnoteReference w:id="14"/>
      </w:r>
      <w:r>
        <w:rPr>
          <w:noProof/>
        </w:rPr>
        <w:t>. Agentura ENISA by usnadnila spolupráci mezi jednotlivými členskými státy při řešení reakcí na mimořádné události, a to tím, že by na základě informací, které agentuře na bázi dobrovolnosti poskytnou členské státy a jiné subjekty, analyzo</w:t>
      </w:r>
      <w:r>
        <w:rPr>
          <w:noProof/>
        </w:rPr>
        <w:t>vala a agregovala vnitrostátní situační zprávy.</w:t>
      </w:r>
    </w:p>
    <w:p w:rsidR="00557911" w:rsidRDefault="00557911">
      <w:pPr>
        <w:contextualSpacing/>
        <w:rPr>
          <w:noProof/>
          <w:szCs w:val="24"/>
        </w:rPr>
      </w:pPr>
    </w:p>
    <w:p w:rsidR="00557911" w:rsidRDefault="00623804">
      <w:pPr>
        <w:pStyle w:val="Bullet0"/>
        <w:rPr>
          <w:b/>
          <w:noProof/>
        </w:rPr>
      </w:pPr>
      <w:r>
        <w:rPr>
          <w:b/>
          <w:noProof/>
        </w:rPr>
        <w:t>Certifikace kybernetické bezpečnosti produktů a služeb IKT</w:t>
      </w:r>
    </w:p>
    <w:p w:rsidR="00557911" w:rsidRDefault="00623804">
      <w:pPr>
        <w:rPr>
          <w:noProof/>
        </w:rPr>
      </w:pPr>
      <w:r>
        <w:rPr>
          <w:noProof/>
        </w:rPr>
        <w:t>Za účelem vytvoření a zachování důvěry a bezpečnosti musí být bezpečnostní prvky do produktů a služeb IKT začleněny přímo v raných fázích jejich tec</w:t>
      </w:r>
      <w:r>
        <w:rPr>
          <w:noProof/>
        </w:rPr>
        <w:t xml:space="preserve">hnického designu a vývoje (bezpečnost coby aspekt návrhu). Zákazníci a uživatelé navíc musí být schopni zjistit úroveň záruk bezpečnosti produktů a služeb, které si pořídí nebo koupí. </w:t>
      </w:r>
    </w:p>
    <w:p w:rsidR="00557911" w:rsidRDefault="00623804">
      <w:pPr>
        <w:rPr>
          <w:noProof/>
        </w:rPr>
      </w:pPr>
      <w:r>
        <w:rPr>
          <w:noProof/>
        </w:rPr>
        <w:t>Certifikace, která spočívá ve formálním hodnocení produktů, služeb a pr</w:t>
      </w:r>
      <w:r>
        <w:rPr>
          <w:noProof/>
        </w:rPr>
        <w:t>ocesů podle definovaného souboru kritérií a norem provedeném nezávislým a akreditovaným subjektem a ve vydání certifikátu o souladu, hraje důležitou úlohu při zvyšování důvěry v produkty a služby a jejich bezpečnosti. I když hodnocení bezpečnosti představu</w:t>
      </w:r>
      <w:r>
        <w:rPr>
          <w:noProof/>
        </w:rPr>
        <w:t>je relativně technickou oblast, certifikace slouží k tomu, aby kupující a uživatele informovala a ujistila je o bezpečnostních vlastnostech produktů a služeb IKT, které používají nebo si kupují. Jak je uvedeno výše, to platí zejména pro nové systémy, které</w:t>
      </w:r>
      <w:r>
        <w:rPr>
          <w:noProof/>
        </w:rPr>
        <w:t xml:space="preserve"> velkou měrou využívají digitálních technologií a vyžadují vysokou úroveň bezpečnosti, jako jsou například propojené a automatizované automobily, elektronické zdravotnictví, průmyslové automatizační řídicí systémy (IACS)</w:t>
      </w:r>
      <w:r>
        <w:rPr>
          <w:rStyle w:val="FootnoteReference"/>
          <w:noProof/>
        </w:rPr>
        <w:footnoteReference w:id="15"/>
      </w:r>
      <w:r>
        <w:rPr>
          <w:noProof/>
        </w:rPr>
        <w:t xml:space="preserve"> nebo inteligentní sítě.</w:t>
      </w:r>
    </w:p>
    <w:p w:rsidR="00557911" w:rsidRDefault="00623804">
      <w:pPr>
        <w:rPr>
          <w:noProof/>
        </w:rPr>
      </w:pPr>
      <w:r>
        <w:rPr>
          <w:noProof/>
        </w:rPr>
        <w:t xml:space="preserve">Prostředí </w:t>
      </w:r>
      <w:r>
        <w:rPr>
          <w:noProof/>
        </w:rPr>
        <w:t>certifikace kybernetické bezpečnosti produktů a služeb IKT v EU je v současné době poměrně nejednotné. Existuje řada mezinárodních iniciativ, jako například tzv. společná kritéria (CC) pro hodnocení bezpečnosti informačních technologií (norma ISO 15408), c</w:t>
      </w:r>
      <w:r>
        <w:rPr>
          <w:noProof/>
        </w:rPr>
        <w:t>ož je mezinárodní norma pro hodnocení počítačové bezpečnosti. Je založena na hodnocení třetí stranou a předpokládá sedm úrovní záruky hodnocení (Evaluation Assurancec Levels, EAL). Společná kritéria (CC) a doprovodná společná metodika pro hodnocení bezpečn</w:t>
      </w:r>
      <w:r>
        <w:rPr>
          <w:noProof/>
        </w:rPr>
        <w:t xml:space="preserve">osti informačních technologií (CEM) tvoří technický základ pro mezinárodní dohodu, dohodu o uznávání společných kritérií (Common Criteria Recognition Arrangement, CCRA), která zajišťuje, že certifikáty CC jsou uznávány všemi signatáři dohody CCRA. V rámci </w:t>
      </w:r>
      <w:r>
        <w:rPr>
          <w:noProof/>
        </w:rPr>
        <w:t xml:space="preserve">stávající verze dohody CCRA jsou však vzájemně uznávána pouze hodnocení do úrovně EAL 2. Dohodu navíc podepsalo pouze 13 členských států. </w:t>
      </w:r>
    </w:p>
    <w:p w:rsidR="00557911" w:rsidRDefault="00623804">
      <w:pPr>
        <w:rPr>
          <w:noProof/>
        </w:rPr>
      </w:pPr>
      <w:r>
        <w:rPr>
          <w:noProof/>
        </w:rPr>
        <w:t>Certifikační orgány z 12 členských států uzavřely dohodu o vzájemném uznávání týkajícím se certifikátů vydaných v sou</w:t>
      </w:r>
      <w:r>
        <w:rPr>
          <w:noProof/>
        </w:rPr>
        <w:t>ladu s dohodou na základě společných kritérií</w:t>
      </w:r>
      <w:r>
        <w:rPr>
          <w:rStyle w:val="FootnoteReference"/>
          <w:noProof/>
        </w:rPr>
        <w:footnoteReference w:id="16"/>
      </w:r>
      <w:r>
        <w:rPr>
          <w:noProof/>
        </w:rPr>
        <w:t>. Kromě toho v členských státech v současné době existuje nebo je zaváděna řada iniciativ týkajících se certifikace IKT. I když jsou tyto iniciativy důležité, obnáší riziko, že povedou k roztříštění trhu a k pr</w:t>
      </w:r>
      <w:r>
        <w:rPr>
          <w:noProof/>
        </w:rPr>
        <w:t>oblémům s interoperabilitou. V důsledku toho se může stát, že aby společnost mohla nabízet svůj produkt na více trzích, musí podstoupit několik postupů certifikace v různých členských státech. Například výrobce inteligentních měřicích přístrojů, který chce</w:t>
      </w:r>
      <w:r>
        <w:rPr>
          <w:noProof/>
        </w:rPr>
        <w:t xml:space="preserve"> své produkty prodávat ve třech členských státech, např. v Německu, ve Francii a ve Spojeném království, musí v současné době vyhovět třem různým systémům certifikace. Ve Spojeném království je to Commercial Product Assurance (CPA), ve Francii Certificatio</w:t>
      </w:r>
      <w:r>
        <w:rPr>
          <w:noProof/>
        </w:rPr>
        <w:t>n de Sécurité de Premier Niveau (CSPN) a v Německu specifický profil ochrany založený na společných kritériích.</w:t>
      </w:r>
    </w:p>
    <w:p w:rsidR="00557911" w:rsidRDefault="00623804">
      <w:pPr>
        <w:rPr>
          <w:noProof/>
        </w:rPr>
      </w:pPr>
      <w:r>
        <w:rPr>
          <w:noProof/>
        </w:rPr>
        <w:t>Tato situace vede k vyšším nákladům a pro společnosti působící v několika členských státech představuje značnou administrativní zátěž. Ačkoliv n</w:t>
      </w:r>
      <w:r>
        <w:rPr>
          <w:noProof/>
        </w:rPr>
        <w:t>áklady na certifikaci se mohou významně lišit v závislosti na dotčeném produktu/službě, na úrovni záruky hodnocení, o kterou podnik usiluje, a/nebo v závislosti na komponentech, pro podniky jsou tyto náklady obecně značně vysoké. Například náklady na BSI c</w:t>
      </w:r>
      <w:r>
        <w:rPr>
          <w:noProof/>
        </w:rPr>
        <w:t>ertifikát pro ústřednu inteligentních měřicích přístrojů „Smart Meter Gateway“ jsou vyšší než 1 milion EUR (nejvyšší úroveň testování a záruky, která se netýká pouze jednoho výrobku, ale také celé související infrastruktury). Náklady na certifikaci intelig</w:t>
      </w:r>
      <w:r>
        <w:rPr>
          <w:noProof/>
        </w:rPr>
        <w:t>entních měřicích přístrojů ve Spojeném království představují téměř 150 000 EUR. Ve Francii jsou náklady podobné jako ve Spojeném království, tedy asi 150 000 EUR nebo více.</w:t>
      </w:r>
    </w:p>
    <w:p w:rsidR="00557911" w:rsidRDefault="00623804">
      <w:pPr>
        <w:rPr>
          <w:noProof/>
        </w:rPr>
      </w:pPr>
      <w:r>
        <w:rPr>
          <w:noProof/>
        </w:rPr>
        <w:t>Klíčové zúčastněné strany z veřejného a soukromého sektoru uznaly, že neexistuje-l</w:t>
      </w:r>
      <w:r>
        <w:rPr>
          <w:noProof/>
        </w:rPr>
        <w:t>i celoevropský systém certifikace kybernetické bezpečnosti, musí být společnosti v mnoha případech certifikovány jednotlivě v každém členském státě, což vede k roztříštěnosti trhu. Nejdůležitější je, že při neexistenci harmonizačních právních předpisů EU p</w:t>
      </w:r>
      <w:r>
        <w:rPr>
          <w:noProof/>
        </w:rPr>
        <w:t>ro produkty a služby IKT mohou normy a postupy certifikace kybernetické bezpečnosti v členských státech v praxi v EU vytvářet 28 oddělených bezpečnostních trhů, každý se svými vlastními technickými požadavky, zkušebními metodami a postupy certifikace kyber</w:t>
      </w:r>
      <w:r>
        <w:rPr>
          <w:noProof/>
        </w:rPr>
        <w:t xml:space="preserve">netické bezpečnosti. Tyto rozdílné přístupy na vnitrostátní úrovni mohou způsobit – nebude-li na úrovni EU přijato žádné odpovídající opatření – zásadní nezdar při dosahování jednotného digitálního trhu, což zpomalí související pozitivní účinky, pokud jde </w:t>
      </w:r>
      <w:r>
        <w:rPr>
          <w:noProof/>
        </w:rPr>
        <w:t>o růst a pracovní místa, nebo zabrání jejich vzniku.</w:t>
      </w:r>
    </w:p>
    <w:p w:rsidR="00557911" w:rsidRDefault="00623804">
      <w:pPr>
        <w:rPr>
          <w:noProof/>
        </w:rPr>
      </w:pPr>
      <w:r>
        <w:rPr>
          <w:noProof/>
        </w:rPr>
        <w:t>Navrhované nařízení na základě výše uvedeného vývoje zřizuje evropský rámec pro certifikaci kybernetické bezpečnosti (dále jen „</w:t>
      </w:r>
      <w:r>
        <w:rPr>
          <w:b/>
          <w:noProof/>
        </w:rPr>
        <w:t>rámec</w:t>
      </w:r>
      <w:r>
        <w:rPr>
          <w:noProof/>
        </w:rPr>
        <w:t>“) pro produkty a služby IKT a upřesňuje základní funkce a úkoly agent</w:t>
      </w:r>
      <w:r>
        <w:rPr>
          <w:noProof/>
        </w:rPr>
        <w:t>ury ENISA v oblasti certifikace kybernetické bezpečnosti. Tento návrh stanoví celkový rámec pravidel upravujících systémy evropské certifikace kybernetické bezpečnosti. Návrh přímo nezavádí operativní systémy certifikace, ale vytváří systém (rámec) pro zav</w:t>
      </w:r>
      <w:r>
        <w:rPr>
          <w:noProof/>
        </w:rPr>
        <w:t>edení konkrétních systémů certifikace pro konkrétní produkty/služby IKT („evropské systémy certifikace kybernetické bezpečnosti“). Vytvoření evropských systémů certifikace kybernetické bezpečnosti v souladu s rámcem umožní, aby byly certifikáty vydané podl</w:t>
      </w:r>
      <w:r>
        <w:rPr>
          <w:noProof/>
        </w:rPr>
        <w:t xml:space="preserve">e těchto systémů platné a uznávané ve všech členských státech, a umožní také řešení stávající roztříštěnosti trhu. </w:t>
      </w:r>
    </w:p>
    <w:p w:rsidR="00557911" w:rsidRDefault="00623804">
      <w:pPr>
        <w:rPr>
          <w:noProof/>
        </w:rPr>
      </w:pPr>
      <w:r>
        <w:rPr>
          <w:noProof/>
        </w:rPr>
        <w:t>Obecným účelem evropských systémů certifikace kybernetické bezpečnosti je osvědčit, že produkty a služby IKT, které byly certifikovány v sou</w:t>
      </w:r>
      <w:r>
        <w:rPr>
          <w:noProof/>
        </w:rPr>
        <w:t>ladu s takovým systémem, splňují specifikované kybernetickobezpečnostní požadavky. To by zahrnovalo například schopnost ochránit údaje (ať už ukládané, předávané nebo jinak zpracovávané) proti náhodnému nebo neoprávněnému ukládání, zpracování, přístupu, sd</w:t>
      </w:r>
      <w:r>
        <w:rPr>
          <w:noProof/>
        </w:rPr>
        <w:t>ělování, zničení, náhodné ztrátě nebo úpravám. Pokud jde o technické požadavky a hodnoticí postupy, které musí produkty splňovat, evropské systémy certifikace kybernetické bezpečnosti by využívaly stávající normy a technické normy by samy nevyvíjely</w:t>
      </w:r>
      <w:r>
        <w:rPr>
          <w:rStyle w:val="FootnoteReference"/>
          <w:noProof/>
        </w:rPr>
        <w:footnoteReference w:id="17"/>
      </w:r>
      <w:r>
        <w:rPr>
          <w:noProof/>
        </w:rPr>
        <w:t>. Např</w:t>
      </w:r>
      <w:r>
        <w:rPr>
          <w:noProof/>
        </w:rPr>
        <w:t>íklad celoevropská certifikace pro produkty jako čipové karty, které jsou v současné době testovány podle mezinárodních CC norem v rámci mnohostranného systému SOG-IS (jak již bylo popsáno), by znamenalo, že tento systém by byl platný v celé EU.</w:t>
      </w:r>
    </w:p>
    <w:p w:rsidR="00557911" w:rsidRDefault="00623804">
      <w:pPr>
        <w:rPr>
          <w:noProof/>
        </w:rPr>
      </w:pPr>
      <w:r>
        <w:rPr>
          <w:noProof/>
        </w:rPr>
        <w:t>Návrh krom</w:t>
      </w:r>
      <w:r>
        <w:rPr>
          <w:noProof/>
        </w:rPr>
        <w:t>ě toho, že uvádí specifický soubor bezpečnostních cílů, které je třeba zohlednit při navrhování konkrétního evropského systému certifikace kybernetické bezpečnosti, také stanoví, jaký by měl být minimální obsah takových systémů. Tyto systémy budou muset mi</w:t>
      </w:r>
      <w:r>
        <w:rPr>
          <w:noProof/>
        </w:rPr>
        <w:t>mo jiné definovat řadu konkrétních prvků stanovujících rozsah a předmět certifikace kybernetické bezpečnosti. To zahrnuje identifikaci kategorie produktů a služeb spadajících do systému, podrobnou specifikaci kybernetickobezpečnostních požadavků (například</w:t>
      </w:r>
      <w:r>
        <w:rPr>
          <w:noProof/>
        </w:rPr>
        <w:t xml:space="preserve"> prostřednictvím odkazu na příslušnou normu nebo technickou specifikaci), konkrétní kritéria a metody hodnocení a úroveň záruky, kterou chtějí zajistit (tj. základní, významnou nebo vysokou).</w:t>
      </w:r>
    </w:p>
    <w:p w:rsidR="00557911" w:rsidRDefault="00623804">
      <w:pPr>
        <w:rPr>
          <w:noProof/>
        </w:rPr>
      </w:pPr>
      <w:r>
        <w:rPr>
          <w:noProof/>
        </w:rPr>
        <w:t xml:space="preserve">Evropské systémy certifikace kybernetické bezpečnosti vypracuje </w:t>
      </w:r>
      <w:r>
        <w:rPr>
          <w:noProof/>
        </w:rPr>
        <w:t xml:space="preserve">ENISA v úzké spolupráci s Evropskou skupinou pro certifikaci kybernetické bezpečnosti (viz níže), která jí bude poskytovat pomoc a odborná doporučení, a přijímat je bude Komise prostřednictvím prováděcích aktů. Bude-li zjištěna potřeba systému certifikace </w:t>
      </w:r>
      <w:r>
        <w:rPr>
          <w:noProof/>
        </w:rPr>
        <w:t>kybernetické bezpečnosti, Komise agenturu ENISA požádá, aby vypracovala systém pro konkrétní produkty nebo služby IKT. Agentura ENISA bude na systému pracovat v úzké spolupráci s vnitrostátními orgány dozoru nad certifikací zastoupenými ve skupině. Členské</w:t>
      </w:r>
      <w:r>
        <w:rPr>
          <w:noProof/>
        </w:rPr>
        <w:t xml:space="preserve"> státy a skupina mohou Komisi navrhnout, aby agenturu ENISA požádala o vypracování konkrétního systému. </w:t>
      </w:r>
    </w:p>
    <w:p w:rsidR="00557911" w:rsidRDefault="00623804">
      <w:pPr>
        <w:rPr>
          <w:noProof/>
        </w:rPr>
      </w:pPr>
      <w:r>
        <w:rPr>
          <w:noProof/>
        </w:rPr>
        <w:t>Certifikace může představovat velmi nákladný proces, což by pak mohlo vést k vyšším cenám pro zákazníky a spotřebitele. Potřeba certifikace se rovněž může významně lišit podle konkrétního kontextu využití produktů a služeb a rychlého tempa technologické zm</w:t>
      </w:r>
      <w:r>
        <w:rPr>
          <w:noProof/>
        </w:rPr>
        <w:t xml:space="preserve">ěny. Využití evropské certifikace kybernetické bezpečnosti by proto mělo zůstat dobrovolné, nestanoví-li jinak právní předpisy Unie, které stanoví bezpečnostní požadavky produktů a služeb IKT. </w:t>
      </w:r>
    </w:p>
    <w:p w:rsidR="00557911" w:rsidRDefault="00623804">
      <w:pPr>
        <w:rPr>
          <w:noProof/>
        </w:rPr>
      </w:pPr>
      <w:r>
        <w:rPr>
          <w:noProof/>
        </w:rPr>
        <w:t xml:space="preserve">Aby byla zajištěna harmonizace a zabránilo se roztříštěnosti, </w:t>
      </w:r>
      <w:r>
        <w:rPr>
          <w:noProof/>
        </w:rPr>
        <w:t>přestanou vnitrostátní systémy nebo postupy certifikace kybernetické bezpečnosti produktů a služeb IKT, na které se vztahuje evropský systém certifikace kybernetické bezpečnosti, platit ode dne stanoveného v prováděcím aktu, jímž se daný systém přijímá. Čl</w:t>
      </w:r>
      <w:r>
        <w:rPr>
          <w:noProof/>
        </w:rPr>
        <w:t>enské státy by dále neměly zavádět nové vnitrostátní systémy certifikace kybernetické bezpečnosti pro produkty a služby IKT zahrnuté do určitého systému evropské certifikace kybernetické bezpečnosti.</w:t>
      </w:r>
    </w:p>
    <w:p w:rsidR="00557911" w:rsidRDefault="00623804">
      <w:pPr>
        <w:rPr>
          <w:noProof/>
        </w:rPr>
      </w:pPr>
      <w:r>
        <w:rPr>
          <w:noProof/>
        </w:rPr>
        <w:t>Jakmile bude určitý evropský systém certifikace kybernet</w:t>
      </w:r>
      <w:r>
        <w:rPr>
          <w:noProof/>
        </w:rPr>
        <w:t>ické bezpečnosti přijat, výrobci produktů IKT nebo poskytovatelé služeb IKT budou moci subjektu posuzování shody podle své volby předložit žádost o certifikaci svých produktů nebo služeb. Subjekty posuzování shody by měly být akreditovány akreditačním orgá</w:t>
      </w:r>
      <w:r>
        <w:rPr>
          <w:noProof/>
        </w:rPr>
        <w:t>nem, splňují-li určité konkrétní požadavky. Akreditace se bude vydávat na období nejvýše pěti let a lze ji obnovit za stejných podmínek, pokud daný subjekt posuzování shody splňuje příslušné požadavky. Akreditační orgány zruší akreditaci subjektu posuzován</w:t>
      </w:r>
      <w:r>
        <w:rPr>
          <w:noProof/>
        </w:rPr>
        <w:t>í shody, pokud podmínky pro akreditaci nejsou nebo přestanou být splňovány, nebo pokud opatření přijatá subjektem posuzování shody porušují toto nařízení.</w:t>
      </w:r>
    </w:p>
    <w:p w:rsidR="00557911" w:rsidRDefault="00623804">
      <w:pPr>
        <w:rPr>
          <w:noProof/>
        </w:rPr>
      </w:pPr>
      <w:r>
        <w:rPr>
          <w:noProof/>
        </w:rPr>
        <w:t>Podle uvedeného návrhu úkoly související se sledováním, dozorem a vymáháním přísluší členským státům.</w:t>
      </w:r>
      <w:r>
        <w:rPr>
          <w:noProof/>
        </w:rPr>
        <w:t xml:space="preserve"> Členské státy budou muset stanovit jeden orgán dozoru nad certifikací. Tento orgán bude pověřen dozorem nad tím, zda subjekty posuzování shody, jakož i certifikáty vydané subjekty posuzování shody usazenými na území příslušného členského státu, dodržují p</w:t>
      </w:r>
      <w:r>
        <w:rPr>
          <w:noProof/>
        </w:rPr>
        <w:t>ožadavky tohoto nařízení a příslušných evropských systémů certifikace kybernetické bezpečnosti. Vnitrostátní orgány dozoru nad certifikací budou příslušné k řešení stížností podaných fyzickými nebo právnickými osobami v souvislosti s certifikáty vydanými s</w:t>
      </w:r>
      <w:r>
        <w:rPr>
          <w:noProof/>
        </w:rPr>
        <w:t>ubjekty posuzování shody usazenými na jejich území. V přiměřeném rozsahu budou šetřit předmět stížnosti a v přiměřené lhůtě budou informovat stěžovatele o pokroku a výsledku šetření. Kromě toho budou spolupracovat s dalšími orgány dozoru nad certifikací ne</w:t>
      </w:r>
      <w:r>
        <w:rPr>
          <w:noProof/>
        </w:rPr>
        <w:t>bo jinými veřejnými orgány, například prostřednictvím sdílení informací o možných případech, kdy produkty a služby IKT nevyhovují požadavkům tohoto nařízení, nebo kdy nejsou v souladu s konkrétními evropskými systémy certifikace kybernetické bezpečnosti.</w:t>
      </w:r>
    </w:p>
    <w:p w:rsidR="00557911" w:rsidRDefault="00623804">
      <w:pPr>
        <w:rPr>
          <w:noProof/>
        </w:rPr>
      </w:pPr>
      <w:r>
        <w:rPr>
          <w:noProof/>
        </w:rPr>
        <w:t>A</w:t>
      </w:r>
      <w:r>
        <w:rPr>
          <w:noProof/>
        </w:rPr>
        <w:t xml:space="preserve"> konečně návrh zřizuje Evropskou skupinu pro certifikaci kybernetické bezpečnosti (dále jen „skupina“), sestávající z vnitrostátních orgánů dozoru nad certifikací všech členských států. Hlavním úkolem skupiny je poskytovat Komisi poradenství v otázkách týk</w:t>
      </w:r>
      <w:r>
        <w:rPr>
          <w:noProof/>
        </w:rPr>
        <w:t xml:space="preserve">ajících se politiky v oblasti certifikace kybernetické bezpečnosti a pracovat s agenturou ENISA na vypracování návrhu evropských systémů certifikace kybernetické bezpečnosti. Agentura ENISA bude napomáhat Komisi při zajišťování služeb sekretariátu skupiny </w:t>
      </w:r>
      <w:r>
        <w:rPr>
          <w:noProof/>
        </w:rPr>
        <w:t>a vést aktualizovaný veřejný seznam systémů schválených podle evropského rámce pro certifikaci kybernetické bezpečnosti. Agentura ENISA by rovněž spolupracovala s normalizačními orgány, a to za účelem zajištění vhodnosti norem použitých ve schválených syst</w:t>
      </w:r>
      <w:r>
        <w:rPr>
          <w:noProof/>
        </w:rPr>
        <w:t>émech a za účelem určení oblastí, kde jsou zapotřebí normy kybernetické bezpečnosti.</w:t>
      </w:r>
    </w:p>
    <w:p w:rsidR="00557911" w:rsidRDefault="00623804">
      <w:pPr>
        <w:rPr>
          <w:noProof/>
        </w:rPr>
      </w:pPr>
      <w:r>
        <w:rPr>
          <w:noProof/>
        </w:rPr>
        <w:t>Evropský rámec pro certifikaci kybernetické bezpečnosti („rámec“) poskytne občanům a podnikům několik výhod. Zejména:</w:t>
      </w:r>
    </w:p>
    <w:p w:rsidR="00557911" w:rsidRDefault="00623804">
      <w:pPr>
        <w:pStyle w:val="Bullet0"/>
        <w:rPr>
          <w:noProof/>
        </w:rPr>
      </w:pPr>
      <w:r>
        <w:rPr>
          <w:noProof/>
        </w:rPr>
        <w:t>Vytvoření celoevropských systémů certifikace kybernet</w:t>
      </w:r>
      <w:r>
        <w:rPr>
          <w:noProof/>
        </w:rPr>
        <w:t>ické bezpečnosti pro konkrétní produkty nebo služby společnostem poskytne jednotné místo („one-stop-shop“) pro certifikaci kybernetické bezpečnosti v EU. Tyto společnosti budou moci certifikovat své produkty pouze jednou a získat certifikát platný ve všech</w:t>
      </w:r>
      <w:r>
        <w:rPr>
          <w:noProof/>
        </w:rPr>
        <w:t xml:space="preserve"> členských státech. Nebudou mít povinnosti své produkty znovu certifikovat u různých vnitrostátních certifikačních subjektů. Tím se společnostem významně sníží náklady, usnadní se tím přeshraniční operace a v konečném důsledku se tím sníží roztříštěnost vn</w:t>
      </w:r>
      <w:r>
        <w:rPr>
          <w:noProof/>
        </w:rPr>
        <w:t>itřního trhu pro dotčené výrobky a bude se jí předcházet.</w:t>
      </w:r>
    </w:p>
    <w:p w:rsidR="00557911" w:rsidRDefault="00623804">
      <w:pPr>
        <w:pStyle w:val="Bullet0"/>
        <w:rPr>
          <w:noProof/>
        </w:rPr>
      </w:pPr>
      <w:r>
        <w:rPr>
          <w:noProof/>
        </w:rPr>
        <w:t>Rámec stanoví, že evropské systémy certifikace kybernetické bezpečnosti jsou nadřazeny vnitrostátním systémům: podle tohoto pravidla přijetí evropského systému certifikace kybernetické bezpečnosti n</w:t>
      </w:r>
      <w:r>
        <w:rPr>
          <w:noProof/>
        </w:rPr>
        <w:t>ahradí všechny stávající paralelní vnitrostátní systémy pro stejné produkty nebo služby IKT na dané úrovni záruky. To celou situaci dále vyjasní a omezí se stávající šíření překrývajících se a případně protichůdných vnitrostátních systémů certifikace kyber</w:t>
      </w:r>
      <w:r>
        <w:rPr>
          <w:noProof/>
        </w:rPr>
        <w:t xml:space="preserve">netické bezpečnosti. </w:t>
      </w:r>
    </w:p>
    <w:p w:rsidR="00557911" w:rsidRDefault="00623804">
      <w:pPr>
        <w:pStyle w:val="Bullet0"/>
        <w:rPr>
          <w:noProof/>
        </w:rPr>
      </w:pPr>
      <w:r>
        <w:rPr>
          <w:noProof/>
        </w:rPr>
        <w:t>Návrh podporuje a doplňuje provádění směrnice o bezpečnosti sítí a informací, a to tím, že podnikům, na něž se směrnice vztahuje, poskytuje velmi užitečný nástroj pro prokázání souladu s požadavky týkajícími se bezpečnosti sítí a info</w:t>
      </w:r>
      <w:r>
        <w:rPr>
          <w:noProof/>
        </w:rPr>
        <w:t>rmací v celé Unii. Komise a agentura ENISA budou při vývoji nových systémů certifikace kybernetické bezpečnosti věnovat zvláštní pozornost nutnosti zajistit, aby požadavky týkající se bezpečnosti sítí a informací byly v systémech certifikace kybernetické b</w:t>
      </w:r>
      <w:r>
        <w:rPr>
          <w:noProof/>
        </w:rPr>
        <w:t xml:space="preserve">ezpečnosti zohledněny. </w:t>
      </w:r>
    </w:p>
    <w:p w:rsidR="00557911" w:rsidRDefault="00623804">
      <w:pPr>
        <w:pStyle w:val="Bullet0"/>
        <w:rPr>
          <w:noProof/>
        </w:rPr>
      </w:pPr>
      <w:r>
        <w:rPr>
          <w:noProof/>
        </w:rPr>
        <w:t xml:space="preserve">Návrh podpoří a usnadní rozvoj evropské politiky v oblasti kybernetické bezpečnosti, a to tím, že harmonizuje podmínky a hlavní požadavky pro certifikaci kybernetické bezpečnosti produktů a služeb IKT v EU. Evropské systémy </w:t>
      </w:r>
      <w:r>
        <w:rPr>
          <w:noProof/>
        </w:rPr>
        <w:t>certifikace kybernetické bezpečnosti budou odkazovat na společné normy nebo kritéria hodnocení a zkušební metody. To významně, i když nepřímo, přispěje k zavádění společných bezpečnostních řešení v EU, čímž rovněž dojde k odstranění překážek vnitřního trhu</w:t>
      </w:r>
      <w:r>
        <w:rPr>
          <w:noProof/>
        </w:rPr>
        <w:t>.</w:t>
      </w:r>
    </w:p>
    <w:p w:rsidR="00557911" w:rsidRDefault="00623804">
      <w:pPr>
        <w:pStyle w:val="Bullet0"/>
        <w:rPr>
          <w:noProof/>
        </w:rPr>
      </w:pPr>
      <w:r>
        <w:rPr>
          <w:noProof/>
        </w:rPr>
        <w:t>Rámec je navržen takovým způsobem, aby zajistil nezbytnou flexibilitu systémů certifikace kybernetické bezpečnosti. V závislosti na konkrétních kybernetickobezpečnostních potřebách může být produkt nebo služba certifikována na vyšší nebo nižší úroveň bez</w:t>
      </w:r>
      <w:r>
        <w:rPr>
          <w:noProof/>
        </w:rPr>
        <w:t>pečnosti. Evropské systémy certifikace kybernetické bezpečnosti budou navrženy s ohledem na tuto flexibilitu, a budou proto poskytovat různé úrovně záruk (tj. základní, významnou nebo vysokou), aby mohly být použity pro různé účely nebo v různých kontextec</w:t>
      </w:r>
      <w:r>
        <w:rPr>
          <w:noProof/>
        </w:rPr>
        <w:t>h.</w:t>
      </w:r>
    </w:p>
    <w:p w:rsidR="00557911" w:rsidRDefault="00623804">
      <w:pPr>
        <w:pStyle w:val="Bullet0"/>
        <w:rPr>
          <w:noProof/>
        </w:rPr>
      </w:pPr>
      <w:r>
        <w:rPr>
          <w:noProof/>
        </w:rPr>
        <w:t>Díky všem výše uvedeným prvkům bude certifikace kybernetické bezpečnosti pro podniky atraktivnější jako účinný prostředek pro sdělování úrovně záruky kybernetické bezpečnosti produktů a služeb IKT. Pokud bude certifikace kybernetické bezpečnosti méně ná</w:t>
      </w:r>
      <w:r>
        <w:rPr>
          <w:noProof/>
        </w:rPr>
        <w:t>kladná, účinnější a komerčně přitažlivější, budou mít podniky větší motivaci své produkty certifikovat z hlediska rizik kybernetické bezpečnosti, čímž přispějí k šíření lepších kybernetickobezpečnostních postupů při navrhování produktů a služeb IKT (kybern</w:t>
      </w:r>
      <w:r>
        <w:rPr>
          <w:noProof/>
        </w:rPr>
        <w:t>etická bezpečnost coby aspekt návrhu).</w:t>
      </w:r>
    </w:p>
    <w:p w:rsidR="00557911" w:rsidRDefault="00557911">
      <w:pPr>
        <w:rPr>
          <w:noProof/>
        </w:rPr>
      </w:pPr>
    </w:p>
    <w:p w:rsidR="00557911" w:rsidRDefault="00623804">
      <w:pPr>
        <w:pStyle w:val="ManualHeading2"/>
        <w:rPr>
          <w:rFonts w:eastAsia="Arial Unicode MS"/>
          <w:noProof/>
          <w:u w:color="000000"/>
          <w:bdr w:val="nil"/>
        </w:rPr>
      </w:pPr>
      <w:bookmarkStart w:id="4" w:name="_Toc492216447"/>
      <w:r>
        <w:rPr>
          <w:noProof/>
        </w:rPr>
        <w:t>•</w:t>
      </w:r>
      <w:r>
        <w:rPr>
          <w:noProof/>
        </w:rPr>
        <w:tab/>
        <w:t>Soulad s platnými předpisy v této oblasti politiky</w:t>
      </w:r>
      <w:bookmarkEnd w:id="4"/>
    </w:p>
    <w:p w:rsidR="00557911" w:rsidRDefault="00623804">
      <w:pPr>
        <w:rPr>
          <w:noProof/>
        </w:rPr>
      </w:pPr>
      <w:r>
        <w:rPr>
          <w:noProof/>
        </w:rPr>
        <w:t>Podle směrnice o bezpečnosti sítí a informací jsou provozovatelé působící v odvětvích zásadních pro naše hospodářství a společnost, jako například energetika, dopr</w:t>
      </w:r>
      <w:r>
        <w:rPr>
          <w:noProof/>
        </w:rPr>
        <w:t>ava, vodohospodářství, bankovnictví, infrastruktura finančního trhu, zdravotní péče a digitální infrastruktura, jakož i poskytovatelé digitálních služeb (tj. internetové vyhledávače, služby cloud computingu a on-line tržiště) povinni přijmout opatření k od</w:t>
      </w:r>
      <w:r>
        <w:rPr>
          <w:noProof/>
        </w:rPr>
        <w:t>povídajícímu zvládnutí bezpečnostních rizik. Nová pravidla tohoto návrhu doplňují ustanovení směrnice o bezpečnosti sítí a informací a zajišťují s nimi soulad, aby se prostřednictvím zlepšení schopností, spolupráce, řízení rizik a informování o počítačovýc</w:t>
      </w:r>
      <w:r>
        <w:rPr>
          <w:noProof/>
        </w:rPr>
        <w:t xml:space="preserve">h útocích ještě více posílila kybernetická odolnost EU. </w:t>
      </w:r>
    </w:p>
    <w:p w:rsidR="00557911" w:rsidRDefault="00623804">
      <w:pPr>
        <w:rPr>
          <w:noProof/>
        </w:rPr>
      </w:pPr>
      <w:r>
        <w:rPr>
          <w:noProof/>
        </w:rPr>
        <w:t xml:space="preserve">Pravidla týkající se certifikace kybernetické bezpečnosti navíc poskytují základní nástroj pro společnosti, na něž se vztahuje směrnice o bezpečnosti sítí a informací, jelikož tyto společnosti budou </w:t>
      </w:r>
      <w:r>
        <w:rPr>
          <w:noProof/>
        </w:rPr>
        <w:t>schopny své produkty a služby IKT certifikovat z hlediska rizik kybernetické bezpečnosti, a to na základě systémů certifikace kybernetické bezpečnosti platných a uznávaných v celé Evropské unii. Budou rovněž doplňovat bezpečnostní požadavky uvedené v naříz</w:t>
      </w:r>
      <w:r>
        <w:rPr>
          <w:noProof/>
        </w:rPr>
        <w:t>ení eIDAS</w:t>
      </w:r>
      <w:r>
        <w:rPr>
          <w:rStyle w:val="FootnoteReference"/>
          <w:noProof/>
        </w:rPr>
        <w:footnoteReference w:id="18"/>
      </w:r>
      <w:r>
        <w:rPr>
          <w:noProof/>
        </w:rPr>
        <w:t xml:space="preserve"> a ve směrnici o rádiových zařízeních</w:t>
      </w:r>
      <w:r>
        <w:rPr>
          <w:rStyle w:val="FootnoteReference"/>
          <w:noProof/>
        </w:rPr>
        <w:footnoteReference w:id="19"/>
      </w:r>
      <w:r>
        <w:rPr>
          <w:noProof/>
        </w:rPr>
        <w:t xml:space="preserve">. </w:t>
      </w:r>
    </w:p>
    <w:p w:rsidR="00557911" w:rsidRDefault="00557911">
      <w:pPr>
        <w:rPr>
          <w:noProof/>
        </w:rPr>
      </w:pPr>
    </w:p>
    <w:p w:rsidR="00557911" w:rsidRDefault="00623804">
      <w:pPr>
        <w:pStyle w:val="ManualHeading2"/>
        <w:rPr>
          <w:rFonts w:eastAsia="Arial Unicode MS"/>
          <w:noProof/>
        </w:rPr>
      </w:pPr>
      <w:bookmarkStart w:id="5" w:name="_Toc492216448"/>
      <w:r>
        <w:rPr>
          <w:noProof/>
        </w:rPr>
        <w:t>•</w:t>
      </w:r>
      <w:r>
        <w:rPr>
          <w:noProof/>
        </w:rPr>
        <w:tab/>
        <w:t>Soulad s ostatními politikami Unie</w:t>
      </w:r>
      <w:bookmarkEnd w:id="5"/>
    </w:p>
    <w:p w:rsidR="00557911" w:rsidRDefault="00623804">
      <w:pPr>
        <w:rPr>
          <w:noProof/>
        </w:rPr>
      </w:pPr>
      <w:r>
        <w:rPr>
          <w:noProof/>
        </w:rPr>
        <w:t>Nařízení (EU) 2016/679 („obecné nařízení o ochraně osobních údajů“)</w:t>
      </w:r>
      <w:r>
        <w:rPr>
          <w:rStyle w:val="FootnoteReference"/>
          <w:noProof/>
        </w:rPr>
        <w:footnoteReference w:id="20"/>
      </w:r>
      <w:r>
        <w:rPr>
          <w:noProof/>
        </w:rPr>
        <w:t xml:space="preserve"> obsahuje ustanovení týkající se zavedení mechanismů pro vydávání osvědčení a zavedení pečetí a zná</w:t>
      </w:r>
      <w:r>
        <w:rPr>
          <w:noProof/>
        </w:rPr>
        <w:t>mek dokládajících ochranu údajů pro účely prokázání souladu s tímto nařízením v případě operací zpracování prováděných správci a zpracovateli. Tímto nařízením není dotčena certifikace operací zpracování údajů podle obecného nařízení o ochraně osobních údaj</w:t>
      </w:r>
      <w:r>
        <w:rPr>
          <w:noProof/>
        </w:rPr>
        <w:t>ů, včetně situací, kdy jsou tyto operace zabudované v produktech a službách.</w:t>
      </w:r>
    </w:p>
    <w:p w:rsidR="00557911" w:rsidRDefault="00623804">
      <w:pPr>
        <w:rPr>
          <w:noProof/>
        </w:rPr>
      </w:pPr>
      <w:r>
        <w:rPr>
          <w:noProof/>
        </w:rPr>
        <w:t>Navrhované nařízení zajistí soulad s nařízením 765/2008 o akreditaci a požadavcích na dozor nad trhem</w:t>
      </w:r>
      <w:r>
        <w:rPr>
          <w:rStyle w:val="FootnoteReference"/>
          <w:noProof/>
        </w:rPr>
        <w:footnoteReference w:id="21"/>
      </w:r>
      <w:r>
        <w:rPr>
          <w:noProof/>
        </w:rPr>
        <w:t>, a to odkazem na pravidla tohoto rámce týkající se vnitrostátních akreditačn</w:t>
      </w:r>
      <w:r>
        <w:rPr>
          <w:noProof/>
        </w:rPr>
        <w:t>ích orgánů a subjektů posuzování shody. Co se týče orgánů dozoru, navrhované nařízení bude vyžadovat, aby členské státy určily vnitrostátní orgány dozoru nad certifikací odpovědné za dozor nad dodržováním pravidel a za sledování a vymáhání dodržování pravi</w:t>
      </w:r>
      <w:r>
        <w:rPr>
          <w:noProof/>
        </w:rPr>
        <w:t>del. Tyto orgány zůstanou oddělené od subjektů posuzování shody předepsaných nařízením 765/2008.</w:t>
      </w:r>
    </w:p>
    <w:p w:rsidR="00557911" w:rsidRDefault="00623804">
      <w:pPr>
        <w:pStyle w:val="ManualHeading1"/>
        <w:rPr>
          <w:noProof/>
        </w:rPr>
      </w:pPr>
      <w:bookmarkStart w:id="6" w:name="_Toc492216449"/>
      <w:r>
        <w:t>2.</w:t>
      </w:r>
      <w:r>
        <w:tab/>
      </w:r>
      <w:r>
        <w:rPr>
          <w:noProof/>
        </w:rPr>
        <w:t>PRÁVNÍ ZÁKLAD, SUBSIDIARITA A PROPORCIONALITA</w:t>
      </w:r>
      <w:bookmarkEnd w:id="6"/>
    </w:p>
    <w:p w:rsidR="00557911" w:rsidRDefault="00623804">
      <w:pPr>
        <w:pStyle w:val="ManualHeading2"/>
        <w:rPr>
          <w:rFonts w:eastAsia="Arial Unicode MS"/>
          <w:noProof/>
          <w:u w:color="000000"/>
          <w:bdr w:val="nil"/>
        </w:rPr>
      </w:pPr>
      <w:bookmarkStart w:id="7" w:name="_Toc492216450"/>
      <w:r>
        <w:rPr>
          <w:noProof/>
        </w:rPr>
        <w:t>•</w:t>
      </w:r>
      <w:r>
        <w:rPr>
          <w:noProof/>
        </w:rPr>
        <w:tab/>
        <w:t>Právní základ</w:t>
      </w:r>
      <w:bookmarkEnd w:id="7"/>
    </w:p>
    <w:p w:rsidR="00557911" w:rsidRDefault="00623804">
      <w:pPr>
        <w:rPr>
          <w:noProof/>
        </w:rPr>
      </w:pPr>
      <w:r>
        <w:rPr>
          <w:noProof/>
        </w:rPr>
        <w:t>Právním základem pro opatření EU je článek 114 Smlouvy o fungování Evropské unie (SFEU), který</w:t>
      </w:r>
      <w:r>
        <w:rPr>
          <w:noProof/>
        </w:rPr>
        <w:t xml:space="preserve"> se zabývá sbližováním právních předpisů členských států za účelem dosažení cílů stanovených v článku 26 SFEU, konkrétně řádného fungování vnitřního trhu.</w:t>
      </w:r>
    </w:p>
    <w:p w:rsidR="00557911" w:rsidRDefault="00623804">
      <w:pPr>
        <w:rPr>
          <w:noProof/>
        </w:rPr>
      </w:pPr>
      <w:r>
        <w:rPr>
          <w:noProof/>
        </w:rPr>
        <w:t>Právní základ pro zřízení agentury ENISA týkající se vnitřního trhu byl potvrzen Soudním dvorem Evrop</w:t>
      </w:r>
      <w:r>
        <w:rPr>
          <w:noProof/>
        </w:rPr>
        <w:t xml:space="preserve">ské unie (ve věci C-217/04 </w:t>
      </w:r>
      <w:r>
        <w:rPr>
          <w:i/>
          <w:noProof/>
        </w:rPr>
        <w:t>Spojené království v. Evropský parlament a Rada</w:t>
      </w:r>
      <w:r>
        <w:rPr>
          <w:noProof/>
        </w:rPr>
        <w:t xml:space="preserve">) a dále potvrzen nařízením z roku 2013, které stanoví stávající mandát agentury. Kromě toho činnosti, které by odrážely cíle v podobě zvýšení spolupráce a koordinace mezi členskými </w:t>
      </w:r>
      <w:r>
        <w:rPr>
          <w:noProof/>
        </w:rPr>
        <w:t>státy, a cíle, které by přispěly k úrovni schopností EU doplňovat opatření členských států, by spadaly do kategorie „operativní spolupráce“. Toto je ve směrnici o bezpečnosti sítí a informací (jejímž právním základem je článek 114 SFEU) konkrétně uvedeno j</w:t>
      </w:r>
      <w:r>
        <w:rPr>
          <w:noProof/>
        </w:rPr>
        <w:t>ako cíl, který by měl být sledován v souvislosti se sítí CSIRT, přičemž „agentura ENISA zajistí služby sekretariátu a aktivně podporuje spolupráci“ (čl. 12 odst. 2). Především čl. 12 odst. 3 písm. f) jako úkol pro síť CSIRT dále uvádí vymezení dalších fore</w:t>
      </w:r>
      <w:r>
        <w:rPr>
          <w:noProof/>
        </w:rPr>
        <w:t xml:space="preserve">m operativní spolupráce, a to mimo jiné ve vztahu: i) ke kategoriím rizik a incidentů, ii) k včasným varováním, iii) k vzájemné pomoci, a iv) k zásadám a způsobům koordinace členských států při reakci na přeshraniční rizika a incidenty. </w:t>
      </w:r>
    </w:p>
    <w:p w:rsidR="00557911" w:rsidRDefault="00623804">
      <w:pPr>
        <w:pStyle w:val="Bullet0"/>
        <w:rPr>
          <w:noProof/>
        </w:rPr>
      </w:pPr>
      <w:r>
        <w:rPr>
          <w:noProof/>
        </w:rPr>
        <w:t>Stávající roztříšt</w:t>
      </w:r>
      <w:r>
        <w:rPr>
          <w:noProof/>
        </w:rPr>
        <w:t>ěnost systémů certifikace pro produkty a služby IKT je rovněž výsledkem nedostatečného společného právně závazného a účinného rámcového procesu použitelného na členské státy. To brání vytvoření vnitřního trhu s produkty a službami IKT a brzdí konkurencesch</w:t>
      </w:r>
      <w:r>
        <w:rPr>
          <w:noProof/>
        </w:rPr>
        <w:t>opnost evropského průmyslu v tomto odvětví. Cílem tohoto návrhu je řešit stávající roztříštěnost a související překážky na vnitřním trhu, a to poskytnutím společného rámce pro zavedení systémů certifikace kybernetické bezpečnosti platných v celé EU.</w:t>
      </w:r>
    </w:p>
    <w:p w:rsidR="00557911" w:rsidRDefault="00557911">
      <w:pPr>
        <w:rPr>
          <w:noProof/>
        </w:rPr>
      </w:pPr>
    </w:p>
    <w:p w:rsidR="00557911" w:rsidRDefault="00623804">
      <w:pPr>
        <w:pStyle w:val="ManualHeading2"/>
        <w:rPr>
          <w:rFonts w:eastAsia="Arial Unicode MS"/>
          <w:noProof/>
          <w:u w:color="000000"/>
          <w:bdr w:val="nil"/>
        </w:rPr>
      </w:pPr>
      <w:r>
        <w:rPr>
          <w:noProof/>
        </w:rPr>
        <w:t>Subsi</w:t>
      </w:r>
      <w:r>
        <w:rPr>
          <w:noProof/>
        </w:rPr>
        <w:t xml:space="preserve">diarita (v případě nevýlučné pravomoci) </w:t>
      </w:r>
    </w:p>
    <w:p w:rsidR="00557911" w:rsidRDefault="00623804">
      <w:pPr>
        <w:rPr>
          <w:noProof/>
        </w:rPr>
      </w:pPr>
      <w:r>
        <w:rPr>
          <w:noProof/>
        </w:rPr>
        <w:t>Zásada subsidiarity vyžaduje posouzení nezbytnosti a přidané hodnoty opatření na úrovni EU. Dodržování zásady subsidiarity v této oblasti bylo uznáno již při přijímání stávajícího nařízení o agentuře ENISA</w:t>
      </w:r>
      <w:r>
        <w:rPr>
          <w:rStyle w:val="FootnoteReference"/>
          <w:noProof/>
        </w:rPr>
        <w:footnoteReference w:id="22"/>
      </w:r>
      <w:r>
        <w:rPr>
          <w:noProof/>
        </w:rPr>
        <w:t xml:space="preserve">.  </w:t>
      </w:r>
    </w:p>
    <w:p w:rsidR="00557911" w:rsidRDefault="00623804">
      <w:pPr>
        <w:spacing w:before="0" w:line="240" w:lineRule="atLeast"/>
        <w:ind w:right="-29"/>
        <w:rPr>
          <w:rFonts w:eastAsia="Times New Roman"/>
          <w:noProof/>
          <w:szCs w:val="24"/>
        </w:rPr>
      </w:pPr>
      <w:r>
        <w:rPr>
          <w:noProof/>
        </w:rPr>
        <w:t>Kybernetická bezpečnost je otázkou společného zájmu Unie. Vzájemné závislosti mezi sítěmi a informačními systémy jsou takové, že jednotlivé subjekty (veřejné a soukromé, včetně občanů) často nemohou samostatně čelit hrozbám a řídit rizika a možné dopady ky</w:t>
      </w:r>
      <w:r>
        <w:rPr>
          <w:noProof/>
        </w:rPr>
        <w:t xml:space="preserve">bernetických incidentů. Na jedné straně vzhledem k vzájemné závislosti napříč členskými státy, včetně vzájemné závislosti týkající se provozu kritických infrastruktur (energetika, doprava, vodohospodářství, abychom vyjmenovali alespoň některé), je veřejná </w:t>
      </w:r>
      <w:r>
        <w:rPr>
          <w:noProof/>
        </w:rPr>
        <w:t>intervence na evropské úrovni nejen přínosná, ale také potřebná. Na druhé straně intervence EU může díky sdílení osvědčených postupů napříč členskými státy přinést pozitivní „přelévající se“ účinek, který může vést ke zvýšení kybernetické bezpečnosti Unie.</w:t>
      </w:r>
    </w:p>
    <w:p w:rsidR="00557911" w:rsidRDefault="00623804">
      <w:pPr>
        <w:spacing w:before="0" w:line="240" w:lineRule="atLeast"/>
        <w:ind w:right="-29"/>
        <w:rPr>
          <w:rFonts w:eastAsia="Times New Roman"/>
          <w:noProof/>
          <w:szCs w:val="24"/>
        </w:rPr>
      </w:pPr>
      <w:r>
        <w:rPr>
          <w:noProof/>
        </w:rPr>
        <w:t xml:space="preserve">Souhrnně lze říci, že v současném kontextu a s ohledem na budoucí scénáře se zdá, že pro </w:t>
      </w:r>
      <w:r>
        <w:rPr>
          <w:b/>
          <w:noProof/>
        </w:rPr>
        <w:t>zvýšení společné kybernetické odolnosti</w:t>
      </w:r>
      <w:r>
        <w:rPr>
          <w:noProof/>
        </w:rPr>
        <w:t xml:space="preserve"> Unie nebudou </w:t>
      </w:r>
      <w:r>
        <w:rPr>
          <w:b/>
          <w:noProof/>
        </w:rPr>
        <w:t>individuální opatření členských států EU a roztříštěný přístup ke kybernetické bezpečnosti</w:t>
      </w:r>
      <w:r>
        <w:rPr>
          <w:noProof/>
        </w:rPr>
        <w:t xml:space="preserve"> dostatečná.  </w:t>
      </w:r>
    </w:p>
    <w:p w:rsidR="00557911" w:rsidRDefault="00623804">
      <w:pPr>
        <w:spacing w:before="0" w:line="240" w:lineRule="atLeast"/>
        <w:ind w:right="-29"/>
        <w:rPr>
          <w:rFonts w:eastAsia="Times New Roman"/>
          <w:noProof/>
          <w:szCs w:val="24"/>
        </w:rPr>
      </w:pPr>
      <w:r>
        <w:rPr>
          <w:noProof/>
        </w:rPr>
        <w:t>Opatření</w:t>
      </w:r>
      <w:r>
        <w:rPr>
          <w:noProof/>
        </w:rPr>
        <w:t xml:space="preserve"> na úrovni EU je rovněž považováno za nezbytné pro řešení roztříštěnosti stávajících systémů certifikace kybernetické bezpečnosti. Výrobcům by to umožnilo plně využívat výhod vnitřního trhu, přičemž by došlo ke značným úsporám nákladů na testování a konstr</w:t>
      </w:r>
      <w:r>
        <w:rPr>
          <w:noProof/>
        </w:rPr>
        <w:t>ukční změny. I když například stávající dohoda o vzájemném uznávání skupiny vyšších úředníků – bezpečnost informačních systémů (SOG-IS) dosáhla v tomto ohledu důležitých výsledků, rovněž ukázala významná omezení, která brání tomu, aby byla vhodná pro posky</w:t>
      </w:r>
      <w:r>
        <w:rPr>
          <w:noProof/>
        </w:rPr>
        <w:t>tování dlouhodobějších udržitelných řešení při využívání plného potenciálu vnitřního trhu.</w:t>
      </w:r>
    </w:p>
    <w:p w:rsidR="00557911" w:rsidRDefault="00623804">
      <w:pPr>
        <w:spacing w:before="0" w:line="240" w:lineRule="atLeast"/>
        <w:ind w:right="-29"/>
        <w:rPr>
          <w:rFonts w:eastAsia="Times New Roman"/>
          <w:noProof/>
          <w:szCs w:val="24"/>
        </w:rPr>
      </w:pPr>
      <w:r>
        <w:rPr>
          <w:noProof/>
        </w:rPr>
        <w:t>Přidaná hodnota opatření na úrovni EU, zejména opatření ke zvýšení spolupráce mezi členskými státy, ale také mezi společenstvími zabývajícími se bezpečností sítí a i</w:t>
      </w:r>
      <w:r>
        <w:rPr>
          <w:noProof/>
        </w:rPr>
        <w:t>nformací, byla uznána v závěrech Rady z roku 2016</w:t>
      </w:r>
      <w:r>
        <w:rPr>
          <w:rStyle w:val="FootnoteReference"/>
          <w:noProof/>
        </w:rPr>
        <w:footnoteReference w:id="23"/>
      </w:r>
      <w:r>
        <w:rPr>
          <w:noProof/>
        </w:rPr>
        <w:t xml:space="preserve">, a rovněž jasně vyplývá z hodnocení agentury ENISA. </w:t>
      </w:r>
    </w:p>
    <w:p w:rsidR="00557911" w:rsidRDefault="00557911">
      <w:pPr>
        <w:spacing w:before="0" w:line="240" w:lineRule="atLeast"/>
        <w:ind w:right="-29"/>
        <w:rPr>
          <w:rFonts w:eastAsia="Times New Roman"/>
          <w:noProof/>
          <w:szCs w:val="24"/>
        </w:rPr>
      </w:pPr>
    </w:p>
    <w:p w:rsidR="00557911" w:rsidRDefault="00623804">
      <w:pPr>
        <w:pStyle w:val="ManualHeading2"/>
        <w:rPr>
          <w:rFonts w:eastAsia="Arial Unicode MS"/>
          <w:noProof/>
          <w:u w:color="000000"/>
          <w:bdr w:val="nil"/>
        </w:rPr>
      </w:pPr>
      <w:bookmarkStart w:id="8" w:name="_Toc492216451"/>
      <w:r>
        <w:rPr>
          <w:noProof/>
        </w:rPr>
        <w:t>•</w:t>
      </w:r>
      <w:r>
        <w:rPr>
          <w:noProof/>
        </w:rPr>
        <w:tab/>
        <w:t>Proporcionalita</w:t>
      </w:r>
      <w:bookmarkEnd w:id="8"/>
    </w:p>
    <w:p w:rsidR="00557911" w:rsidRDefault="00623804">
      <w:pPr>
        <w:rPr>
          <w:noProof/>
        </w:rPr>
      </w:pPr>
      <w:r>
        <w:rPr>
          <w:noProof/>
        </w:rPr>
        <w:t xml:space="preserve">Navrhovaná opatření nepřekračují rámec toho, co je nezbytné k dosažení jejich cílů politiky. Kromě toho rozsah intervence EU nebrání </w:t>
      </w:r>
      <w:r>
        <w:rPr>
          <w:noProof/>
        </w:rPr>
        <w:t>přijímání dalších vnitrostátních opatření v oblasti národní bezpečnosti. Na základě subsidiarity a proporcionality je proto opatření na úrovni EU odůvodněné.</w:t>
      </w:r>
    </w:p>
    <w:p w:rsidR="00557911" w:rsidRDefault="00557911">
      <w:pPr>
        <w:rPr>
          <w:noProof/>
        </w:rPr>
      </w:pPr>
    </w:p>
    <w:p w:rsidR="00557911" w:rsidRDefault="00623804">
      <w:pPr>
        <w:pStyle w:val="ManualHeading2"/>
        <w:rPr>
          <w:rFonts w:eastAsia="Arial Unicode MS"/>
          <w:noProof/>
          <w:u w:color="000000"/>
          <w:bdr w:val="nil"/>
        </w:rPr>
      </w:pPr>
      <w:bookmarkStart w:id="9" w:name="_Toc492216452"/>
      <w:r>
        <w:rPr>
          <w:noProof/>
        </w:rPr>
        <w:t>•</w:t>
      </w:r>
      <w:r>
        <w:rPr>
          <w:noProof/>
        </w:rPr>
        <w:tab/>
        <w:t>Volba nástroje</w:t>
      </w:r>
      <w:bookmarkEnd w:id="9"/>
    </w:p>
    <w:p w:rsidR="00557911" w:rsidRDefault="00623804">
      <w:pPr>
        <w:rPr>
          <w:noProof/>
        </w:rPr>
      </w:pPr>
      <w:r>
        <w:rPr>
          <w:noProof/>
        </w:rPr>
        <w:t>Tento návrh přezkoumává nařízení (EU) č. 526/2013, které stanoví stávající mandá</w:t>
      </w:r>
      <w:r>
        <w:rPr>
          <w:noProof/>
        </w:rPr>
        <w:t>t a úkoly agentury ENISA. Kromě toho vzhledem k důležité úloze agentury ENISA při zřizování a řízení rámce EU pro certifikaci kybernetické bezpečnosti bude nejlepší, aby byly nový mandát agentury ENISA a uvedený rámec zavedeny podle jednoho právního nástro</w:t>
      </w:r>
      <w:r>
        <w:rPr>
          <w:noProof/>
        </w:rPr>
        <w:t xml:space="preserve">je za použití nástroje v podobě nařízení.  </w:t>
      </w:r>
    </w:p>
    <w:p w:rsidR="00557911" w:rsidRDefault="00623804">
      <w:pPr>
        <w:pStyle w:val="ManualHeading1"/>
        <w:rPr>
          <w:rStyle w:val="Heading1Char"/>
          <w:noProof/>
          <w:lang w:val="cs-CZ"/>
        </w:rPr>
      </w:pPr>
      <w:bookmarkStart w:id="10" w:name="_Toc492216453"/>
      <w:r w:rsidRPr="00623804">
        <w:rPr>
          <w:rStyle w:val="Heading1Char"/>
          <w:lang w:val="cs-CZ"/>
        </w:rPr>
        <w:t>3.</w:t>
      </w:r>
      <w:r w:rsidRPr="00623804">
        <w:rPr>
          <w:rStyle w:val="Heading1Char"/>
          <w:lang w:val="cs-CZ"/>
        </w:rPr>
        <w:tab/>
      </w:r>
      <w:r>
        <w:rPr>
          <w:rStyle w:val="Heading1Char"/>
          <w:noProof/>
          <w:lang w:val="cs-CZ"/>
        </w:rPr>
        <w:t xml:space="preserve">VÝSLEDKY HODNOCENÍ </w:t>
      </w:r>
      <w:r>
        <w:rPr>
          <w:rStyle w:val="Heading1Char"/>
          <w:i/>
          <w:noProof/>
          <w:lang w:val="cs-CZ"/>
        </w:rPr>
        <w:t>EX POST</w:t>
      </w:r>
      <w:r>
        <w:rPr>
          <w:rStyle w:val="Heading1Char"/>
          <w:noProof/>
          <w:lang w:val="cs-CZ"/>
        </w:rPr>
        <w:t>, KONZULTACÍ SE ZÚČASTNĚNÝMI STRANAMI A POSOUZENÍ DOPADŮ</w:t>
      </w:r>
      <w:bookmarkEnd w:id="10"/>
    </w:p>
    <w:p w:rsidR="00557911" w:rsidRDefault="00623804">
      <w:pPr>
        <w:pStyle w:val="ManualHeading2"/>
        <w:rPr>
          <w:rFonts w:eastAsia="Arial Unicode MS"/>
          <w:noProof/>
          <w:u w:color="000000"/>
          <w:bdr w:val="nil"/>
        </w:rPr>
      </w:pPr>
      <w:bookmarkStart w:id="11" w:name="_Toc492216454"/>
      <w:r>
        <w:rPr>
          <w:noProof/>
        </w:rPr>
        <w:t xml:space="preserve">Hodnocení </w:t>
      </w:r>
      <w:r>
        <w:rPr>
          <w:i/>
          <w:noProof/>
        </w:rPr>
        <w:t>ex post</w:t>
      </w:r>
      <w:r>
        <w:rPr>
          <w:noProof/>
        </w:rPr>
        <w:t xml:space="preserve"> / kontroly účelnosti platných právních předpisů</w:t>
      </w:r>
      <w:bookmarkEnd w:id="11"/>
    </w:p>
    <w:p w:rsidR="00557911" w:rsidRDefault="00623804">
      <w:pPr>
        <w:rPr>
          <w:noProof/>
        </w:rPr>
      </w:pPr>
      <w:r>
        <w:rPr>
          <w:noProof/>
        </w:rPr>
        <w:t>Komise v souladu s plánem hodnocení</w:t>
      </w:r>
      <w:r>
        <w:rPr>
          <w:rStyle w:val="FootnoteReference"/>
          <w:noProof/>
        </w:rPr>
        <w:footnoteReference w:id="24"/>
      </w:r>
      <w:r>
        <w:rPr>
          <w:noProof/>
        </w:rPr>
        <w:t xml:space="preserve"> posuzovala </w:t>
      </w:r>
      <w:r>
        <w:rPr>
          <w:b/>
          <w:noProof/>
        </w:rPr>
        <w:t xml:space="preserve">význam, </w:t>
      </w:r>
      <w:r>
        <w:rPr>
          <w:b/>
          <w:noProof/>
        </w:rPr>
        <w:t>dopad, účinnost, efektivitu, soudržnost a přidanou hodnotu</w:t>
      </w:r>
      <w:r>
        <w:rPr>
          <w:noProof/>
        </w:rPr>
        <w:t xml:space="preserve"> agentury s ohledem na její výkon, řízení, vnitřní organizační strukturu a pracovní postupy v období 2013–2016. Hlavní zjištění lze shrnout takto (více informací viz pracovní dokument útvarů Komise </w:t>
      </w:r>
      <w:r>
        <w:rPr>
          <w:noProof/>
        </w:rPr>
        <w:t xml:space="preserve">na toto téma, který je připojen k posouzení dopadů). </w:t>
      </w:r>
    </w:p>
    <w:p w:rsidR="00557911" w:rsidRDefault="00623804">
      <w:pPr>
        <w:pStyle w:val="Bullet0"/>
        <w:rPr>
          <w:noProof/>
        </w:rPr>
      </w:pPr>
      <w:r>
        <w:rPr>
          <w:b/>
          <w:noProof/>
        </w:rPr>
        <w:t xml:space="preserve">Význam: </w:t>
      </w:r>
      <w:r>
        <w:rPr>
          <w:noProof/>
        </w:rPr>
        <w:t>V kontextu technologického rozvoje a vyvíjejících se hrozeb a s ohledem na značnou potřebu zvýšit kybernetickou bezpečnost v EU se ukázalo, že cíle agentury ENISA mají význam. Členské státy a su</w:t>
      </w:r>
      <w:r>
        <w:rPr>
          <w:noProof/>
        </w:rPr>
        <w:t>bjekty EU spoléhají na její značné odborné znalosti týkající se otázek kybernetické bezpečnosti. Kromě toho je v členských státech třeba vybudovat kapacity pro lepší pochopení hrozeb a reagování na ně a zúčastněné strany musí spolupracovat napříč tematický</w:t>
      </w:r>
      <w:r>
        <w:rPr>
          <w:noProof/>
        </w:rPr>
        <w:t>mi oblastmi a napříč institucemi. Kybernetická bezpečnost je nadále klíčovou politickou prioritou EU a očekává se, že agentura ENISA na ni odpoví; podoba agentury ENISA jakožto agentury EU s mandátem na určitou dobu však: i) neumožňuje dlouhodobé plánování</w:t>
      </w:r>
      <w:r>
        <w:rPr>
          <w:noProof/>
        </w:rPr>
        <w:t xml:space="preserve"> a udržitelnou podporu členských států a orgánů EU; ii) může vést k právnímu vakuu, jelikož ustanovení směrnice o bezpečnosti sítí a informací svěřují agentuře ENISA úkoly trvalého charakteru</w:t>
      </w:r>
      <w:r>
        <w:rPr>
          <w:rStyle w:val="FootnoteReference"/>
          <w:noProof/>
        </w:rPr>
        <w:footnoteReference w:id="25"/>
      </w:r>
      <w:r>
        <w:rPr>
          <w:noProof/>
        </w:rPr>
        <w:t>; iii) není soudržná s vizí, která agenturu ENISA spojuje s posí</w:t>
      </w:r>
      <w:r>
        <w:rPr>
          <w:noProof/>
        </w:rPr>
        <w:t>leným kybernetickobezpečnostním ekosystémem EU.</w:t>
      </w:r>
    </w:p>
    <w:p w:rsidR="00557911" w:rsidRDefault="00623804">
      <w:pPr>
        <w:pStyle w:val="Bullet0"/>
        <w:rPr>
          <w:noProof/>
        </w:rPr>
      </w:pPr>
      <w:r>
        <w:rPr>
          <w:b/>
          <w:noProof/>
        </w:rPr>
        <w:t>Účinnost:</w:t>
      </w:r>
      <w:r>
        <w:rPr>
          <w:noProof/>
        </w:rPr>
        <w:t xml:space="preserve"> Agentura ENISA celkově splnila své cíle a provedla své úkoly. Prostřednictvím svých hlavních činností (budování kapacit, poskytování odborných znalostí, budování společenství a podpora politiky) při</w:t>
      </w:r>
      <w:r>
        <w:rPr>
          <w:noProof/>
        </w:rPr>
        <w:t xml:space="preserve">spěla k posílení bezpečnosti sítí a informací v Evropě. Ve vztahu ke každé z těchto činností však ukázala potenciál ke zlepšení. Hodnocení dospělo k závěru, že agentura ENISA účinně vytvořila silné a důvěrné vztahy s některými ze svých zúčastněných stran, </w:t>
      </w:r>
      <w:r>
        <w:rPr>
          <w:noProof/>
        </w:rPr>
        <w:t>zejména s členskými státy a společenstvím CSIRT. Intervence v oblasti budování kapacit byly vnímány jako účinné zejména v případě členských států s menšími prostředky. Jedním z nejvíce zdůrazňovaných bodů byla stimulace široké spolupráce, přičemž zúčastněn</w:t>
      </w:r>
      <w:r>
        <w:rPr>
          <w:noProof/>
        </w:rPr>
        <w:t>é strany se široce shodly na pozitivní úloze, kterou agentura ENISA hraje při spojování lidí. Agentura ENISA však čelila potížím, když se pokoušela mít velký dopad na rozsáhlou oblast bezpečnosti sítí a informací. To bylo rovněž způsobeno skutečností, že p</w:t>
      </w:r>
      <w:r>
        <w:rPr>
          <w:noProof/>
        </w:rPr>
        <w:t xml:space="preserve">ro splnění velmi širokého mandátu měla dosti omezené lidské a finanční zdroje. Hodnocení rovněž dospělo k závěru, že agentura ENISA částečně splnila cíl poskytování odborných poznatků, což souviselo s problémy s najímáním odborníků (viz také níže v oddíle </w:t>
      </w:r>
      <w:r>
        <w:rPr>
          <w:noProof/>
        </w:rPr>
        <w:t xml:space="preserve">týkajícím se efektivity). </w:t>
      </w:r>
    </w:p>
    <w:p w:rsidR="00557911" w:rsidRDefault="00623804">
      <w:pPr>
        <w:pStyle w:val="Bullet0"/>
        <w:rPr>
          <w:noProof/>
        </w:rPr>
      </w:pPr>
      <w:r>
        <w:rPr>
          <w:b/>
          <w:noProof/>
        </w:rPr>
        <w:t>Efektivita:</w:t>
      </w:r>
      <w:r>
        <w:rPr>
          <w:noProof/>
        </w:rPr>
        <w:t xml:space="preserve"> I přes svůj malý rozpočet – ve srovnání s jinými agenturami EU patří k nejnižším – byla agentura ENISA schopna přispět ke sledovaným cílům, což ukazuje celkovou efektivitu při využívání jejích zdrojů. Hodnocení dospěl</w:t>
      </w:r>
      <w:r>
        <w:rPr>
          <w:noProof/>
        </w:rPr>
        <w:t>o k závěru, že procesy byly obecně efektivní, a jasné vymezení odpovědností v rámci organizace vedlo k dobrému vykonávání práce. Jeden z hlavních problémů týkajících se efektivity agentury souvisí s obtížemi agentury ENISA s najímáním a udržením vysoce kva</w:t>
      </w:r>
      <w:r>
        <w:rPr>
          <w:noProof/>
        </w:rPr>
        <w:t>lifikovaných odborníků. Zjištění ukazují, že tuto skutečnost lze vysvětlit kombinací faktorů, včetně obecných obtíží veřejného sektoru konkurovat soukromému sektoru ve snaze najmout vysoce specializované odborníky, druhu smluv (na dobu určitou), které mohl</w:t>
      </w:r>
      <w:r>
        <w:rPr>
          <w:noProof/>
        </w:rPr>
        <w:t>a agentura většinou nabízet, a poněkud nižší úrovně atraktivity související s umístěním agentury ENISA, které souvisela například s obtížemi manželů či manželek při hledání práce. Rozdělení umístění mezi Atény a Heraklion vyžadovalo další úsilí při koordin</w:t>
      </w:r>
      <w:r>
        <w:rPr>
          <w:noProof/>
        </w:rPr>
        <w:t>aci a vedlo k dalším nákladům, ale přesun oddělení hlavních činností do Atén v roce 2013 provozní účinnost agentury zvýšil.</w:t>
      </w:r>
    </w:p>
    <w:p w:rsidR="00557911" w:rsidRDefault="00623804">
      <w:pPr>
        <w:pStyle w:val="Bullet0"/>
        <w:rPr>
          <w:noProof/>
        </w:rPr>
      </w:pPr>
      <w:r>
        <w:rPr>
          <w:b/>
          <w:noProof/>
        </w:rPr>
        <w:t>Soudržnost:</w:t>
      </w:r>
      <w:r>
        <w:rPr>
          <w:noProof/>
        </w:rPr>
        <w:t xml:space="preserve"> Činnosti agentury ENISA byly obecně v souladu s politikami a činnostmi jejích zúčastněných stran, a to na vnitrostátní ú</w:t>
      </w:r>
      <w:r>
        <w:rPr>
          <w:noProof/>
        </w:rPr>
        <w:t>rovni i na úrovni EU, je však třeba koordinovanějšího přístupu ke kybernetické bezpečnosti na úrovni EU. Potenciál pro spolupráci mezi agenturou ENISA a subjekty EU nebyl plně využit. Vzhledem k vývoji právního a politického prostředí v EU je dnes stávajíc</w:t>
      </w:r>
      <w:r>
        <w:rPr>
          <w:noProof/>
        </w:rPr>
        <w:t>í mandát méně soudržný.</w:t>
      </w:r>
    </w:p>
    <w:p w:rsidR="00557911" w:rsidRDefault="00623804">
      <w:pPr>
        <w:pStyle w:val="Bullet0"/>
        <w:rPr>
          <w:noProof/>
        </w:rPr>
      </w:pPr>
      <w:r>
        <w:rPr>
          <w:b/>
          <w:noProof/>
        </w:rPr>
        <w:t>Přidaná hodnota na úrovni EU</w:t>
      </w:r>
      <w:r>
        <w:rPr>
          <w:noProof/>
        </w:rPr>
        <w:t xml:space="preserve">: Přidaná hodnota agentury ENISA spočívá především ve schopnosti agentury zvyšovat spolupráci, a to zejména mezi členskými státy, ale také se souvisejícími společenstvími zabývajícími se bezpečností sítí </w:t>
      </w:r>
      <w:r>
        <w:rPr>
          <w:noProof/>
        </w:rPr>
        <w:t xml:space="preserve">a informací. Na úrovni EU není žádný jiný subjekt, který podporuje spolupráci stejné škály zúčastněných stran zabývajících se bezpečností sítí a informací. Přidaná hodnota poskytovaná agenturou se lišila podle rozdílných potřeb a zdrojů zúčastněných stran </w:t>
      </w:r>
      <w:r>
        <w:rPr>
          <w:noProof/>
        </w:rPr>
        <w:t xml:space="preserve">(např. velké versus malé členské státy, členské státy versus odvětví) a podle nutnosti, aby agentura stanovovala priority svých činností podle pracovního programu. Hodnocení dospělo k závěru, že potenciální přerušení činnosti agentury ENISA by pro všechny </w:t>
      </w:r>
      <w:r>
        <w:rPr>
          <w:noProof/>
        </w:rPr>
        <w:t xml:space="preserve">členské státy bylo promarněnou příležitostí. V oblasti kybernetické bezpečnosti nebude možné zajistit stejnou úroveň budování společenství a spolupráce napříč členskými státy. Bez centralizovanější agentury EU by byl obrázek roztříštěnější a prázdné místo </w:t>
      </w:r>
      <w:r>
        <w:rPr>
          <w:noProof/>
        </w:rPr>
        <w:t xml:space="preserve">zanechané agenturou ENISA by bylo vyplněno dvoustrannou nebo regionální spoluprací. </w:t>
      </w:r>
    </w:p>
    <w:p w:rsidR="00557911" w:rsidRDefault="00623804">
      <w:pPr>
        <w:rPr>
          <w:noProof/>
          <w:szCs w:val="24"/>
        </w:rPr>
      </w:pPr>
      <w:r>
        <w:rPr>
          <w:noProof/>
        </w:rPr>
        <w:t>Se zvláštním ohledem na dřívější výsledky a budoucnost agentury ENISA jsou hlavní trendy vyplývající z konzultace v roce 2017 tyto</w:t>
      </w:r>
      <w:r>
        <w:rPr>
          <w:rStyle w:val="FootnoteReference"/>
          <w:noProof/>
        </w:rPr>
        <w:footnoteReference w:id="26"/>
      </w:r>
      <w:r>
        <w:rPr>
          <w:noProof/>
        </w:rPr>
        <w:t>:</w:t>
      </w:r>
    </w:p>
    <w:p w:rsidR="00557911" w:rsidRDefault="00623804">
      <w:pPr>
        <w:pStyle w:val="Bullet0"/>
        <w:rPr>
          <w:noProof/>
        </w:rPr>
      </w:pPr>
      <w:r>
        <w:rPr>
          <w:noProof/>
        </w:rPr>
        <w:t>Většina respondentů (74 %) hodnotila c</w:t>
      </w:r>
      <w:r>
        <w:rPr>
          <w:noProof/>
        </w:rPr>
        <w:t>elkový výkon agentury ENISA v období 2013 až 2016 kladně. Většina respondentů se dále domnívala, že agentura ENISA dosahuje svých různých cílů (u každého z cílů alespoň 63 %). Služby a produkty agentury ENISA jsou pravidelně (každý měsíc nebo častěji) použ</w:t>
      </w:r>
      <w:r>
        <w:rPr>
          <w:noProof/>
        </w:rPr>
        <w:t xml:space="preserve">ívány téměř polovinou respondentů (46 %) a jsou oceňovány za skutečnost, že pocházejí ze subjektu na úrovni EU (83 %) a za svou kvalitu (62 %). </w:t>
      </w:r>
    </w:p>
    <w:p w:rsidR="00557911" w:rsidRDefault="00623804">
      <w:pPr>
        <w:pStyle w:val="Bullet0"/>
        <w:rPr>
          <w:noProof/>
        </w:rPr>
      </w:pPr>
      <w:r>
        <w:rPr>
          <w:noProof/>
        </w:rPr>
        <w:t>Respondenti z hlediska budoucnosti kybernetické bezpečnosti v EU identifikovali řadu nedostatků a problémů, při</w:t>
      </w:r>
      <w:r>
        <w:rPr>
          <w:noProof/>
        </w:rPr>
        <w:t>čemž k pěti nejčastějším (ze seznamu 16) patřilo zejména: spolupráce napříč členskými státy, kapacita předcházet rozsáhlým kybernetickým útokům, odhalovat je a řešit je, spolupráce napříč členskými státy v záležitostech týkajících se kybernetické bezpečnos</w:t>
      </w:r>
      <w:r>
        <w:rPr>
          <w:noProof/>
        </w:rPr>
        <w:t>ti, spolupráce a sdílení informací mezi různými zúčastněnými stranami včetně spolupráce veřejného a soukromého sektoru, ochrana kritické infrastruktury před kybernetickými útoky.</w:t>
      </w:r>
    </w:p>
    <w:p w:rsidR="00557911" w:rsidRDefault="00623804">
      <w:pPr>
        <w:pStyle w:val="Bullet0"/>
        <w:rPr>
          <w:noProof/>
        </w:rPr>
      </w:pPr>
      <w:r>
        <w:rPr>
          <w:noProof/>
        </w:rPr>
        <w:t>Velká většina respondentů (88 %) se domnívala, že stávající nástroje a mechan</w:t>
      </w:r>
      <w:r>
        <w:rPr>
          <w:noProof/>
        </w:rPr>
        <w:t>ismy dostupné na úrovni EU jsou pro řešení těchto nedostatků a problémů nedostatečné nebo pouze částečně přiměřené. Převážná většina respondentů (98 %) uvedla, že by na tyto potřeby měla reagovat instituce EU, a podle 99 % z těchto respondentů by to měla b</w:t>
      </w:r>
      <w:r>
        <w:rPr>
          <w:noProof/>
        </w:rPr>
        <w:t>ýt právě ENISA.</w:t>
      </w:r>
    </w:p>
    <w:p w:rsidR="00557911" w:rsidRDefault="00557911">
      <w:pPr>
        <w:rPr>
          <w:noProof/>
        </w:rPr>
      </w:pPr>
    </w:p>
    <w:p w:rsidR="00557911" w:rsidRDefault="00623804">
      <w:pPr>
        <w:pStyle w:val="ManualHeading2"/>
        <w:rPr>
          <w:rFonts w:eastAsia="Arial Unicode MS"/>
          <w:noProof/>
          <w:u w:color="000000"/>
          <w:bdr w:val="nil"/>
        </w:rPr>
      </w:pPr>
      <w:r>
        <w:rPr>
          <w:noProof/>
        </w:rPr>
        <w:tab/>
      </w:r>
      <w:bookmarkStart w:id="12" w:name="_Toc492216455"/>
      <w:r>
        <w:rPr>
          <w:noProof/>
        </w:rPr>
        <w:t>Konzultace se zúčastněnými stranami</w:t>
      </w:r>
      <w:bookmarkEnd w:id="12"/>
    </w:p>
    <w:p w:rsidR="00557911" w:rsidRDefault="00623804">
      <w:pPr>
        <w:pStyle w:val="Bullet0"/>
        <w:rPr>
          <w:noProof/>
        </w:rPr>
      </w:pPr>
      <w:r>
        <w:rPr>
          <w:noProof/>
        </w:rPr>
        <w:t>Komise zorganizovala veřejnou konzultaci o přezkumu agentury ENISA, která probíhala od 12. dubna do 5. července 2016, a obdržela 421 odpovědí</w:t>
      </w:r>
      <w:r>
        <w:rPr>
          <w:rStyle w:val="FootnoteReference"/>
          <w:noProof/>
        </w:rPr>
        <w:footnoteReference w:id="27"/>
      </w:r>
      <w:r>
        <w:rPr>
          <w:noProof/>
        </w:rPr>
        <w:t>. Podle výsledků konzultace 67,5 % respondentů vyjádřilo náz</w:t>
      </w:r>
      <w:r>
        <w:rPr>
          <w:noProof/>
        </w:rPr>
        <w:t>or, že agentura ENISA by mohla hrát úlohu při zavádění harmonizovaného rámce pro certifikaci bezpečnosti produktů a služeb IT.</w:t>
      </w:r>
    </w:p>
    <w:p w:rsidR="00557911" w:rsidRDefault="00623804">
      <w:pPr>
        <w:spacing w:line="270" w:lineRule="atLeast"/>
        <w:rPr>
          <w:noProof/>
          <w:szCs w:val="24"/>
        </w:rPr>
      </w:pPr>
      <w:r>
        <w:rPr>
          <w:noProof/>
        </w:rPr>
        <w:t>Výsledky konzultace z roku 2016 o partnerství veřejného a soukromého sektoru pro kybernetickou bezpečnost</w:t>
      </w:r>
      <w:r>
        <w:rPr>
          <w:rStyle w:val="FootnoteReference"/>
          <w:noProof/>
        </w:rPr>
        <w:footnoteReference w:id="28"/>
      </w:r>
      <w:r>
        <w:rPr>
          <w:noProof/>
        </w:rPr>
        <w:t>, pokud jde o oddíl týk</w:t>
      </w:r>
      <w:r>
        <w:rPr>
          <w:noProof/>
        </w:rPr>
        <w:t>ající se certifikace, ukazují, že:</w:t>
      </w:r>
    </w:p>
    <w:p w:rsidR="00557911" w:rsidRDefault="00623804">
      <w:pPr>
        <w:pStyle w:val="Bullet0"/>
        <w:rPr>
          <w:noProof/>
        </w:rPr>
      </w:pPr>
      <w:r>
        <w:rPr>
          <w:noProof/>
        </w:rPr>
        <w:t>50,4 % (tj. 121 z 240) respondentů neví, zda jsou vnitrostátní systémy certifikace v členských státech EU vzájemně uznávány. 25,8 % (62 z 240) odpovědělo „Ne“, zatímco 23,8 % (57 z 240) odpovědělo „Ano“.</w:t>
      </w:r>
    </w:p>
    <w:p w:rsidR="00557911" w:rsidRDefault="00623804">
      <w:pPr>
        <w:pStyle w:val="Bullet0"/>
        <w:rPr>
          <w:noProof/>
        </w:rPr>
      </w:pPr>
      <w:r>
        <w:rPr>
          <w:noProof/>
        </w:rPr>
        <w:t xml:space="preserve">37,9 % respondentů (91 z 240) si myslí, že stávající systémy certifikace nezajišťují potřeby evropského průmyslu. Na druhou stranu 17,5 % (42 z 240) – zejména globální společnosti působící na evropském trhu – bylo opačného názoru. </w:t>
      </w:r>
    </w:p>
    <w:p w:rsidR="00557911" w:rsidRDefault="00623804">
      <w:pPr>
        <w:pStyle w:val="Bullet0"/>
        <w:rPr>
          <w:noProof/>
        </w:rPr>
      </w:pPr>
      <w:r>
        <w:rPr>
          <w:noProof/>
        </w:rPr>
        <w:t>49,6 % (119 z 240) respo</w:t>
      </w:r>
      <w:r>
        <w:rPr>
          <w:noProof/>
        </w:rPr>
        <w:t>ndentů uvádí, že není snadné prokázat rovnocennost norem, systémů certifikace a označení. 37,9 % (91 z 240) odpovědělo „Nevím“, zatímco pouze 12,5 % (30 z 240) odpovědělo „Ano“.</w:t>
      </w:r>
    </w:p>
    <w:p w:rsidR="00557911" w:rsidRDefault="00557911">
      <w:pPr>
        <w:rPr>
          <w:noProof/>
        </w:rPr>
      </w:pPr>
    </w:p>
    <w:p w:rsidR="00557911" w:rsidRDefault="00623804">
      <w:pPr>
        <w:pStyle w:val="ManualHeading2"/>
        <w:rPr>
          <w:rFonts w:eastAsia="Arial Unicode MS"/>
          <w:noProof/>
          <w:u w:color="000000"/>
          <w:bdr w:val="nil"/>
        </w:rPr>
      </w:pPr>
      <w:bookmarkStart w:id="13" w:name="_Toc492216456"/>
      <w:r>
        <w:rPr>
          <w:noProof/>
        </w:rPr>
        <w:t>Sběr a využití výsledků odborných konzultací</w:t>
      </w:r>
      <w:bookmarkEnd w:id="13"/>
    </w:p>
    <w:p w:rsidR="00557911" w:rsidRDefault="00623804">
      <w:pPr>
        <w:rPr>
          <w:noProof/>
        </w:rPr>
      </w:pPr>
      <w:r>
        <w:rPr>
          <w:noProof/>
        </w:rPr>
        <w:t>Komise zohlednila následující do</w:t>
      </w:r>
      <w:r>
        <w:rPr>
          <w:noProof/>
        </w:rPr>
        <w:t xml:space="preserve">poručení externích odborníků: </w:t>
      </w:r>
    </w:p>
    <w:p w:rsidR="00557911" w:rsidRDefault="00623804">
      <w:pPr>
        <w:pStyle w:val="Bullet0"/>
        <w:rPr>
          <w:noProof/>
        </w:rPr>
      </w:pPr>
      <w:r>
        <w:rPr>
          <w:noProof/>
        </w:rPr>
        <w:t>studie týkající se hodnocení agentury ENISA (Study on the Evaluation of ENISA (Ramboll/Carsa 2017; zpráva SMART č. 2016/0077)),</w:t>
      </w:r>
    </w:p>
    <w:p w:rsidR="00557911" w:rsidRDefault="00623804">
      <w:pPr>
        <w:pStyle w:val="Bullet0"/>
        <w:rPr>
          <w:noProof/>
        </w:rPr>
      </w:pPr>
      <w:r>
        <w:rPr>
          <w:noProof/>
        </w:rPr>
        <w:t xml:space="preserve">Studie týkající se certifikace a označování bezpečnosti IKT – Shromáždění údajů a posouzení </w:t>
      </w:r>
      <w:r>
        <w:rPr>
          <w:noProof/>
        </w:rPr>
        <w:t>dopadů (PriceWaterhouseCoopers 2017; zpráva SMART č. 2016/0029)).</w:t>
      </w:r>
    </w:p>
    <w:p w:rsidR="00557911" w:rsidRDefault="00557911">
      <w:pPr>
        <w:rPr>
          <w:noProof/>
        </w:rPr>
      </w:pPr>
    </w:p>
    <w:p w:rsidR="00557911" w:rsidRDefault="00623804">
      <w:pPr>
        <w:pStyle w:val="ManualHeading2"/>
        <w:rPr>
          <w:rFonts w:eastAsia="Arial Unicode MS"/>
          <w:noProof/>
          <w:u w:color="000000"/>
          <w:bdr w:val="nil"/>
        </w:rPr>
      </w:pPr>
      <w:bookmarkStart w:id="14" w:name="_Toc492216457"/>
      <w:r>
        <w:rPr>
          <w:noProof/>
        </w:rPr>
        <w:t>Posouzení dopadů</w:t>
      </w:r>
      <w:bookmarkEnd w:id="14"/>
    </w:p>
    <w:p w:rsidR="00557911" w:rsidRDefault="00623804">
      <w:pPr>
        <w:pStyle w:val="Bullet0"/>
        <w:rPr>
          <w:noProof/>
        </w:rPr>
      </w:pPr>
      <w:r>
        <w:rPr>
          <w:noProof/>
        </w:rPr>
        <w:t>Zpráva o posouzení dopadů týkající se této iniciativy zjistila tyto hlavní problémy, které je třeba řešit:</w:t>
      </w:r>
    </w:p>
    <w:p w:rsidR="00557911" w:rsidRDefault="00623804">
      <w:pPr>
        <w:pStyle w:val="Bullet0"/>
        <w:rPr>
          <w:noProof/>
        </w:rPr>
      </w:pPr>
      <w:r>
        <w:rPr>
          <w:noProof/>
        </w:rPr>
        <w:t>roztříštěnost politik a přístupů ke kybernetické bezpečnosti např</w:t>
      </w:r>
      <w:r>
        <w:rPr>
          <w:noProof/>
        </w:rPr>
        <w:t>íč členskými státy,</w:t>
      </w:r>
    </w:p>
    <w:p w:rsidR="00557911" w:rsidRDefault="00623804">
      <w:pPr>
        <w:pStyle w:val="Bullet0"/>
        <w:rPr>
          <w:noProof/>
        </w:rPr>
      </w:pPr>
      <w:r>
        <w:rPr>
          <w:noProof/>
        </w:rPr>
        <w:t>rozptýlené zdroje a roztříštěnost přístupů ke kybernetické bezpečnosti napříč orgány, institucemi a jinými subjekty EU, a</w:t>
      </w:r>
    </w:p>
    <w:p w:rsidR="00557911" w:rsidRDefault="00623804">
      <w:pPr>
        <w:pStyle w:val="Bullet0"/>
        <w:rPr>
          <w:noProof/>
        </w:rPr>
      </w:pPr>
      <w:r>
        <w:rPr>
          <w:noProof/>
        </w:rPr>
        <w:t>nedostatečné povědomí a informovanost občanů a společností ve spojení se skutečností, že vzniká stále více různých</w:t>
      </w:r>
      <w:r>
        <w:rPr>
          <w:noProof/>
        </w:rPr>
        <w:t xml:space="preserve"> vnitrostátních a odvětvových systémů certifikace.</w:t>
      </w:r>
    </w:p>
    <w:p w:rsidR="00557911" w:rsidRDefault="00623804">
      <w:pPr>
        <w:spacing w:line="270" w:lineRule="atLeast"/>
        <w:rPr>
          <w:noProof/>
          <w:szCs w:val="24"/>
        </w:rPr>
      </w:pPr>
      <w:r>
        <w:rPr>
          <w:noProof/>
        </w:rPr>
        <w:t>Pokud jde o mandát agentury ENISA, zpráva posuzovala tyto možnosti:</w:t>
      </w:r>
    </w:p>
    <w:p w:rsidR="00557911" w:rsidRDefault="00623804">
      <w:pPr>
        <w:pStyle w:val="Bullet0"/>
        <w:rPr>
          <w:noProof/>
        </w:rPr>
      </w:pPr>
      <w:r>
        <w:rPr>
          <w:noProof/>
        </w:rPr>
        <w:t xml:space="preserve">zachovat </w:t>
      </w:r>
      <w:r>
        <w:rPr>
          <w:i/>
          <w:noProof/>
        </w:rPr>
        <w:t>status quo</w:t>
      </w:r>
      <w:r>
        <w:rPr>
          <w:noProof/>
        </w:rPr>
        <w:t>, což by znamenalo rozšířený mandát, který by byl stále časově omezený (základní možnost),</w:t>
      </w:r>
    </w:p>
    <w:p w:rsidR="00557911" w:rsidRDefault="00623804">
      <w:pPr>
        <w:pStyle w:val="Bullet0"/>
        <w:rPr>
          <w:noProof/>
        </w:rPr>
      </w:pPr>
      <w:r>
        <w:rPr>
          <w:noProof/>
        </w:rPr>
        <w:t>vypršení stávajícího mandát</w:t>
      </w:r>
      <w:r>
        <w:rPr>
          <w:noProof/>
        </w:rPr>
        <w:t>u agentury ENISA, aniž by došlo k obnovení nebo ukončení činnosti agentury ENISA (žádný politický zásah),</w:t>
      </w:r>
    </w:p>
    <w:p w:rsidR="00557911" w:rsidRDefault="00623804">
      <w:pPr>
        <w:pStyle w:val="Bullet0"/>
        <w:rPr>
          <w:noProof/>
        </w:rPr>
      </w:pPr>
      <w:r>
        <w:rPr>
          <w:noProof/>
        </w:rPr>
        <w:t xml:space="preserve">„reforma agentury ENISA“, a </w:t>
      </w:r>
    </w:p>
    <w:p w:rsidR="00557911" w:rsidRDefault="00623804">
      <w:pPr>
        <w:pStyle w:val="Bullet0"/>
        <w:rPr>
          <w:noProof/>
        </w:rPr>
      </w:pPr>
      <w:r>
        <w:rPr>
          <w:noProof/>
        </w:rPr>
        <w:t xml:space="preserve">agentura EU pro kybernetickou bezpečnost s plnými operativními schopnostmi. </w:t>
      </w:r>
    </w:p>
    <w:p w:rsidR="00557911" w:rsidRDefault="00623804">
      <w:pPr>
        <w:rPr>
          <w:noProof/>
        </w:rPr>
      </w:pPr>
      <w:r>
        <w:rPr>
          <w:noProof/>
        </w:rPr>
        <w:t>Pokud jde o certifikaci kybernetické bezpečn</w:t>
      </w:r>
      <w:r>
        <w:rPr>
          <w:noProof/>
        </w:rPr>
        <w:t>osti, zpráva posuzovala tyto možnosti:</w:t>
      </w:r>
    </w:p>
    <w:p w:rsidR="00557911" w:rsidRDefault="00623804">
      <w:pPr>
        <w:pStyle w:val="Bullet0"/>
        <w:rPr>
          <w:noProof/>
        </w:rPr>
      </w:pPr>
      <w:r>
        <w:rPr>
          <w:noProof/>
        </w:rPr>
        <w:t>žádný politický zásah (základní možnost),</w:t>
      </w:r>
    </w:p>
    <w:p w:rsidR="00557911" w:rsidRDefault="00623804">
      <w:pPr>
        <w:pStyle w:val="Bullet0"/>
        <w:rPr>
          <w:noProof/>
        </w:rPr>
      </w:pPr>
      <w:r>
        <w:rPr>
          <w:noProof/>
        </w:rPr>
        <w:t>nelegislativní opatření („měkké právo“),</w:t>
      </w:r>
    </w:p>
    <w:p w:rsidR="00557911" w:rsidRDefault="00623804">
      <w:pPr>
        <w:pStyle w:val="Bullet0"/>
        <w:rPr>
          <w:noProof/>
        </w:rPr>
      </w:pPr>
      <w:r>
        <w:rPr>
          <w:noProof/>
        </w:rPr>
        <w:t xml:space="preserve">legislativní akt EU, kterým by došlo k vytvoření povinného systému pro všechny členské státy založeného na systému SOG-IS, a </w:t>
      </w:r>
    </w:p>
    <w:p w:rsidR="00557911" w:rsidRDefault="00623804">
      <w:pPr>
        <w:pStyle w:val="Bullet0"/>
        <w:rPr>
          <w:noProof/>
        </w:rPr>
      </w:pPr>
      <w:r>
        <w:rPr>
          <w:noProof/>
        </w:rPr>
        <w:t>obecný r</w:t>
      </w:r>
      <w:r>
        <w:rPr>
          <w:noProof/>
        </w:rPr>
        <w:t>ámec EU pro certifikaci kybernetické bezpečnosti IKT.</w:t>
      </w:r>
    </w:p>
    <w:p w:rsidR="00557911" w:rsidRDefault="00623804">
      <w:pPr>
        <w:rPr>
          <w:noProof/>
        </w:rPr>
      </w:pPr>
      <w:r>
        <w:rPr>
          <w:noProof/>
        </w:rPr>
        <w:t xml:space="preserve">Analýza vedla k závěru, že upřednostňovanou možností je „reforma agentury ENISA“ ve spojení s obecným rámcem EU pro certifikaci kybernetické bezpečnosti IKT. </w:t>
      </w:r>
    </w:p>
    <w:p w:rsidR="00557911" w:rsidRDefault="00623804">
      <w:pPr>
        <w:rPr>
          <w:noProof/>
        </w:rPr>
      </w:pPr>
      <w:r>
        <w:rPr>
          <w:noProof/>
        </w:rPr>
        <w:t>Upřednostňovaná možnost byla vyhodnocena ja</w:t>
      </w:r>
      <w:r>
        <w:rPr>
          <w:noProof/>
        </w:rPr>
        <w:t>ko nejefektivnější způsob, jímž má EU dosáhnout stanovených cílů, a sice: zlepšení schopností, připravenosti, spolupráce, informovanosti a transparentnosti v oblasti kybernetické bezpečnosti a zamezení roztříštěnosti trhu. Rovněž byla vyhodnocena jako nejl</w:t>
      </w:r>
      <w:r>
        <w:rPr>
          <w:noProof/>
        </w:rPr>
        <w:t>épe odpovídající politickým prioritám strategie EU v oblasti kybernetické bezpečnosti a souvisejících politik (např. směrnice o bezpečnosti sítí a informací) a strategie pro jednotný digitální trh. Z provedených konzultací nadto vyplynulo, že upřednostňova</w:t>
      </w:r>
      <w:r>
        <w:rPr>
          <w:noProof/>
        </w:rPr>
        <w:t>ná možnost má podporu většiny zúčastněných stran. Kromě toho analýza provedená v rámci posouzení dopadů ukázala, že upřednostňovaná možnost by vedla k dosažení cílů s přiměřeným využitím zdrojů.</w:t>
      </w:r>
    </w:p>
    <w:p w:rsidR="00557911" w:rsidRDefault="00623804">
      <w:pPr>
        <w:spacing w:line="270" w:lineRule="atLeast"/>
        <w:rPr>
          <w:noProof/>
          <w:szCs w:val="24"/>
        </w:rPr>
      </w:pPr>
      <w:r>
        <w:rPr>
          <w:noProof/>
        </w:rPr>
        <w:t>Výbor Komise pro kontrolu regulace nejprve vydal dne 24. červ</w:t>
      </w:r>
      <w:r>
        <w:rPr>
          <w:noProof/>
        </w:rPr>
        <w:t>ence záporné stanovisko, a po novém předložení vydal dne 25. srpna 2017 stanovisko kladné. Upravená zpráva o posouzení dopadů obsahovala dodatečné podpůrné údaje, konečné závěry hodnocení agentury ENISA a další vysvětlení možností politiky a jejich dopadů.</w:t>
      </w:r>
      <w:r>
        <w:rPr>
          <w:noProof/>
        </w:rPr>
        <w:t xml:space="preserve"> Příloha 1 závěrečné zprávy o posouzení dopadů shrnuje, jak byly připomínky výboru ve druhém stanovisku zohledněny. Zpráva byla zejména aktualizována tak, že podrobněji popisuje situaci v oblasti kybernetické bezpečnosti v EU, včetně opatření, která jsou u</w:t>
      </w:r>
      <w:r>
        <w:rPr>
          <w:noProof/>
        </w:rPr>
        <w:t>vedena ve společném sdělení „Odolnost, odrazující opatření a obrana – Budování robustní kybernetické bezpečnosti v EU“, (JOIN(2017) 450) a která jsou zvláště relevantní pro agenturu ENISA: plán EU v oblasti kybernetické bezpečnosti a evropské výzkumné a od</w:t>
      </w:r>
      <w:r>
        <w:rPr>
          <w:noProof/>
        </w:rPr>
        <w:t xml:space="preserve">borné středisko pro kybernetickou bezpečnost, jemuž by agentura směřovala svá doporučení ohledně výzkumných potřeb EU. </w:t>
      </w:r>
    </w:p>
    <w:p w:rsidR="00557911" w:rsidRDefault="00623804">
      <w:pPr>
        <w:spacing w:line="270" w:lineRule="atLeast"/>
        <w:rPr>
          <w:noProof/>
          <w:szCs w:val="24"/>
        </w:rPr>
      </w:pPr>
      <w:r>
        <w:rPr>
          <w:noProof/>
        </w:rPr>
        <w:t>Ve zprávě se vysvětluje, jak by reforma agentury, včetně nových úkolů, lepších podmínek pro zaměstnance a strukturální spolupráce s inst</w:t>
      </w:r>
      <w:r>
        <w:rPr>
          <w:noProof/>
        </w:rPr>
        <w:t xml:space="preserve">itucemi EU v dané oblasti, zlepšila její atraktivitu jako zaměstnavatele a pomohla řešit problémy spojené s náborem odborníků. Příloha 6 zprávy rovněž obsahuje přepracovaný odhad nákladů spojených s možnostmi politiky, co se týče agentury ENISA. Pokud jde </w:t>
      </w:r>
      <w:r>
        <w:rPr>
          <w:noProof/>
        </w:rPr>
        <w:t>o téma certifikace, zpráva byla přepracována tak, aby poskytovala podrobnější vysvětlení upřednostňované možnosti, včetně grafického znázornění, a rovněž odhady nákladů, jež v souvislosti s novým rámcem certifikace vzniknou členským státům a Komisi. Důvody</w:t>
      </w:r>
      <w:r>
        <w:rPr>
          <w:noProof/>
        </w:rPr>
        <w:t xml:space="preserve"> volby agentury ENISA jako klíčového aktéra v tomto rámci byly dále vysvětleny na základě její odbornosti v dané oblasti a skutečnosti, že se jedná o jedinou agenturu působící v oblasti kybernetické bezpečnosti na úrovni EU. Oddíly týkající se certifikace </w:t>
      </w:r>
      <w:r>
        <w:rPr>
          <w:noProof/>
        </w:rPr>
        <w:t>byly rovněž přepracovány tak, aby objasňovaly aspekty spojené s odlišnostmi stávajícího systému skupiny SOG-IS a výhody spojené s uvedenými možnostmi politiky a aby upřesnily, že typy produktů a služeb IKT, na něž se bude vztahovat určitý evropský systém c</w:t>
      </w:r>
      <w:r>
        <w:rPr>
          <w:noProof/>
        </w:rPr>
        <w:t>ertifikace, budou vymezeny přímo v daném schváleném systému.</w:t>
      </w:r>
    </w:p>
    <w:p w:rsidR="00557911" w:rsidRDefault="00557911">
      <w:pPr>
        <w:spacing w:line="270" w:lineRule="atLeast"/>
        <w:rPr>
          <w:noProof/>
          <w:szCs w:val="24"/>
        </w:rPr>
      </w:pPr>
    </w:p>
    <w:p w:rsidR="00557911" w:rsidRDefault="00623804">
      <w:pPr>
        <w:pStyle w:val="ManualHeading2"/>
        <w:rPr>
          <w:rFonts w:eastAsia="Arial Unicode MS"/>
          <w:noProof/>
          <w:u w:color="000000"/>
          <w:bdr w:val="nil"/>
        </w:rPr>
      </w:pPr>
      <w:bookmarkStart w:id="15" w:name="_Toc492216458"/>
      <w:r>
        <w:rPr>
          <w:noProof/>
        </w:rPr>
        <w:t>Účelnost a zjednodušování právních předpisů</w:t>
      </w:r>
      <w:bookmarkEnd w:id="15"/>
    </w:p>
    <w:p w:rsidR="00557911" w:rsidRDefault="00623804">
      <w:pPr>
        <w:spacing w:before="0" w:after="200" w:line="276" w:lineRule="auto"/>
        <w:jc w:val="left"/>
        <w:rPr>
          <w:i/>
          <w:noProof/>
          <w:szCs w:val="24"/>
        </w:rPr>
      </w:pPr>
      <w:r>
        <w:rPr>
          <w:i/>
          <w:noProof/>
        </w:rPr>
        <w:t>Nevztahuje se na tento návrh.</w:t>
      </w:r>
    </w:p>
    <w:p w:rsidR="00557911" w:rsidRDefault="00557911">
      <w:pPr>
        <w:spacing w:before="0" w:after="200" w:line="276" w:lineRule="auto"/>
        <w:jc w:val="left"/>
        <w:rPr>
          <w:rFonts w:asciiTheme="minorHAnsi" w:hAnsiTheme="minorHAnsi" w:cstheme="minorBidi"/>
          <w:i/>
          <w:noProof/>
          <w:sz w:val="22"/>
          <w:szCs w:val="24"/>
        </w:rPr>
      </w:pPr>
    </w:p>
    <w:p w:rsidR="00557911" w:rsidRDefault="00623804">
      <w:pPr>
        <w:pStyle w:val="ManualHeading2"/>
        <w:rPr>
          <w:rFonts w:eastAsia="Arial Unicode MS"/>
          <w:noProof/>
          <w:u w:color="000000"/>
          <w:bdr w:val="nil"/>
        </w:rPr>
      </w:pPr>
      <w:bookmarkStart w:id="16" w:name="_Toc492216459"/>
      <w:r>
        <w:rPr>
          <w:noProof/>
        </w:rPr>
        <w:t>Dopad na základní práva</w:t>
      </w:r>
      <w:bookmarkEnd w:id="16"/>
    </w:p>
    <w:p w:rsidR="00557911" w:rsidRDefault="00623804">
      <w:pPr>
        <w:spacing w:line="270" w:lineRule="atLeast"/>
        <w:rPr>
          <w:rFonts w:eastAsia="Arial Unicode MS"/>
          <w:noProof/>
        </w:rPr>
      </w:pPr>
      <w:r>
        <w:rPr>
          <w:noProof/>
        </w:rPr>
        <w:t>Kybernetická bezpečnost hraje zásadní úlohu při ochraně soukromí a osobních údajů jednotlivců v</w:t>
      </w:r>
      <w:r>
        <w:rPr>
          <w:noProof/>
        </w:rPr>
        <w:t xml:space="preserve"> souladu s články 7 a 8 Listiny základních práv Evropské unie. V případě počítačových bezpečnostních událostí jsou soukromí a ochrana našich osobních údajů jasně ohroženy. Kybernetická bezpečnost je tedy nezbytnou podmínkou pro ochranu soukromí a důvěrnost</w:t>
      </w:r>
      <w:r>
        <w:rPr>
          <w:noProof/>
        </w:rPr>
        <w:t xml:space="preserve">i našich osobních údajů. Z tohoto hlediska návrh tím, že usiluje o posílení kybernetické bezpečnosti v Evropě, poskytuje důležitý doplněk stávajících právních předpisů chránících základní právo na soukromí a osobní údaje. Kybernetická bezpečnost je rovněž </w:t>
      </w:r>
      <w:r>
        <w:rPr>
          <w:noProof/>
        </w:rPr>
        <w:t>důležitá pro ochranu důvěrného charakteru našich elektronických komunikací, a tím i pro uplatňování práva na svobodu projevu a informací a dalších souvisejících práv, jako například svobody myšlení, svědomí a náboženského vyznání.</w:t>
      </w:r>
    </w:p>
    <w:p w:rsidR="00557911" w:rsidRDefault="00623804">
      <w:pPr>
        <w:pStyle w:val="ManualHeading1"/>
        <w:rPr>
          <w:noProof/>
        </w:rPr>
      </w:pPr>
      <w:bookmarkStart w:id="17" w:name="_Toc492216460"/>
      <w:r>
        <w:t>4.</w:t>
      </w:r>
      <w:r>
        <w:tab/>
      </w:r>
      <w:r>
        <w:rPr>
          <w:noProof/>
        </w:rPr>
        <w:t>ROZPOČTOVÉ DŮSLEDKY</w:t>
      </w:r>
      <w:bookmarkEnd w:id="17"/>
    </w:p>
    <w:p w:rsidR="00557911" w:rsidRDefault="00623804">
      <w:pPr>
        <w:spacing w:before="0" w:after="200" w:line="276" w:lineRule="auto"/>
        <w:jc w:val="left"/>
        <w:rPr>
          <w:i/>
          <w:noProof/>
        </w:rPr>
      </w:pPr>
      <w:r>
        <w:rPr>
          <w:i/>
          <w:noProof/>
        </w:rPr>
        <w:t>Vi</w:t>
      </w:r>
      <w:r>
        <w:rPr>
          <w:i/>
          <w:noProof/>
        </w:rPr>
        <w:t>z finanční výkaz.</w:t>
      </w:r>
    </w:p>
    <w:p w:rsidR="00557911" w:rsidRDefault="00623804">
      <w:pPr>
        <w:pStyle w:val="ManualHeading1"/>
        <w:rPr>
          <w:noProof/>
        </w:rPr>
      </w:pPr>
      <w:bookmarkStart w:id="18" w:name="_Toc492216461"/>
      <w:r>
        <w:rPr>
          <w:noProof/>
        </w:rPr>
        <w:t>5.</w:t>
      </w:r>
      <w:r>
        <w:rPr>
          <w:noProof/>
        </w:rPr>
        <w:tab/>
        <w:t>OSTATNÍ PRVKY</w:t>
      </w:r>
      <w:bookmarkEnd w:id="18"/>
    </w:p>
    <w:p w:rsidR="00557911" w:rsidRDefault="00623804">
      <w:pPr>
        <w:pStyle w:val="ManualHeading2"/>
        <w:rPr>
          <w:rFonts w:eastAsia="Arial Unicode MS"/>
          <w:noProof/>
          <w:u w:color="000000"/>
          <w:bdr w:val="nil"/>
        </w:rPr>
      </w:pPr>
      <w:bookmarkStart w:id="19" w:name="_Toc492216462"/>
      <w:r>
        <w:rPr>
          <w:noProof/>
        </w:rPr>
        <w:t>•</w:t>
      </w:r>
      <w:r>
        <w:rPr>
          <w:noProof/>
        </w:rPr>
        <w:tab/>
        <w:t>Plány provádění a monitorování, hodnocení a podávání zpráv</w:t>
      </w:r>
      <w:bookmarkEnd w:id="19"/>
    </w:p>
    <w:p w:rsidR="00557911" w:rsidRDefault="00623804">
      <w:pPr>
        <w:spacing w:before="0" w:after="200" w:line="270" w:lineRule="atLeast"/>
        <w:rPr>
          <w:noProof/>
          <w:szCs w:val="24"/>
        </w:rPr>
      </w:pPr>
      <w:r>
        <w:rPr>
          <w:noProof/>
        </w:rPr>
        <w:t>Komise bude monitorovat uplatňování nařízení a každých pět let Evropskému parlamentu, Radě a Evropskému hospodářskému a sociálnímu výboru předloží zprávu o svém</w:t>
      </w:r>
      <w:r>
        <w:rPr>
          <w:noProof/>
        </w:rPr>
        <w:t xml:space="preserve"> hodnocení. Tyto zprávy budou veřejné a budou uvádět podrobné informace týkající se účinného uplatňování a vymáhání tohoto nařízení.</w:t>
      </w:r>
    </w:p>
    <w:p w:rsidR="00557911" w:rsidRDefault="00623804">
      <w:pPr>
        <w:pStyle w:val="ManualHeading2"/>
        <w:rPr>
          <w:rFonts w:eastAsia="Arial Unicode MS"/>
          <w:noProof/>
          <w:u w:color="000000"/>
          <w:bdr w:val="nil"/>
        </w:rPr>
      </w:pPr>
      <w:bookmarkStart w:id="20" w:name="_Toc492216463"/>
      <w:r>
        <w:rPr>
          <w:noProof/>
        </w:rPr>
        <w:t>•</w:t>
      </w:r>
      <w:r>
        <w:rPr>
          <w:noProof/>
        </w:rPr>
        <w:tab/>
        <w:t>Podrobné vysvětlení konkrétních ustanovení návrhu</w:t>
      </w:r>
      <w:bookmarkEnd w:id="20"/>
    </w:p>
    <w:p w:rsidR="00557911" w:rsidRDefault="00623804">
      <w:pPr>
        <w:spacing w:line="270" w:lineRule="atLeast"/>
        <w:rPr>
          <w:noProof/>
          <w:szCs w:val="24"/>
        </w:rPr>
      </w:pPr>
      <w:r>
        <w:rPr>
          <w:noProof/>
        </w:rPr>
        <w:t>Hlava I nařízení obsahuje obecná ustanovení: předmět (článek 1), defini</w:t>
      </w:r>
      <w:r>
        <w:rPr>
          <w:noProof/>
        </w:rPr>
        <w:t xml:space="preserve">ce (článek 2), a to včetně odkazů na příslušné definice z jiných nástrojů EU, jako například ze směrnice Evropského parlamentu a Rady (EU) 2016/1148 o opatřeních k zajištění vysoké společné úrovně bezpečnosti sítí a informačních systémů v Unii (směrnice o </w:t>
      </w:r>
      <w:r>
        <w:rPr>
          <w:noProof/>
        </w:rPr>
        <w:t>bezpečnosti sítí a informací), z nařízení Evropského parlamentu a Rady (ES) č. 765/2008, kterým se stanoví požadavky na akreditaci a dozor nad trhem týkající se uvádění výrobků na trh a kterým se zrušuje nařízení (EHS) č. 339/93 a z nařízení Evropského par</w:t>
      </w:r>
      <w:r>
        <w:rPr>
          <w:noProof/>
        </w:rPr>
        <w:t>lamentu a Rady (EU) č. 1025/2012 o normalizaci.</w:t>
      </w:r>
    </w:p>
    <w:p w:rsidR="00557911" w:rsidRDefault="00623804">
      <w:pPr>
        <w:spacing w:line="270" w:lineRule="atLeast"/>
        <w:rPr>
          <w:noProof/>
          <w:szCs w:val="24"/>
        </w:rPr>
      </w:pPr>
      <w:r>
        <w:rPr>
          <w:noProof/>
        </w:rPr>
        <w:t xml:space="preserve">Hlava II nařízení obsahuje klíčová ustanovení týkající se agentury ENISA, Agentury EU pro kybernetickou bezpečnost. </w:t>
      </w:r>
    </w:p>
    <w:p w:rsidR="00557911" w:rsidRDefault="00623804">
      <w:pPr>
        <w:spacing w:line="270" w:lineRule="atLeast"/>
        <w:rPr>
          <w:noProof/>
          <w:szCs w:val="24"/>
        </w:rPr>
      </w:pPr>
      <w:r>
        <w:rPr>
          <w:noProof/>
        </w:rPr>
        <w:t>Kapitola I této hlavy uvádí mandát (článek 3), cíle (článek 4) a úkoly agentury (články 5 a</w:t>
      </w:r>
      <w:r>
        <w:rPr>
          <w:noProof/>
        </w:rPr>
        <w:t xml:space="preserve">ž 11). </w:t>
      </w:r>
    </w:p>
    <w:p w:rsidR="00557911" w:rsidRDefault="00623804">
      <w:pPr>
        <w:spacing w:line="270" w:lineRule="atLeast"/>
        <w:rPr>
          <w:noProof/>
          <w:szCs w:val="24"/>
        </w:rPr>
      </w:pPr>
      <w:r>
        <w:rPr>
          <w:noProof/>
        </w:rPr>
        <w:t>Kapitola II uvádí organizaci agentury ENISA a obsahuje klíčová ustanovení týkající se její struktury (článek 12). Zabývá se složením, pravidly hlasování a funkcemi správní rady (oddíl I, články 13 až 17), výkonné rady (oddíl 2, článek 18) a výkonné</w:t>
      </w:r>
      <w:r>
        <w:rPr>
          <w:noProof/>
        </w:rPr>
        <w:t>ho ředitele (oddíl 3, článek 19). Obsahuje rovněž ustanovení týkající se složení a úlohy stálé skupiny zúčastněných stran (oddíl 4, článek 20). V neposlední řadě oddíl 5 této kapitoly podrobně popisuje provozní pravidla agentury, včetně pravidel týkajících</w:t>
      </w:r>
      <w:r>
        <w:rPr>
          <w:noProof/>
        </w:rPr>
        <w:t xml:space="preserve"> se programování jejích činností, střetu zájmů, transparentnosti, důvěrnosti a přístupu k dokumentům (články 21 až 25). </w:t>
      </w:r>
    </w:p>
    <w:p w:rsidR="00557911" w:rsidRDefault="00623804">
      <w:pPr>
        <w:spacing w:line="270" w:lineRule="atLeast"/>
        <w:rPr>
          <w:noProof/>
          <w:szCs w:val="24"/>
        </w:rPr>
      </w:pPr>
      <w:r>
        <w:rPr>
          <w:noProof/>
        </w:rPr>
        <w:t>Kapitola III se týká sestavování a skladby rozpočtu agentury (články 26 a 27), jakož i pravidel, jimiž se řídí plnění rozpočtu (články </w:t>
      </w:r>
      <w:r>
        <w:rPr>
          <w:noProof/>
        </w:rPr>
        <w:t xml:space="preserve">28 a 29). Obsahuje rovněž ustanovení usnadňující boj proti podvodům, korupci a jiným protiprávním činnostem (článek 30). </w:t>
      </w:r>
    </w:p>
    <w:p w:rsidR="00557911" w:rsidRDefault="00623804">
      <w:pPr>
        <w:spacing w:line="270" w:lineRule="atLeast"/>
        <w:rPr>
          <w:noProof/>
          <w:szCs w:val="24"/>
        </w:rPr>
      </w:pPr>
      <w:r>
        <w:rPr>
          <w:noProof/>
        </w:rPr>
        <w:t>Kapitola IV se vztahuje k personálnímu obsazení agentury. Obsahuje obecná ustanovení týkající se služebního řádu a pracovního řádu a p</w:t>
      </w:r>
      <w:r>
        <w:rPr>
          <w:noProof/>
        </w:rPr>
        <w:t>ravidel, jimiž se řídí výsady a imunita (články 31 a 32). Rovněž podrobně popisuje pravidla týkající se přijímání a jmenování výkonného ředitele agentury (článek 33). V neposlední řadě obsahuje ustanovení, jimiž se řídí využívání vyslaných národních odborn</w:t>
      </w:r>
      <w:r>
        <w:rPr>
          <w:noProof/>
        </w:rPr>
        <w:t xml:space="preserve">íků nebo dalších pracovníků, kteří nejsou zaměstnáni agenturou (článek 34).  </w:t>
      </w:r>
    </w:p>
    <w:p w:rsidR="00557911" w:rsidRDefault="00623804">
      <w:pPr>
        <w:spacing w:line="270" w:lineRule="atLeast"/>
        <w:rPr>
          <w:noProof/>
          <w:szCs w:val="24"/>
        </w:rPr>
      </w:pPr>
      <w:r>
        <w:rPr>
          <w:noProof/>
        </w:rPr>
        <w:t>Konečně kapitola V obsahuje obecná ustanovení týkající se agentury. Uvádí právní status (článek 35) a obsahuje ustanovení upravující otázky odpovědnosti, jazykového režimu, ochra</w:t>
      </w:r>
      <w:r>
        <w:rPr>
          <w:noProof/>
        </w:rPr>
        <w:t>ny osobních údajů (články 36 až 38), jakož i bezpečnostní předpisy týkající se ochrany utajených informací a citlivých informací nepodléhajících utajení (článek 40). Popisuje pravidla, jimiž se řídí spolupráce agentury se třetími zeměmi a mezinárodními org</w:t>
      </w:r>
      <w:r>
        <w:rPr>
          <w:noProof/>
        </w:rPr>
        <w:t>anizacemi (článek 39). V neposlední řadě obsahuje rovněž ustanovení týkající se sídla a provozních podmínek agentury, jakož i správní kontroly veřejného ochránce práv (články 41 a 42).</w:t>
      </w:r>
    </w:p>
    <w:p w:rsidR="00557911" w:rsidRDefault="00623804">
      <w:pPr>
        <w:spacing w:line="270" w:lineRule="atLeast"/>
        <w:rPr>
          <w:noProof/>
          <w:szCs w:val="24"/>
        </w:rPr>
      </w:pPr>
      <w:r>
        <w:rPr>
          <w:noProof/>
        </w:rPr>
        <w:t xml:space="preserve">Hlava III nařízení zřizuje evropský rámec pro certifikaci kybernetické </w:t>
      </w:r>
      <w:r>
        <w:rPr>
          <w:noProof/>
        </w:rPr>
        <w:t xml:space="preserve">bezpečnosti (dále jen </w:t>
      </w:r>
      <w:r>
        <w:rPr>
          <w:b/>
          <w:noProof/>
        </w:rPr>
        <w:t>„rámec“</w:t>
      </w:r>
      <w:r>
        <w:rPr>
          <w:noProof/>
        </w:rPr>
        <w:t xml:space="preserve">) pro produkty a služby IKT jako </w:t>
      </w:r>
      <w:r>
        <w:rPr>
          <w:i/>
          <w:noProof/>
        </w:rPr>
        <w:t>lex generalis</w:t>
      </w:r>
      <w:r>
        <w:rPr>
          <w:noProof/>
        </w:rPr>
        <w:t xml:space="preserve"> (článek 1). Definuje obecný účel evropských systémů certifikace kybernetické bezpečnosti, tj. zajistit, aby produkty a služby IKT byly v souladu se specifikovanými požadavky kybern</w:t>
      </w:r>
      <w:r>
        <w:rPr>
          <w:noProof/>
        </w:rPr>
        <w:t>etické bezpečnosti, pokud jde o jejich schopnost na dané úrovni záruky odolávat činnostem, které ohrožují přístupnost, autentičnost, neporušenost a důvěrnost ukládaných, předávaných nebo zpracovávaných údajů nebo souvisejících funkcí či služeb (článek 43).</w:t>
      </w:r>
      <w:r>
        <w:rPr>
          <w:noProof/>
        </w:rPr>
        <w:t xml:space="preserve"> Kromě toho obsahuje seznam bezpečnostních cílů, o jejichž splnění by měly evropské systémy certifikace kybernetické bezpečnosti usilovat (článek 45), k nimž patří mimo jiné schopnost ochránit údaje proti náhodnému nebo neoprávněnému přístupu nebo sdělován</w:t>
      </w:r>
      <w:r>
        <w:rPr>
          <w:noProof/>
        </w:rPr>
        <w:t xml:space="preserve">í, zničení nebo úpravám, a obsah (tj. prvky) evropských systémů certifikace kybernetické bezpečnosti, jako jsou například podrobná specifikace jejich rozsahu, bezpečnostní cíle, hodnoticí kritéria atd. (článek 47). </w:t>
      </w:r>
    </w:p>
    <w:p w:rsidR="00557911" w:rsidRDefault="00623804">
      <w:pPr>
        <w:spacing w:line="270" w:lineRule="atLeast"/>
        <w:rPr>
          <w:noProof/>
          <w:szCs w:val="24"/>
        </w:rPr>
      </w:pPr>
      <w:r>
        <w:rPr>
          <w:noProof/>
        </w:rPr>
        <w:t>Hlava III rovněž stanoví hlavní právní ú</w:t>
      </w:r>
      <w:r>
        <w:rPr>
          <w:noProof/>
        </w:rPr>
        <w:t>činky evropských systémů certifikace kybernetické bezpečnosti, konkrétně i) povinnost zavést systém na vnitrostátní úrovni a dobrovolnou povahu certifikace; ii) zneplatňující účinek evropských systémů certifikace kybernetické bezpečnosti na vnitrostátní sy</w:t>
      </w:r>
      <w:r>
        <w:rPr>
          <w:noProof/>
        </w:rPr>
        <w:t xml:space="preserve">stémy pro stejný produkt nebo službu (články 48 a 49). </w:t>
      </w:r>
    </w:p>
    <w:p w:rsidR="00557911" w:rsidRDefault="00623804">
      <w:pPr>
        <w:spacing w:line="270" w:lineRule="atLeast"/>
        <w:rPr>
          <w:noProof/>
          <w:szCs w:val="24"/>
        </w:rPr>
      </w:pPr>
      <w:r>
        <w:rPr>
          <w:noProof/>
        </w:rPr>
        <w:t>Tato hlava dále stanoví postup pro přijímání evropských systémů certifikace kybernetické bezpečnosti a příslušnou úlohu Komise, agentury ENISA a Evropské skupiny pro certifikaci kybernetické bezpečnos</w:t>
      </w:r>
      <w:r>
        <w:rPr>
          <w:noProof/>
        </w:rPr>
        <w:t>ti – „skupiny“ (článek 44). Konečně tato hlava stanoví ustanovení, jimiž se řídí subjekty posuzování shody, a to včetně jejich požadavků, pravomocí a úkolů, a vnitrostátní orgány dozoru nad certifikací, a stanoví rovněž sankce.</w:t>
      </w:r>
    </w:p>
    <w:p w:rsidR="00557911" w:rsidRDefault="00623804">
      <w:pPr>
        <w:rPr>
          <w:noProof/>
          <w:szCs w:val="24"/>
        </w:rPr>
      </w:pPr>
      <w:r>
        <w:rPr>
          <w:noProof/>
        </w:rPr>
        <w:t>Tato hlava rovněž obsahuje u</w:t>
      </w:r>
      <w:r>
        <w:rPr>
          <w:noProof/>
        </w:rPr>
        <w:t>stanovení o zřízení skupiny jakožto hlavního subjektu sestávajícího ze zástupců vnitrostátních orgánů dozoru nad certifikací, jehož hlavní úlohou je spolupracovat s agenturou ENISA na přípravě evropských systémů certifikace kybernetické bezpečnosti a radit</w:t>
      </w:r>
      <w:r>
        <w:rPr>
          <w:noProof/>
        </w:rPr>
        <w:t xml:space="preserve"> Komisi v obecných či specifických otázkách týkajících se politiky v oblasti certifikace kybernetické bezpečnosti. </w:t>
      </w:r>
    </w:p>
    <w:p w:rsidR="00557911" w:rsidRDefault="00623804">
      <w:pPr>
        <w:spacing w:line="270" w:lineRule="atLeast"/>
        <w:rPr>
          <w:noProof/>
          <w:szCs w:val="24"/>
        </w:rPr>
      </w:pPr>
      <w:r>
        <w:rPr>
          <w:noProof/>
        </w:rPr>
        <w:t xml:space="preserve">Hlava IV nařízení obsahuje závěrečná ustanovení popisující výkon přenesení pravomoci, požadavky na hodnocení, zrušení a nástupnictví, jakož </w:t>
      </w:r>
      <w:r>
        <w:rPr>
          <w:noProof/>
        </w:rPr>
        <w:t xml:space="preserve">i vstup v platnost. </w:t>
      </w:r>
    </w:p>
    <w:p w:rsidR="00557911" w:rsidRDefault="00623804">
      <w:pPr>
        <w:spacing w:before="0" w:after="200" w:line="276" w:lineRule="auto"/>
        <w:jc w:val="left"/>
        <w:rPr>
          <w:noProof/>
        </w:rPr>
      </w:pPr>
      <w:r>
        <w:rPr>
          <w:noProof/>
        </w:rPr>
        <w:br w:type="page"/>
      </w:r>
    </w:p>
    <w:p w:rsidR="00557911" w:rsidRDefault="00623804" w:rsidP="00623804">
      <w:pPr>
        <w:pStyle w:val="Rfrenceinterinstitutionnelle"/>
        <w:rPr>
          <w:noProof/>
        </w:rPr>
      </w:pPr>
      <w:r w:rsidRPr="00623804">
        <w:t>2017/0225 (COD)</w:t>
      </w:r>
    </w:p>
    <w:p w:rsidR="00557911" w:rsidRDefault="00623804" w:rsidP="00623804">
      <w:pPr>
        <w:pStyle w:val="Statut"/>
        <w:rPr>
          <w:noProof/>
        </w:rPr>
      </w:pPr>
      <w:r w:rsidRPr="00623804">
        <w:t>Návrh</w:t>
      </w:r>
    </w:p>
    <w:p w:rsidR="00557911" w:rsidRDefault="00623804" w:rsidP="00623804">
      <w:pPr>
        <w:pStyle w:val="Typedudocument"/>
        <w:rPr>
          <w:noProof/>
        </w:rPr>
      </w:pPr>
      <w:r w:rsidRPr="00623804">
        <w:t>NAŘÍZENÍ EVROPSKÉHO PARLAMENTU A RADY</w:t>
      </w:r>
    </w:p>
    <w:p w:rsidR="00557911" w:rsidRDefault="00623804" w:rsidP="00623804">
      <w:pPr>
        <w:pStyle w:val="Titreobjet"/>
        <w:rPr>
          <w:noProof/>
        </w:rPr>
      </w:pPr>
      <w:r w:rsidRPr="00623804">
        <w:t>o agentuře ENISA, Evropské agentuře pro kybernetickou bezpečnost, a zrušení nařízení (EU) č. 526/2013 a o certifikaci kybernetické bezpečnosti informačních a komunikačních technologií („akt o kybernetické bezpečnosti“)</w:t>
      </w:r>
    </w:p>
    <w:p w:rsidR="00557911" w:rsidRDefault="00623804" w:rsidP="00623804">
      <w:pPr>
        <w:pStyle w:val="IntrtEEE"/>
        <w:rPr>
          <w:noProof/>
        </w:rPr>
      </w:pPr>
      <w:r w:rsidRPr="00623804">
        <w:t>(Text s významem pro EHP)</w:t>
      </w:r>
    </w:p>
    <w:p w:rsidR="00557911" w:rsidRDefault="00623804">
      <w:pPr>
        <w:pStyle w:val="Institutionquiagit"/>
        <w:rPr>
          <w:noProof/>
        </w:rPr>
      </w:pPr>
      <w:r>
        <w:rPr>
          <w:noProof/>
        </w:rPr>
        <w:t>EVROPSKÝ PARLAMENT A RADA EVROPSKÉ UNIE,</w:t>
      </w:r>
    </w:p>
    <w:p w:rsidR="00557911" w:rsidRDefault="00623804">
      <w:pPr>
        <w:rPr>
          <w:noProof/>
        </w:rPr>
      </w:pPr>
      <w:r>
        <w:rPr>
          <w:noProof/>
        </w:rPr>
        <w:t>s ohledem na Smlouvu o fungování Evropské unie, a zejména na článek 114 této smlouvy,</w:t>
      </w:r>
    </w:p>
    <w:p w:rsidR="00557911" w:rsidRDefault="00623804">
      <w:pPr>
        <w:rPr>
          <w:noProof/>
        </w:rPr>
      </w:pPr>
      <w:r>
        <w:rPr>
          <w:noProof/>
        </w:rPr>
        <w:t>s ohledem na návrh Evropské komise,</w:t>
      </w:r>
    </w:p>
    <w:p w:rsidR="00557911" w:rsidRDefault="00623804">
      <w:pPr>
        <w:rPr>
          <w:noProof/>
        </w:rPr>
      </w:pPr>
      <w:r>
        <w:rPr>
          <w:noProof/>
        </w:rPr>
        <w:t>po postoupení návrhu</w:t>
      </w:r>
      <w:r>
        <w:rPr>
          <w:noProof/>
        </w:rPr>
        <w:t xml:space="preserve"> legislativního aktu vnitrostátním parlamentům,</w:t>
      </w:r>
    </w:p>
    <w:p w:rsidR="00557911" w:rsidRDefault="00623804">
      <w:pPr>
        <w:rPr>
          <w:noProof/>
        </w:rPr>
      </w:pPr>
      <w:r>
        <w:rPr>
          <w:noProof/>
        </w:rPr>
        <w:t>s ohledem na stanovisko Evropského hospodářského a sociálního výboru</w:t>
      </w:r>
      <w:r>
        <w:rPr>
          <w:rStyle w:val="FootnoteReference"/>
          <w:noProof/>
        </w:rPr>
        <w:footnoteReference w:id="29"/>
      </w:r>
      <w:r>
        <w:rPr>
          <w:noProof/>
        </w:rPr>
        <w:t>,</w:t>
      </w:r>
    </w:p>
    <w:p w:rsidR="00557911" w:rsidRDefault="00623804">
      <w:pPr>
        <w:rPr>
          <w:noProof/>
        </w:rPr>
      </w:pPr>
      <w:r>
        <w:rPr>
          <w:noProof/>
        </w:rPr>
        <w:t>s ohledem na stanovisko Výboru regionů</w:t>
      </w:r>
      <w:r>
        <w:rPr>
          <w:rStyle w:val="FootnoteReference"/>
          <w:noProof/>
        </w:rPr>
        <w:footnoteReference w:id="30"/>
      </w:r>
      <w:r>
        <w:rPr>
          <w:noProof/>
        </w:rPr>
        <w:t xml:space="preserve">, </w:t>
      </w:r>
    </w:p>
    <w:p w:rsidR="00557911" w:rsidRDefault="00623804">
      <w:pPr>
        <w:rPr>
          <w:noProof/>
        </w:rPr>
      </w:pPr>
      <w:r>
        <w:rPr>
          <w:noProof/>
        </w:rPr>
        <w:t>v souladu s řádným legislativním postupem,</w:t>
      </w:r>
    </w:p>
    <w:p w:rsidR="00557911" w:rsidRDefault="00623804">
      <w:pPr>
        <w:rPr>
          <w:noProof/>
        </w:rPr>
      </w:pPr>
      <w:r>
        <w:rPr>
          <w:noProof/>
        </w:rPr>
        <w:t>vzhledem k těmto důvodům:</w:t>
      </w:r>
    </w:p>
    <w:p w:rsidR="00557911" w:rsidRDefault="00623804">
      <w:pPr>
        <w:pStyle w:val="ManualConsidrant"/>
        <w:rPr>
          <w:noProof/>
        </w:rPr>
      </w:pPr>
      <w:r>
        <w:t>(1)</w:t>
      </w:r>
      <w:r>
        <w:tab/>
      </w:r>
      <w:r>
        <w:rPr>
          <w:noProof/>
        </w:rPr>
        <w:t>Sítě, informační systé</w:t>
      </w:r>
      <w:r>
        <w:rPr>
          <w:noProof/>
        </w:rPr>
        <w:t xml:space="preserve">my a telekomunikační sítě a služby mají zásadní význam pro společnost a staly se páteří hospodářského růstu. Informační a komunikační technologie podporuje komplexní systémy, které podporují společenské činnosti, udržují v chodu naše ekonomiky v klíčových </w:t>
      </w:r>
      <w:r>
        <w:rPr>
          <w:noProof/>
        </w:rPr>
        <w:t xml:space="preserve">odvětvích jako například zdravotnictví, energetika, finančnictví a doprava, a zejména podporují fungování vnitřního trhu. </w:t>
      </w:r>
    </w:p>
    <w:p w:rsidR="00557911" w:rsidRDefault="00623804">
      <w:pPr>
        <w:pStyle w:val="ManualConsidrant"/>
        <w:rPr>
          <w:noProof/>
          <w:szCs w:val="24"/>
        </w:rPr>
      </w:pPr>
      <w:r>
        <w:t>(2)</w:t>
      </w:r>
      <w:r>
        <w:tab/>
      </w:r>
      <w:r>
        <w:rPr>
          <w:noProof/>
        </w:rPr>
        <w:t>Využívání sítí a informačních systémů občany, podniky a vládami v celé Unii je v současné době všudypřítomné. Digitalizace a kone</w:t>
      </w:r>
      <w:r>
        <w:rPr>
          <w:noProof/>
        </w:rPr>
        <w:t>ktivita se stávají hlavními prvky stále rostoucího počtu produktů a služeb a očekává se, že s nástupem internetu věcí budou v celé EU během příštího desetiletí připojeny miliony, ne-li miliardy, nových digitálních zařízení. I když je k internetu připojen r</w:t>
      </w:r>
      <w:r>
        <w:rPr>
          <w:noProof/>
        </w:rPr>
        <w:t>ostoucí počet zařízení, tato zařízení nejsou konstruována s dostatečnými bezpečnostními prvky a odolností, což vede k nedostatečné kybernetické bezpečnosti. Omezené využívání certifikace v této souvislosti vede k tomu, že organizace a soukromí uživatelé ne</w:t>
      </w:r>
      <w:r>
        <w:rPr>
          <w:noProof/>
        </w:rPr>
        <w:t>mají dostatečné informace o prvcích kybernetické bezpečnosti produktů a služeb IKT, což narušuje důvěru v digitální řešení.</w:t>
      </w:r>
    </w:p>
    <w:p w:rsidR="00557911" w:rsidRDefault="00623804">
      <w:pPr>
        <w:pStyle w:val="ManualConsidrant"/>
        <w:rPr>
          <w:rFonts w:eastAsia="Times New Roman"/>
          <w:noProof/>
        </w:rPr>
      </w:pPr>
      <w:r>
        <w:t>(3)</w:t>
      </w:r>
      <w:r>
        <w:tab/>
      </w:r>
      <w:r>
        <w:rPr>
          <w:noProof/>
        </w:rPr>
        <w:t>Nárůst digitalizace a propojenosti vede k nárůstu kybernetických bezpečnostních rizik, což způsobuje, že společnost jako celek je zranitelnější vůči kybernetickým hrozbám a zhoršujícím se nebezpečím, s nimiž se setkávají jednotliví uživatelé včetně zranite</w:t>
      </w:r>
      <w:r>
        <w:rPr>
          <w:noProof/>
        </w:rPr>
        <w:t>lných osob, jako jsou děti. Za účelem zmírnění těchto rizik pro společnost je třeba přijmout veškerá opatření potřebná ke zlepšení kybernetické bezpečnosti v EU, aby byly sítě a informační systémy, telekomunikační sítě, digitální produkty, služby a zařízen</w:t>
      </w:r>
      <w:r>
        <w:rPr>
          <w:noProof/>
        </w:rPr>
        <w:t xml:space="preserve">í používané občany, vládami a podniky – od malých a středních podniků až po provozovatele kritických infrastruktur – lépe chráněny před kybernetickými hrozbami. </w:t>
      </w:r>
    </w:p>
    <w:p w:rsidR="00557911" w:rsidRDefault="00623804">
      <w:pPr>
        <w:pStyle w:val="ManualConsidrant"/>
        <w:rPr>
          <w:noProof/>
        </w:rPr>
      </w:pPr>
      <w:r>
        <w:t>(4)</w:t>
      </w:r>
      <w:r>
        <w:tab/>
      </w:r>
      <w:r>
        <w:rPr>
          <w:noProof/>
        </w:rPr>
        <w:t>Počet kybernetických útoků roste a propojená ekonomika a společnost, která je zranitelnějš</w:t>
      </w:r>
      <w:r>
        <w:rPr>
          <w:noProof/>
        </w:rPr>
        <w:t>í vůči kybernetickým hrozbám a útokům, vyžaduje silnější ochranu. I když kybernetické útoky jsou často přeshraniční povahy, reakce orgánů zabývajících se kybernetickou bezpečností na úrovni opatření politiky a kompetence k vymáhání právních předpisů jsou p</w:t>
      </w:r>
      <w:r>
        <w:rPr>
          <w:noProof/>
        </w:rPr>
        <w:t xml:space="preserve">řevážně vnitrostátní. Rozsáhlé kybernetické incidenty by mohly narušit poskytování základních služeb v celé EU. To vyžaduje účinnou reakci a řešení krizí na úrovni EU, které budou vycházet ze speciálních politik a širších nástrojů pro evropskou solidaritu </w:t>
      </w:r>
      <w:r>
        <w:rPr>
          <w:noProof/>
        </w:rPr>
        <w:t>a vzájemnou pomoc. Kromě toho je proto pro tvůrce politik, odvětví a uživatele důležité provádět pravidelné posuzování stavu kybernetické bezpečnosti a odolnosti v Unii, na základě spolehlivých unijních údajů, a také systematické předpovědi budoucího vývoj</w:t>
      </w:r>
      <w:r>
        <w:rPr>
          <w:noProof/>
        </w:rPr>
        <w:t xml:space="preserve">e, výzev a hrozeb, a to jak na úrovni Unie, tak na celosvětové úrovni. </w:t>
      </w:r>
    </w:p>
    <w:p w:rsidR="00557911" w:rsidRDefault="00623804">
      <w:pPr>
        <w:pStyle w:val="ManualConsidrant"/>
        <w:rPr>
          <w:noProof/>
        </w:rPr>
      </w:pPr>
      <w:r>
        <w:t>(5)</w:t>
      </w:r>
      <w:r>
        <w:tab/>
      </w:r>
      <w:r>
        <w:rPr>
          <w:noProof/>
        </w:rPr>
        <w:t>S ohledem na nárůst kybernetických bezpečnostních hrozeb, kterým Unie čelí, existuje potřeba komplexního souboru opatření, která by vycházela z předchozích opatření Unie a podporov</w:t>
      </w:r>
      <w:r>
        <w:rPr>
          <w:noProof/>
        </w:rPr>
        <w:t>ala vzájemně se posilující cíle. Mezi tato opatření patří nutnost dále zvýšit schopnosti a připravenost členských států a podniků a rovněž zlepšit spolupráci a koordinaci mezi členskými státy a orgány, agenturami a institucemi EU. Kromě toho vzhledem k bez</w:t>
      </w:r>
      <w:r>
        <w:rPr>
          <w:noProof/>
        </w:rPr>
        <w:t>hraniční povaze kybernetických hrozeb existuje potřeba zvýšit schopnosti na úrovni Unie, které by mohly doplňovat opatření členských států, zejména v případě rozsáhlých přeshraničních kybernetických incidentů a krizí. Je rovněž třeba další úsilí ke zvýšení</w:t>
      </w:r>
      <w:r>
        <w:rPr>
          <w:noProof/>
        </w:rPr>
        <w:t xml:space="preserve"> informovanosti občanů a podniků o otázkách týkajících se kybernetické bezpečnosti. Kromě toho důvěra v jednotný digitální trh by měla být dále posílena tím, že budou poskytovány transparentní informace o úrovni bezpečnosti produktů a služeb IKT. Toto lze </w:t>
      </w:r>
      <w:r>
        <w:rPr>
          <w:noProof/>
        </w:rPr>
        <w:t>usnadnit celoevropskou certifikací, která bude poskytovat společné kybernetickobezpečnostní požadavky a hodnoticí kritéria napříč vnitrostátními trhy a odvětvími.</w:t>
      </w:r>
    </w:p>
    <w:p w:rsidR="00557911" w:rsidRDefault="00623804">
      <w:pPr>
        <w:pStyle w:val="ManualConsidrant"/>
        <w:rPr>
          <w:noProof/>
        </w:rPr>
      </w:pPr>
      <w:r>
        <w:t>(6)</w:t>
      </w:r>
      <w:r>
        <w:tab/>
      </w:r>
      <w:r>
        <w:rPr>
          <w:noProof/>
        </w:rPr>
        <w:t>Evropský parlament a Rada přijaly v roce 2004 nařízení (ES) č. 460/2004</w:t>
      </w:r>
      <w:r>
        <w:rPr>
          <w:rStyle w:val="FootnoteReference"/>
          <w:noProof/>
        </w:rPr>
        <w:footnoteReference w:id="31"/>
      </w:r>
      <w:r>
        <w:rPr>
          <w:noProof/>
        </w:rPr>
        <w:t xml:space="preserve"> o zřízení agentu</w:t>
      </w:r>
      <w:r>
        <w:rPr>
          <w:noProof/>
        </w:rPr>
        <w:t>ry ENISA za účelem přispět k cílům zajištění vysoké úrovně bezpečnosti sítí a informací v Unii a vytvoření kultury bezpečnosti sítí a informací v zájmu občanů, spotřebitelů, podniků a veřejné správy. V roce 2008 přijaly Evropský parlament a Rada nařízení (</w:t>
      </w:r>
      <w:r>
        <w:rPr>
          <w:noProof/>
        </w:rPr>
        <w:t>ES) č. 1007/2008</w:t>
      </w:r>
      <w:r>
        <w:rPr>
          <w:rStyle w:val="FootnoteReference"/>
          <w:noProof/>
        </w:rPr>
        <w:footnoteReference w:id="32"/>
      </w:r>
      <w:r>
        <w:rPr>
          <w:noProof/>
        </w:rPr>
        <w:t>,</w:t>
      </w:r>
      <w:r>
        <w:rPr>
          <w:noProof/>
          <w:sz w:val="28"/>
        </w:rPr>
        <w:t xml:space="preserve"> </w:t>
      </w:r>
      <w:r>
        <w:rPr>
          <w:noProof/>
        </w:rPr>
        <w:t>kterým byl mandát agentury prodloužen do března 2012. Nařízení (ES) č. 580/2011</w:t>
      </w:r>
      <w:r>
        <w:rPr>
          <w:rStyle w:val="FootnoteReference"/>
          <w:noProof/>
        </w:rPr>
        <w:footnoteReference w:id="33"/>
      </w:r>
      <w:r>
        <w:rPr>
          <w:noProof/>
          <w:vertAlign w:val="superscript"/>
        </w:rPr>
        <w:t xml:space="preserve"> </w:t>
      </w:r>
      <w:r>
        <w:rPr>
          <w:noProof/>
        </w:rPr>
        <w:t>prodlužuje mandát agentury do 13. září 2013. V roce 2013 přijaly Evropský parlament a Rada nařízení (EU) č. 526/2013</w:t>
      </w:r>
      <w:r>
        <w:rPr>
          <w:rStyle w:val="FootnoteReference"/>
          <w:noProof/>
        </w:rPr>
        <w:footnoteReference w:id="34"/>
      </w:r>
      <w:r>
        <w:rPr>
          <w:noProof/>
          <w:vertAlign w:val="superscript"/>
        </w:rPr>
        <w:t xml:space="preserve"> </w:t>
      </w:r>
      <w:r>
        <w:rPr>
          <w:noProof/>
        </w:rPr>
        <w:t xml:space="preserve">o agentuře ENISA a o zrušení nařízení </w:t>
      </w:r>
      <w:r>
        <w:rPr>
          <w:noProof/>
        </w:rPr>
        <w:t xml:space="preserve">(ES) č. 460/2004, kterým byl mandát agentury prodloužen do června 2020. </w:t>
      </w:r>
    </w:p>
    <w:p w:rsidR="00557911" w:rsidRDefault="00623804">
      <w:pPr>
        <w:pStyle w:val="ManualConsidrant"/>
        <w:rPr>
          <w:noProof/>
        </w:rPr>
      </w:pPr>
      <w:r>
        <w:t>(7)</w:t>
      </w:r>
      <w:r>
        <w:tab/>
      </w:r>
      <w:r>
        <w:rPr>
          <w:noProof/>
        </w:rPr>
        <w:t>Unie již podnikla důležité kroky k zajištění kybernetické bezpečnosti a zvýšení důvěry v digitální technologie. V roce 2013 byla přijata strategie kybernetické bezpečnosti EU jako</w:t>
      </w:r>
      <w:r>
        <w:rPr>
          <w:noProof/>
        </w:rPr>
        <w:t xml:space="preserve"> základ pro politickou reakci Unie na kybernetické bezpečnostní hrozby a rizika. Ve snaze lépe chránit Evropany v on-line prostředí Unie v roce 2016 přijala první legislativní akt v oblasti kybernetické bezpečnosti, směrnici (EU) 2016/1148 o opatřeních k z</w:t>
      </w:r>
      <w:r>
        <w:rPr>
          <w:noProof/>
        </w:rPr>
        <w:t>ajištění vysoké společné úrovně bezpečnosti sítí a informačních systémů v Unii („směrnice o bezpečnosti sítí a informací“). Směrnice o bezpečnosti sítí a informací zavedla požadavky týkající se vnitrostátních kapacit v oblasti kybernetické bezpečnosti, zří</w:t>
      </w:r>
      <w:r>
        <w:rPr>
          <w:noProof/>
        </w:rPr>
        <w:t>dila první mechanismy pro posílení strategické a operativní spolupráce mezi členskými státy a zavedla povinnosti týkající se bezpečnostních opatření a hlášení o incidentech napříč odvětvími, která jsou zásadní pro hospodářství a pro společnost, jako napřík</w:t>
      </w:r>
      <w:r>
        <w:rPr>
          <w:noProof/>
        </w:rPr>
        <w:t>lad energetika, doprava, vodohospodářství, bankovnictví, infrastruktura finančního trhu, zdravotní péče a digitální infrastruktura, jakož i poskytovatelé klíčových digitálních služeb (tj. internetové vyhledávače, služby cloud computingu a on-line tržiště).</w:t>
      </w:r>
      <w:r>
        <w:rPr>
          <w:noProof/>
        </w:rPr>
        <w:t xml:space="preserve"> Klíčová role při podpoře provádění této směrnice byla přisouzena agentuře ENISA. Kromě toho účinný boj proti kyberkriminalitě je důležitou prioritou Evropského programu pro bezpečnost, a přispívá tak k celkovému cíli dosažení vysoké úrovně kybernetické be</w:t>
      </w:r>
      <w:r>
        <w:rPr>
          <w:noProof/>
        </w:rPr>
        <w:t>zpečnosti.</w:t>
      </w:r>
    </w:p>
    <w:p w:rsidR="00557911" w:rsidRDefault="00623804">
      <w:pPr>
        <w:pStyle w:val="ManualConsidrant"/>
        <w:rPr>
          <w:noProof/>
        </w:rPr>
      </w:pPr>
      <w:r>
        <w:t>(8)</w:t>
      </w:r>
      <w:r>
        <w:tab/>
      </w:r>
      <w:r>
        <w:rPr>
          <w:noProof/>
        </w:rPr>
        <w:t xml:space="preserve">Je třeba poznamenat, že od přijetí strategie kybernetické bezpečnosti EU v roce 2013 a od poslední revize mandátu agentury se celkový politický kontext významně změnil, mimo jiné s ohledem na více nejisté a méně bezpečné globální prostředí. </w:t>
      </w:r>
      <w:r>
        <w:rPr>
          <w:noProof/>
        </w:rPr>
        <w:t xml:space="preserve">V této souvislosti a v rámci nové politiky Unie v oblasti kybernetické bezpečnosti je nezbytné přezkoumat mandát agentury ENISA, aby bylo možné vymezit její roli v měnícím se ekosystému kybernetické bezpečnosti a zajistit, že účinně přispívá k reakci Unie </w:t>
      </w:r>
      <w:r>
        <w:rPr>
          <w:noProof/>
        </w:rPr>
        <w:t>na kybernetické bezpečnostní výzvy plynoucí z radikálně transformovaných hrozeb, k čemuž, jak bylo uznáno při hodnocení agentury, není stávající mandát dostatečný.</w:t>
      </w:r>
    </w:p>
    <w:p w:rsidR="00557911" w:rsidRDefault="00623804">
      <w:pPr>
        <w:pStyle w:val="ManualConsidrant"/>
        <w:rPr>
          <w:noProof/>
        </w:rPr>
      </w:pPr>
      <w:r>
        <w:t>(9)</w:t>
      </w:r>
      <w:r>
        <w:tab/>
      </w:r>
      <w:r>
        <w:rPr>
          <w:noProof/>
        </w:rPr>
        <w:t xml:space="preserve">Agentura zřízená tímto nařízením by měla být nástupcem agentury ENISA zřízené nařízením </w:t>
      </w:r>
      <w:r>
        <w:rPr>
          <w:noProof/>
        </w:rPr>
        <w:t>(EU) č. 526/2013. Agentura by měla plnit úkoly, které jí jsou svěřeny tímto nařízením a právními akty Unie v oblasti kybernetické bezpečnosti, mimo jiné tím, že bude poskytovat odborné poradenství a doporučení a působit jako centrum informací a znalostí Un</w:t>
      </w:r>
      <w:r>
        <w:rPr>
          <w:noProof/>
        </w:rPr>
        <w:t>ie. Měla by podporovat výměnu osvědčených postupů mezi členskými státy a zúčastněnými stranami ze soukromého sektoru, předkládat politická doporučení Evropské komisi a členským státům, působit jako referenční místo pro odvětvové politické iniciativy Unie v</w:t>
      </w:r>
      <w:r>
        <w:rPr>
          <w:noProof/>
        </w:rPr>
        <w:t xml:space="preserve"> souvislosti s otázkami kybernetické bezpečnosti a podporovat operativní spolupráci mezi členskými státy a mezi členskými státy a orgány, agenturami a institucemi EU.</w:t>
      </w:r>
    </w:p>
    <w:p w:rsidR="00557911" w:rsidRDefault="00623804">
      <w:pPr>
        <w:pStyle w:val="ManualConsidrant"/>
        <w:rPr>
          <w:noProof/>
        </w:rPr>
      </w:pPr>
      <w:r>
        <w:t>(10)</w:t>
      </w:r>
      <w:r>
        <w:tab/>
      </w:r>
      <w:r>
        <w:rPr>
          <w:noProof/>
        </w:rPr>
        <w:t>Zástupci členských států v rámci rozhodnutí 2004/97/ES, Euratom, přijatém na zasedán</w:t>
      </w:r>
      <w:r>
        <w:rPr>
          <w:noProof/>
        </w:rPr>
        <w:t>í Evropské rady dne 13. prosince 2003, rozhodli, že agentura ENISA bude mít sídlo v Řecku ve městě, které určí řecká vláda. Hostitelský členský stát agentury by měl zajistit co nejlepší podmínky pro bezproblémové a účinné fungování agentury. V zájmu zajišt</w:t>
      </w:r>
      <w:r>
        <w:rPr>
          <w:noProof/>
        </w:rPr>
        <w:t xml:space="preserve">ění řádného a účinného plnění úkolů agentury, přijímání a udržení zaměstnanců a v zájmu zvýšení účinnosti v oblasti vytváření sítí je naprosto nezbytné, aby bylo sídlo agentury vhodně umístěno, přičemž by mimo jiné mělo být zajištěno odpovídající dopravní </w:t>
      </w:r>
      <w:r>
        <w:rPr>
          <w:noProof/>
        </w:rPr>
        <w:t>spojení a zařízení pro manžely/manželky a děti zaměstnanců agentury. Nezbytná opatření by měla být stanovena v dohodě mezi agenturou a daným hostitelským členským státem, která bude uzavřena poté, co ji schválí správní rada agentury.</w:t>
      </w:r>
    </w:p>
    <w:p w:rsidR="00557911" w:rsidRDefault="00623804">
      <w:pPr>
        <w:pStyle w:val="ManualConsidrant"/>
        <w:rPr>
          <w:noProof/>
        </w:rPr>
      </w:pPr>
      <w:r>
        <w:t>(11)</w:t>
      </w:r>
      <w:r>
        <w:tab/>
      </w:r>
      <w:r>
        <w:rPr>
          <w:noProof/>
        </w:rPr>
        <w:t>Vzhledem k nárůst</w:t>
      </w:r>
      <w:r>
        <w:rPr>
          <w:noProof/>
        </w:rPr>
        <w:t>u kybernetických bezpečnostních hrozeb, kterým Unie čelí, by měly být navýšeny finanční a lidské zdroje přidělené agentuře, aby odrážely posílení úlohy a úkolů agentury a její zásadní postavení v ekosystému organizací bránících evropský digitální ekosystém</w:t>
      </w:r>
      <w:r>
        <w:rPr>
          <w:noProof/>
        </w:rPr>
        <w:t xml:space="preserve">. </w:t>
      </w:r>
    </w:p>
    <w:p w:rsidR="00557911" w:rsidRDefault="00623804">
      <w:pPr>
        <w:pStyle w:val="ManualConsidrant"/>
        <w:rPr>
          <w:noProof/>
        </w:rPr>
      </w:pPr>
      <w:r>
        <w:t>(12)</w:t>
      </w:r>
      <w:r>
        <w:tab/>
      </w:r>
      <w:r>
        <w:rPr>
          <w:noProof/>
        </w:rPr>
        <w:t xml:space="preserve">Agentura by měla rozvíjet a udržovat vysokou úroveň odborných znalostí a působit jako referenční bod, který díky své nezávislosti, kvalitě poskytovaného poradenství a informací, transparentnosti svých postupů a metod práce a pečlivosti, s níž plní </w:t>
      </w:r>
      <w:r>
        <w:rPr>
          <w:noProof/>
        </w:rPr>
        <w:t xml:space="preserve">svěřené úkoly, vytváří důvěru v jednotný trh. Agentura by měla aktivně přispívat k vnitrostátnímu úsilí a úsilí Unie a plnit své úkoly v plné spolupráci s orgány, institucemi a jinými subjekty Unie a s členskými státy. Kromě toho by agentura měla reagovat </w:t>
      </w:r>
      <w:r>
        <w:rPr>
          <w:noProof/>
        </w:rPr>
        <w:t xml:space="preserve">na podněty od soukromého sektoru a jiných příslušných zúčastněných stran a spolupracovat s nimi. Měl by být určen soubor úkolů, jenž by stanovil, jak má agentura plnit své cíle, a současně umožňoval flexibilitu jejích činností. </w:t>
      </w:r>
    </w:p>
    <w:p w:rsidR="00557911" w:rsidRDefault="00623804">
      <w:pPr>
        <w:pStyle w:val="ManualConsidrant"/>
        <w:rPr>
          <w:noProof/>
        </w:rPr>
      </w:pPr>
      <w:r>
        <w:t>(13)</w:t>
      </w:r>
      <w:r>
        <w:tab/>
      </w:r>
      <w:r>
        <w:rPr>
          <w:noProof/>
        </w:rPr>
        <w:t>Agentura by měla být n</w:t>
      </w:r>
      <w:r>
        <w:rPr>
          <w:noProof/>
        </w:rPr>
        <w:t>ápomocna Komisi prostřednictvím poradenství, stanovisek a analýz ke všem záležitostem Unie souvisejícím s rozvojem politiky a právních předpisů a prostřednictvím aktualizací a přezkumů v oblasti kybernetické bezpečnosti, včetně ochrany kritické infrastrukt</w:t>
      </w:r>
      <w:r>
        <w:rPr>
          <w:noProof/>
        </w:rPr>
        <w:t>ury a kybernetické odolnosti. Pro politiky Unie v konkrétních odvětvích a pro iniciativy Unie v oblasti právních předpisů by agentura měla působit jako referenční bod poskytující doporučení a odborné poradenství v případech, kdy se tyto politiky a iniciati</w:t>
      </w:r>
      <w:r>
        <w:rPr>
          <w:noProof/>
        </w:rPr>
        <w:t xml:space="preserve">vy týkají otázek souvisejících s kybernetickou bezpečností. </w:t>
      </w:r>
    </w:p>
    <w:p w:rsidR="00557911" w:rsidRDefault="00623804">
      <w:pPr>
        <w:pStyle w:val="ManualConsidrant"/>
        <w:rPr>
          <w:noProof/>
        </w:rPr>
      </w:pPr>
      <w:r>
        <w:t>(14)</w:t>
      </w:r>
      <w:r>
        <w:tab/>
      </w:r>
      <w:r>
        <w:rPr>
          <w:noProof/>
        </w:rPr>
        <w:t>Hlavním úkolem agentury je prosazovat jednotné provádění příslušného právního rámce, zejména účinné provádění směrnice o bezpečnosti sítí a informací, která je zásadní pro zvýšení kybernetic</w:t>
      </w:r>
      <w:r>
        <w:rPr>
          <w:noProof/>
        </w:rPr>
        <w:t xml:space="preserve">ké odolnosti. S ohledem na rychle se vyvíjející oblast kybernetických bezpečnostních hrozeb je zřejmé, že se členské státy musí opírat o komplexnější přístup k budování kybernetické odolnosti přesahující jednotlivé politiky. </w:t>
      </w:r>
    </w:p>
    <w:p w:rsidR="00557911" w:rsidRDefault="00623804">
      <w:pPr>
        <w:pStyle w:val="ManualConsidrant"/>
        <w:rPr>
          <w:noProof/>
          <w:sz w:val="20"/>
          <w:szCs w:val="20"/>
        </w:rPr>
      </w:pPr>
      <w:r>
        <w:t>(15)</w:t>
      </w:r>
      <w:r>
        <w:tab/>
      </w:r>
      <w:r>
        <w:rPr>
          <w:noProof/>
        </w:rPr>
        <w:t>Agentura by měla být nápomocna členským státům a orgánům, institucím a jiným subjektům Unie při jejich úsilí o vytváření a rozvoj schopností a připravenosti předcházet problémům a incidentům týkajícím se kybernetické bezpečnosti, odhalovat je a reagovat na</w:t>
      </w:r>
      <w:r>
        <w:rPr>
          <w:noProof/>
        </w:rPr>
        <w:t xml:space="preserve"> ně, a také v souvislosti s bezpečností sítí a informačních systémů. Agentura by zejména měla podporovat rozvoj a posilování vnitrostátních týmů CSIRT s cílem dosáhnout v Unii vysoké společné úrovně jejich vyspělosti. Agentura by rovněž měla pomáhat s rozv</w:t>
      </w:r>
      <w:r>
        <w:rPr>
          <w:noProof/>
        </w:rPr>
        <w:t>íjením a aktualizováním strategií Unie a členských států pro bezpečnost sítí a informačních systémů, zejména strategií pro kybernetickou bezpečnost, podporovat jejich šíření a sledovat pokrok při jejich provádění. Agentura by měla také poskytovat školení a</w:t>
      </w:r>
      <w:r>
        <w:rPr>
          <w:noProof/>
        </w:rPr>
        <w:t xml:space="preserve"> vzdělávací materiály veřejným subjektům, a případně „školit školitele“, a tím pomáhat členským státům při rozvoji vlastních školicích kapacit. </w:t>
      </w:r>
    </w:p>
    <w:p w:rsidR="00557911" w:rsidRDefault="00623804">
      <w:pPr>
        <w:pStyle w:val="ManualConsidrant"/>
        <w:rPr>
          <w:noProof/>
          <w:sz w:val="20"/>
          <w:szCs w:val="20"/>
        </w:rPr>
      </w:pPr>
      <w:r>
        <w:t>(16)</w:t>
      </w:r>
      <w:r>
        <w:tab/>
      </w:r>
      <w:r>
        <w:rPr>
          <w:noProof/>
        </w:rPr>
        <w:t xml:space="preserve">Agentura by měla být nápomocna skupině pro spolupráci zřízené směrnicí o bezpečnosti sítí a informací při </w:t>
      </w:r>
      <w:r>
        <w:rPr>
          <w:noProof/>
        </w:rPr>
        <w:t>provádění jejích úkolů, zejména prostřednictvím poskytování odborných poznatků a poradenství a prostřednictvím usnadňování výměny osvědčených postupů týkajících se rizik a incidentů, zejména pak pokud jde o identifikaci provozovatelů základních služeb člen</w:t>
      </w:r>
      <w:r>
        <w:rPr>
          <w:noProof/>
        </w:rPr>
        <w:t>skými státy, a to i ve vztahu k přeshraničním vazbám.</w:t>
      </w:r>
    </w:p>
    <w:p w:rsidR="00557911" w:rsidRDefault="00623804">
      <w:pPr>
        <w:pStyle w:val="ManualConsidrant"/>
        <w:rPr>
          <w:noProof/>
          <w:sz w:val="20"/>
        </w:rPr>
      </w:pPr>
      <w:r>
        <w:t>(17)</w:t>
      </w:r>
      <w:r>
        <w:tab/>
      </w:r>
      <w:r>
        <w:rPr>
          <w:noProof/>
        </w:rPr>
        <w:t>S cílem podněcovat spolupráci mezi veřejným a soukromým sektorem a v rámci soukromého sektoru, zejména za účelem podpory ochrany kritické infrastruktury, by agentura měla usnadnit vytváření odvětvo</w:t>
      </w:r>
      <w:r>
        <w:rPr>
          <w:noProof/>
        </w:rPr>
        <w:t>vých center sdílení a analýzy informací, a to prostřednictvím poskytování osvědčených postupů a doporučení týkajících se dostupných nástrojů a postupů a poskytováním pokynů k řešení regulačních otázek spojených se sdílením informací.</w:t>
      </w:r>
    </w:p>
    <w:p w:rsidR="00557911" w:rsidRDefault="00623804">
      <w:pPr>
        <w:pStyle w:val="ManualConsidrant"/>
        <w:rPr>
          <w:noProof/>
        </w:rPr>
      </w:pPr>
      <w:r>
        <w:t>(18)</w:t>
      </w:r>
      <w:r>
        <w:tab/>
      </w:r>
      <w:r>
        <w:rPr>
          <w:noProof/>
        </w:rPr>
        <w:t xml:space="preserve">Agentura by měla </w:t>
      </w:r>
      <w:r>
        <w:rPr>
          <w:noProof/>
        </w:rPr>
        <w:t>agregovat a analyzovat vnitrostátní zprávy od týmů CSIRT a skupiny CERT-EU a stanovovat společná pravidla, jazyk a terminologii pro výměnu informací. Agentura by rovněž měla zapojit soukromý sektor, a to v rámci směrnice o bezpečnosti sítí a informací, kte</w:t>
      </w:r>
      <w:r>
        <w:rPr>
          <w:noProof/>
        </w:rPr>
        <w:t xml:space="preserve">rá vytvořením sítě CSIRT stanovila základ pro dobrovolnou výměnu technických informací na operativní úrovni. </w:t>
      </w:r>
    </w:p>
    <w:p w:rsidR="00557911" w:rsidRDefault="00623804">
      <w:pPr>
        <w:pStyle w:val="ManualConsidrant"/>
        <w:rPr>
          <w:noProof/>
        </w:rPr>
      </w:pPr>
      <w:r>
        <w:t>(19)</w:t>
      </w:r>
      <w:r>
        <w:tab/>
      </w:r>
      <w:r>
        <w:rPr>
          <w:noProof/>
        </w:rPr>
        <w:t>V případě rozsáhlých přeshraničních kybernetických bezpečnostních incidentů a krizí by agentura měla přispět k reakci na úrovni EU. Tato funk</w:t>
      </w:r>
      <w:r>
        <w:rPr>
          <w:noProof/>
        </w:rPr>
        <w:t>ce by měla zahrnovat shromažďování příslušných informací a působení jako zprostředkovatel mezi sítí CSIRT a technickou komunitou a mezi subjekty s rozhodovací pravomocí příslušnými pro řešení krizí. Agentura by dále mohla podporovat řešení incidentů po tec</w:t>
      </w:r>
      <w:r>
        <w:rPr>
          <w:noProof/>
        </w:rPr>
        <w:t>hnické stránce, a to tím, že by usnadňovala příslušnou technickou výměnu řešení mezi členskými státy a poskytovala vstupy do veřejných komunikací. Agentura by měla tento proces podporovat testováním způsobů takové spolupráce prostřednictvím každoročních cv</w:t>
      </w:r>
      <w:r>
        <w:rPr>
          <w:noProof/>
        </w:rPr>
        <w:t xml:space="preserve">ičení v oblasti kybernetické bezpečnosti.  </w:t>
      </w:r>
    </w:p>
    <w:p w:rsidR="00557911" w:rsidRDefault="00623804">
      <w:pPr>
        <w:pStyle w:val="ManualConsidrant"/>
        <w:rPr>
          <w:noProof/>
        </w:rPr>
      </w:pPr>
      <w:r>
        <w:t>(20)</w:t>
      </w:r>
      <w:r>
        <w:tab/>
      </w:r>
      <w:r>
        <w:rPr>
          <w:noProof/>
        </w:rPr>
        <w:t>Za účelem plnění svých operačních úkolů by agentura měla využít dostupné odborné poznatky skupiny CERT-EU, a to prostřednictvím strukturované spolupráce v těsné fyzické blízkosti. Strukturovaná spolupráce us</w:t>
      </w:r>
      <w:r>
        <w:rPr>
          <w:noProof/>
        </w:rPr>
        <w:t>nadní nezbytné synergie a akumulaci odborných poznatků agentury ENISA. V případě potřeby by měla být učiněna speciální ujednání mezi oběma organizacemi o praktické podobě takové spolupráce.</w:t>
      </w:r>
    </w:p>
    <w:p w:rsidR="00557911" w:rsidRDefault="00623804">
      <w:pPr>
        <w:pStyle w:val="ManualConsidrant"/>
        <w:rPr>
          <w:noProof/>
        </w:rPr>
      </w:pPr>
      <w:r>
        <w:t>(21)</w:t>
      </w:r>
      <w:r>
        <w:tab/>
      </w:r>
      <w:r>
        <w:rPr>
          <w:noProof/>
        </w:rPr>
        <w:t>V souladu se svými operačními úkoly by agentura měla být scho</w:t>
      </w:r>
      <w:r>
        <w:rPr>
          <w:noProof/>
        </w:rPr>
        <w:t>pna poskytovat podporu členským státům, například ve formě poradenství nebo technické pomoci či zajišťování analýz hrozeb a incidentů. Doporučení Komise ohledně koordinované reakce na rozsáhlé kybernetické bezpečnostní incidenty a krize doporučují, aby čle</w:t>
      </w:r>
      <w:r>
        <w:rPr>
          <w:noProof/>
        </w:rPr>
        <w:t>nské státy spolupracovaly v dobré víře a aby mezi sebou a s agenturou ENISA bez zbytečného odkladu sdílely informace o rozsáhlých kybernetických bezpečnostních incidentech a krizích. Tyto informace by agentuře ENISA měly dále pomoci při plnění jejích opera</w:t>
      </w:r>
      <w:r>
        <w:rPr>
          <w:noProof/>
        </w:rPr>
        <w:t>čních úkolů.</w:t>
      </w:r>
    </w:p>
    <w:p w:rsidR="00557911" w:rsidRDefault="00623804">
      <w:pPr>
        <w:pStyle w:val="ManualConsidrant"/>
        <w:rPr>
          <w:noProof/>
        </w:rPr>
      </w:pPr>
      <w:r>
        <w:t>(22)</w:t>
      </w:r>
      <w:r>
        <w:tab/>
      </w:r>
      <w:r>
        <w:rPr>
          <w:noProof/>
        </w:rPr>
        <w:t>Jakou součást pravidelné spolupráce na technické úrovni na podporu informovanosti Unie o aktuální situaci by agentura měla pravidelně připravovat technickou zprávu EU o situaci v oblasti kybernetické bezpečnosti týkající se incidentů a hr</w:t>
      </w:r>
      <w:r>
        <w:rPr>
          <w:noProof/>
        </w:rPr>
        <w:t>ozeb, a to na základě veřejně dostupných informací, svých vlastních analýz a zpráv, které s ní (dobrovolně) sdílejí týmy CSIRT členských států nebo jednotná kontaktní místa zřízená podle směrnice o bezpečnosti sítí a informací, Evropské centrum pro boj pro</w:t>
      </w:r>
      <w:r>
        <w:rPr>
          <w:noProof/>
        </w:rPr>
        <w:t>ti kyberkriminalitě (EC3) při Europolu, skupina CERT-EU a případně Středisko Evropské unie pro analýzu zpravodajských informací (INTCEN) při Evropské službě pro vnější činnost (ESVČ). Zpráva by měla být k dispozici příslušným místům Rady, Komisi, vysoké př</w:t>
      </w:r>
      <w:r>
        <w:rPr>
          <w:noProof/>
        </w:rPr>
        <w:t xml:space="preserve">edstavitelce Unie pro zahraniční věci a bezpečnostní politiku a síti týmů CSIRT. </w:t>
      </w:r>
    </w:p>
    <w:p w:rsidR="00557911" w:rsidRDefault="00623804">
      <w:pPr>
        <w:pStyle w:val="ManualConsidrant"/>
        <w:rPr>
          <w:noProof/>
        </w:rPr>
      </w:pPr>
      <w:r>
        <w:t>(23)</w:t>
      </w:r>
      <w:r>
        <w:tab/>
      </w:r>
      <w:r>
        <w:rPr>
          <w:noProof/>
        </w:rPr>
        <w:t>Technická šetření e</w:t>
      </w:r>
      <w:r>
        <w:rPr>
          <w:i/>
          <w:noProof/>
        </w:rPr>
        <w:t>x post</w:t>
      </w:r>
      <w:r>
        <w:rPr>
          <w:noProof/>
        </w:rPr>
        <w:t xml:space="preserve"> týkající se incidentů s významným dopadem ve více než jednom členském státě, která jsou agenturou podporována nebo prováděna na základě žádosti nebo se souhlasem dotčených členských států, by se měla zaměřovat na předcházení budoucím incidentům a měla by </w:t>
      </w:r>
      <w:r>
        <w:rPr>
          <w:noProof/>
        </w:rPr>
        <w:t xml:space="preserve">být prováděna, aniž jsou dotčena správní nebo soudní řízení k určení míry zavinění nebo odpovědnosti.  </w:t>
      </w:r>
    </w:p>
    <w:p w:rsidR="00557911" w:rsidRDefault="00623804">
      <w:pPr>
        <w:pStyle w:val="ManualConsidrant"/>
        <w:rPr>
          <w:noProof/>
        </w:rPr>
      </w:pPr>
      <w:r>
        <w:t>(24)</w:t>
      </w:r>
      <w:r>
        <w:tab/>
      </w:r>
      <w:r>
        <w:rPr>
          <w:noProof/>
        </w:rPr>
        <w:t>Dotčené členské státy by měly agentuře pro účely šetření poskytnout nezbytné informace a veškerou pomoc, aniž by byl dotčen článek 346 Smlouvy o fu</w:t>
      </w:r>
      <w:r>
        <w:rPr>
          <w:noProof/>
        </w:rPr>
        <w:t xml:space="preserve">ngování Evropské unie nebo jiné důvody související s ochranou veřejného pořádku. </w:t>
      </w:r>
    </w:p>
    <w:p w:rsidR="00557911" w:rsidRDefault="00623804">
      <w:pPr>
        <w:pStyle w:val="ManualConsidrant"/>
        <w:rPr>
          <w:noProof/>
        </w:rPr>
      </w:pPr>
      <w:r>
        <w:t>(25)</w:t>
      </w:r>
      <w:r>
        <w:tab/>
      </w:r>
      <w:r>
        <w:rPr>
          <w:noProof/>
        </w:rPr>
        <w:t>Členské státy mohou podniky dotčené incidentem vyzvat, aby spolupracovaly tak, že agentuře poskytnou nezbytné informace a veškerou pomoc, aniž je dotčeno jejich právo na</w:t>
      </w:r>
      <w:r>
        <w:rPr>
          <w:noProof/>
        </w:rPr>
        <w:t xml:space="preserve"> ochranu obchodně citlivých informací. </w:t>
      </w:r>
    </w:p>
    <w:p w:rsidR="00557911" w:rsidRDefault="00623804">
      <w:pPr>
        <w:pStyle w:val="ManualConsidrant"/>
        <w:rPr>
          <w:noProof/>
        </w:rPr>
      </w:pPr>
      <w:r>
        <w:t>(26)</w:t>
      </w:r>
      <w:r>
        <w:tab/>
      </w:r>
      <w:r>
        <w:rPr>
          <w:noProof/>
        </w:rPr>
        <w:t>K lepšímu pochopení výzev v oblasti kybernetické bezpečnosti a s cílem poskytovat členským státům a orgánům Unie dlouhodobé strategické poradenství je třeba, aby agentura analyzovala současná a nově se objevujíc</w:t>
      </w:r>
      <w:r>
        <w:rPr>
          <w:noProof/>
        </w:rPr>
        <w:t>í rizika. Za tímto účelem by agentura měla, ve spolupráci s členskými státy a případně statistickými orgány a dalšími subjekty, shromažďovat příslušné informace, provádět analýzy nově vznikajících technologií a poskytovat konkrétně zaměřená posouzení spole</w:t>
      </w:r>
      <w:r>
        <w:rPr>
          <w:noProof/>
        </w:rPr>
        <w:t xml:space="preserve">čenských, právních, hospodářských a regulačních dopadů technologických inovací na bezpečnost sítí a informací, zejména na kybernetickou bezpečnost. Agentura by měla také podporovat členské státy a orgány, instituce a jiné subjekty Unie při určování nových </w:t>
      </w:r>
      <w:r>
        <w:rPr>
          <w:noProof/>
        </w:rPr>
        <w:t xml:space="preserve">trendů a při předcházení problémům souvisejícím s kybernetickou bezpečností tak, že bude provádět analýzy hrozeb a incidentů.  </w:t>
      </w:r>
    </w:p>
    <w:p w:rsidR="00557911" w:rsidRDefault="00623804">
      <w:pPr>
        <w:pStyle w:val="ManualConsidrant"/>
        <w:rPr>
          <w:noProof/>
        </w:rPr>
      </w:pPr>
      <w:r>
        <w:t>(27)</w:t>
      </w:r>
      <w:r>
        <w:tab/>
      </w:r>
      <w:r>
        <w:rPr>
          <w:noProof/>
        </w:rPr>
        <w:t>Za účelem zvýšení odolnosti Unie by agentura měla rozvíjet excelenci v oblasti bezpečnosti internetové infrastruktury a kri</w:t>
      </w:r>
      <w:r>
        <w:rPr>
          <w:noProof/>
        </w:rPr>
        <w:t>tických infrastruktur, a to poskytováním poradenství, pokynů a osvědčených postupů. S cílem zajistit snazší přístup k lépe strukturovaným informacím o kybernetických bezpečnostních rizicích a o potenciálních prostředcích nápravy by agentura měla vytvořit a</w:t>
      </w:r>
      <w:r>
        <w:rPr>
          <w:noProof/>
        </w:rPr>
        <w:t xml:space="preserve"> spravovat „informační centrum“ Unie, jednotný portál („one-stop-shop“) poskytující veřejnosti informace o kybernetické bezpečnosti získané od EU a vnitrostátních orgánů, institucí a subjektů.</w:t>
      </w:r>
    </w:p>
    <w:p w:rsidR="00557911" w:rsidRDefault="00623804">
      <w:pPr>
        <w:pStyle w:val="ManualConsidrant"/>
        <w:rPr>
          <w:rFonts w:eastAsia="Times New Roman"/>
          <w:noProof/>
        </w:rPr>
      </w:pPr>
      <w:r>
        <w:t>(28)</w:t>
      </w:r>
      <w:r>
        <w:tab/>
      </w:r>
      <w:r>
        <w:rPr>
          <w:noProof/>
        </w:rPr>
        <w:t>Agentura by měla přispívat ke zvyšování informovanosti veř</w:t>
      </w:r>
      <w:r>
        <w:rPr>
          <w:noProof/>
        </w:rPr>
        <w:t>ejnosti ohledně rizik souvisejících s kybernetickou bezpečností a poskytovat pokyny a osvědčené postupy pro jednotlivé uživatele zaměřené na občany a organizace. Agentura by rovněž měla přispívat k podpoře osvědčených postupů a řešení na úrovni jednotlivců</w:t>
      </w:r>
      <w:r>
        <w:rPr>
          <w:noProof/>
        </w:rPr>
        <w:t xml:space="preserve"> a organizací, a to shromažďováním a analyzováním veřejně dostupných informací týkajících se závažných incidentů a sestavováním zpráv s cílem poskytnout podnikům a občanům pokyny a zlepšit celkovou úroveň připravenosti a odolnosti. Agentura by dále měla ve</w:t>
      </w:r>
      <w:r>
        <w:rPr>
          <w:noProof/>
        </w:rPr>
        <w:t xml:space="preserve"> spolupráci s členskými státy a orgány, institucemi a jinými subjekty Unie organizovat pravidelné veřejné vzdělávací kampaně pro koncové uživatele s cílem podporovat bezpečnější chování jednotlivců na internetu a zvyšovat informovanost o potenciálních hroz</w:t>
      </w:r>
      <w:r>
        <w:rPr>
          <w:noProof/>
        </w:rPr>
        <w:t>bách v kyberprostoru, včetně počítačové kriminality jako phishingové útoky, botnety a finanční a bankovní podvody, a podporovat základní nástroje ověřování a ochrany údajů. Agentura by rovněž měla hrát ústřední úlohu při urychlování informovanosti koncovýc</w:t>
      </w:r>
      <w:r>
        <w:rPr>
          <w:noProof/>
        </w:rPr>
        <w:t>h uživatelů o bezpečnosti zařízení.</w:t>
      </w:r>
    </w:p>
    <w:p w:rsidR="00557911" w:rsidRDefault="00623804">
      <w:pPr>
        <w:pStyle w:val="ManualConsidrant"/>
        <w:rPr>
          <w:noProof/>
        </w:rPr>
      </w:pPr>
      <w:r>
        <w:t>(29)</w:t>
      </w:r>
      <w:r>
        <w:tab/>
      </w:r>
      <w:r>
        <w:rPr>
          <w:noProof/>
        </w:rPr>
        <w:t>Za účelem podpory podniků působících v odvětví kybernetické bezpečnosti a rovněž uživatelů řešení v oblasti kybernetické bezpečnosti by agentura měla vytvořit a provozovat „středisko pro sledování trhu“ prostřednict</w:t>
      </w:r>
      <w:r>
        <w:rPr>
          <w:noProof/>
        </w:rPr>
        <w:t>vím provádění pravidelných analýz a šíření hlavních trendů na trhu kybernetické bezpečnosti, a to jak na straně poptávky, tak na straně nabídky.</w:t>
      </w:r>
    </w:p>
    <w:p w:rsidR="00557911" w:rsidRDefault="00623804">
      <w:pPr>
        <w:pStyle w:val="ManualConsidrant"/>
        <w:rPr>
          <w:noProof/>
        </w:rPr>
      </w:pPr>
      <w:r>
        <w:t>(30)</w:t>
      </w:r>
      <w:r>
        <w:tab/>
      </w:r>
      <w:r>
        <w:rPr>
          <w:noProof/>
        </w:rPr>
        <w:t>Aby bylo zajištěno, že agentura plně dosahuje svých cílů, měla by spolupracovat s příslušnými orgány, inst</w:t>
      </w:r>
      <w:r>
        <w:rPr>
          <w:noProof/>
        </w:rPr>
        <w:t>itucemi a jinými subjekty, včetně skupiny CERT-EU, Evropského centra pro boj proti kyberkriminalitě (EC3) při Europolu, Evropské agentury pro provozní řízení rozsáhlých informačních systémů (eu-LISA), Evropské agentury pro bezpečnost letectví (EASA) a dalš</w:t>
      </w:r>
      <w:r>
        <w:rPr>
          <w:noProof/>
        </w:rPr>
        <w:t>ích agentur EU zapojených do kybernetické bezpečnosti. Měla by rovněž spolupracovat s orgány zabývajícími se ochranou údajů, a to za účelem výměny know-how a osvědčených postupů a poskytování poradenství ohledně aspektů kybernetické bezpečnosti, které moho</w:t>
      </w:r>
      <w:r>
        <w:rPr>
          <w:noProof/>
        </w:rPr>
        <w:t>u mít dopad na práci těchto orgánů. Zástupcům vnitrostátních a unijních donucovacích orgánů a orgánů na ochranu údajů by měla být umožněna účast ve stálé skupině zúčastněných stran agentury. Při spolupráci s donucovacími orgány týkající se aspektů bezpečno</w:t>
      </w:r>
      <w:r>
        <w:rPr>
          <w:noProof/>
        </w:rPr>
        <w:t xml:space="preserve">sti sítí a informací, které by mohly mít dopad na jejich práci, by agentura měla respektovat stávající informační kanály a zavedené sítě. </w:t>
      </w:r>
    </w:p>
    <w:p w:rsidR="00557911" w:rsidRDefault="00623804">
      <w:pPr>
        <w:pStyle w:val="ManualConsidrant"/>
        <w:rPr>
          <w:noProof/>
        </w:rPr>
      </w:pPr>
      <w:r>
        <w:t>(31)</w:t>
      </w:r>
      <w:r>
        <w:tab/>
      </w:r>
      <w:r>
        <w:rPr>
          <w:noProof/>
        </w:rPr>
        <w:t>Agentura, jakožto člen, který rovněž zajišťuje služby sekretariátu sítě týmů CSIRT, by měla podporovat týmy CSIR</w:t>
      </w:r>
      <w:r>
        <w:rPr>
          <w:noProof/>
        </w:rPr>
        <w:t>T členských států a skupinu CERT-EU při operativní spolupráci na základě všech příslušných úkolů sítě týmu CSIRT, jak jsou vymezeny ve směrnici o bezpečnosti sítí a informací. Agentura by dále měla prosazovat a podporovat spolupráci mezi příslušnými týmy C</w:t>
      </w:r>
      <w:r>
        <w:rPr>
          <w:noProof/>
        </w:rPr>
        <w:t>SIRT v případě incidentů, útoků či poruch sítí nebo infrastruktury, které jsou spravovány nebo chráněny týmy CSIRT a které postihují nebo potenciálně postihují alespoň dvě skupiny CERT, přičemž by měla náležitě zohlednit standardní operační postupy sítě tý</w:t>
      </w:r>
      <w:r>
        <w:rPr>
          <w:noProof/>
        </w:rPr>
        <w:t>mu CSIRT.</w:t>
      </w:r>
    </w:p>
    <w:p w:rsidR="00557911" w:rsidRDefault="00623804">
      <w:pPr>
        <w:pStyle w:val="ManualConsidrant"/>
        <w:rPr>
          <w:noProof/>
        </w:rPr>
      </w:pPr>
      <w:r>
        <w:t>(32)</w:t>
      </w:r>
      <w:r>
        <w:tab/>
      </w:r>
      <w:r>
        <w:rPr>
          <w:noProof/>
        </w:rPr>
        <w:t xml:space="preserve">Za účelem zvýšení připravenosti Unie v oblasti reakce na kybernetické bezpečnostní incidenty by agentura měla pořádat každoroční cvičení v oblasti kybernetické bezpečnosti na úrovni Unie a poskytovat podporu institucím, orgánům, agenturám a </w:t>
      </w:r>
      <w:r>
        <w:rPr>
          <w:noProof/>
        </w:rPr>
        <w:t xml:space="preserve">jiným subjektům členských států a EU na jejich žádost při pořádání cvičení. </w:t>
      </w:r>
    </w:p>
    <w:p w:rsidR="00557911" w:rsidRDefault="00623804">
      <w:pPr>
        <w:pStyle w:val="ManualConsidrant"/>
        <w:rPr>
          <w:noProof/>
        </w:rPr>
      </w:pPr>
      <w:r>
        <w:t>(33)</w:t>
      </w:r>
      <w:r>
        <w:tab/>
      </w:r>
      <w:r>
        <w:rPr>
          <w:noProof/>
        </w:rPr>
        <w:t>Agentura by měla dále rozvíjet a udržovat svoji odbornost v oblasti certifikace kybernetické bezpečnosti s cílem podporovat politiku Unie v této oblasti. Agentura by měla s c</w:t>
      </w:r>
      <w:r>
        <w:rPr>
          <w:noProof/>
        </w:rPr>
        <w:t>ílem zvýšení transparentnosti záruk kybernetické bezpečnosti produktů a služeb IKT a s tím souvisejícího posílení důvěry v digitální vnitřní trh prosazovat zavádění certifikace kybernetické bezpečnosti v Unii, a to včetně toho, že bude přispívat k zavedení</w:t>
      </w:r>
      <w:r>
        <w:rPr>
          <w:noProof/>
        </w:rPr>
        <w:t xml:space="preserve"> a správě rámce pro certifikaci kybernetické bezpečnosti na úrovni Unie.</w:t>
      </w:r>
    </w:p>
    <w:p w:rsidR="00557911" w:rsidRDefault="00623804">
      <w:pPr>
        <w:pStyle w:val="ManualConsidrant"/>
        <w:rPr>
          <w:noProof/>
        </w:rPr>
      </w:pPr>
      <w:r>
        <w:t>(34)</w:t>
      </w:r>
      <w:r>
        <w:tab/>
      </w:r>
      <w:r>
        <w:rPr>
          <w:noProof/>
        </w:rPr>
        <w:t>Účinná politika v oblasti kybernetické bezpečnosti by měla být založena na pečlivě vyvinutých metodách posuzování rizika ve veřejném i v soukromém sektoru. Metody posuzování rizi</w:t>
      </w:r>
      <w:r>
        <w:rPr>
          <w:noProof/>
        </w:rPr>
        <w:t>ka se používají na různých úrovních, aniž by existoval jednotný systém, který by zaručoval jejich účinné uplatňování. Podpora a rozvoj osvědčených postupů posuzování rizika a interoperabilních řešení řízení rizik u organizací veřejného a soukromého sektoru</w:t>
      </w:r>
      <w:r>
        <w:rPr>
          <w:noProof/>
        </w:rPr>
        <w:t xml:space="preserve"> zvýší úroveň kybernetické bezpečnosti v Unii. Agentura by měla za tímto účelem podporovat spolupráci mezi zúčastněnými stranami na úrovni Unie a usnadňovat jejich úsilí zaměřené na vytvoření a používání evropských a mezinárodních standardů řízení rizik a </w:t>
      </w:r>
      <w:r>
        <w:rPr>
          <w:noProof/>
        </w:rPr>
        <w:t xml:space="preserve">měřitelné bezpečnosti elektronických produktů, systémů, sítí a služeb, které společně se softwarem tvoří sítě a informační systémy. </w:t>
      </w:r>
    </w:p>
    <w:p w:rsidR="00557911" w:rsidRDefault="00623804">
      <w:pPr>
        <w:pStyle w:val="ManualConsidrant"/>
        <w:rPr>
          <w:noProof/>
        </w:rPr>
      </w:pPr>
      <w:r>
        <w:t>(35)</w:t>
      </w:r>
      <w:r>
        <w:tab/>
      </w:r>
      <w:r>
        <w:rPr>
          <w:noProof/>
        </w:rPr>
        <w:t>Agentura by měla vybízet členské státy a poskytovatele služeb, aby zvýšili své obecné standardy v oblasti bezpečnosti,</w:t>
      </w:r>
      <w:r>
        <w:rPr>
          <w:noProof/>
        </w:rPr>
        <w:t xml:space="preserve"> a umožnili tak všem uživatelům internetu podniknout potřebné kroky k zajištění své vlastní kybernetické bezpečnosti Poskytovatelé služeb a výrobci produktů by zejména měli stáhnout nebo recyklovat produkty a služby, které nesplňují normy kybernetické bezp</w:t>
      </w:r>
      <w:r>
        <w:rPr>
          <w:noProof/>
        </w:rPr>
        <w:t>ečnosti. Agentura ENISA může ve spolupráci s příslušnými orgány šířit informace týkající se úrovně kybernetické bezpečnosti produktů a služeb nabízených na vnitřním trhu a vydávat varování, která jsou určená poskytovatelům a výrobcům a která od nich požadu</w:t>
      </w:r>
      <w:r>
        <w:rPr>
          <w:noProof/>
        </w:rPr>
        <w:t xml:space="preserve">jí, aby zvýšili bezpečnost svých produktů a služeb, včetně kybernetické bezpečnosti. </w:t>
      </w:r>
    </w:p>
    <w:p w:rsidR="00557911" w:rsidRDefault="00623804">
      <w:pPr>
        <w:pStyle w:val="ManualConsidrant"/>
        <w:rPr>
          <w:noProof/>
        </w:rPr>
      </w:pPr>
      <w:r>
        <w:t>(36)</w:t>
      </w:r>
      <w:r>
        <w:tab/>
      </w:r>
      <w:r>
        <w:rPr>
          <w:noProof/>
        </w:rPr>
        <w:t>Agentura by měla plně zohlednit činnosti probíhající v oblasti výzkumu, vývoje a technologického hodnocení, zejména činnosti prováděné v rámci různých výzkumných ini</w:t>
      </w:r>
      <w:r>
        <w:rPr>
          <w:noProof/>
        </w:rPr>
        <w:t xml:space="preserve">ciativ Unie, aby mohla orgánům, institucím a jiným subjektům Unie a případně členským státům, které o to požádají, poskytovat poradenství ohledně potřeb výzkumu v oblasti bezpečnosti sítí a informací, zejména pak kybernetické bezpečnosti. </w:t>
      </w:r>
    </w:p>
    <w:p w:rsidR="00557911" w:rsidRDefault="00623804">
      <w:pPr>
        <w:pStyle w:val="ManualConsidrant"/>
        <w:rPr>
          <w:noProof/>
        </w:rPr>
      </w:pPr>
      <w:r>
        <w:t>(37)</w:t>
      </w:r>
      <w:r>
        <w:tab/>
      </w:r>
      <w:r>
        <w:rPr>
          <w:noProof/>
        </w:rPr>
        <w:t>Problémy tý</w:t>
      </w:r>
      <w:r>
        <w:rPr>
          <w:noProof/>
        </w:rPr>
        <w:t>kající se kybernetické bezpečnosti jsou globální záležitostí. Je nutná užší mezinárodní spolupráce pro zvýšení bezpečnostních standardů, včetně stanovení společných norem chování, a zlepšení sdílení informací, jež podpoří pružnější mezinárodní spolupráci v</w:t>
      </w:r>
      <w:r>
        <w:rPr>
          <w:noProof/>
        </w:rPr>
        <w:t xml:space="preserve"> reakci na problémy týkající se bezpečnosti sítí a informací, ale i společný globální přístup k nim. Agentura by za tímto účelem měla podporovat větší zapojení Unie a spolupráci se třetími zeměmi a mezinárodními organizacemi tím, že případně poskytne nezby</w:t>
      </w:r>
      <w:r>
        <w:rPr>
          <w:noProof/>
        </w:rPr>
        <w:t xml:space="preserve">tné odborné znalosti a analýzy příslušným orgánům, institucím a jiným subjektům Unie. </w:t>
      </w:r>
    </w:p>
    <w:p w:rsidR="00557911" w:rsidRDefault="00623804">
      <w:pPr>
        <w:pStyle w:val="ManualConsidrant"/>
        <w:rPr>
          <w:noProof/>
        </w:rPr>
      </w:pPr>
      <w:r>
        <w:t>(38)</w:t>
      </w:r>
      <w:r>
        <w:tab/>
      </w:r>
      <w:r>
        <w:rPr>
          <w:noProof/>
        </w:rPr>
        <w:t xml:space="preserve">Agentura by měla být schopna reagovat na žádosti </w:t>
      </w:r>
      <w:r>
        <w:rPr>
          <w:i/>
          <w:noProof/>
        </w:rPr>
        <w:t>ad hoc</w:t>
      </w:r>
      <w:r>
        <w:rPr>
          <w:noProof/>
        </w:rPr>
        <w:t xml:space="preserve"> o poradenství a pomoc od členských států a orgánů, institucí a jiných subjektů EU, které jsou v souladu s cí</w:t>
      </w:r>
      <w:r>
        <w:rPr>
          <w:noProof/>
        </w:rPr>
        <w:t>li agentury.</w:t>
      </w:r>
      <w:r>
        <w:rPr>
          <w:strike/>
          <w:noProof/>
        </w:rPr>
        <w:t xml:space="preserve"> </w:t>
      </w:r>
    </w:p>
    <w:p w:rsidR="00557911" w:rsidRDefault="00623804">
      <w:pPr>
        <w:pStyle w:val="ManualConsidrant"/>
        <w:rPr>
          <w:noProof/>
        </w:rPr>
      </w:pPr>
      <w:r>
        <w:t>(39)</w:t>
      </w:r>
      <w:r>
        <w:tab/>
      </w:r>
      <w:r>
        <w:rPr>
          <w:noProof/>
        </w:rPr>
        <w:t>Aby bylo dosaženo souladu se společným prohlášením a společným přístupem, na nichž se v červenci 2012 dohodla interinstitucionální pracovní skupina pro decentralizované agentury EU, je nezbytné stanovit určité zásady týkající se řízení a</w:t>
      </w:r>
      <w:r>
        <w:rPr>
          <w:noProof/>
        </w:rPr>
        <w:t>gentury, přičemž účelem zmíněného prohlášení a přístupu je zjednodušit činnost agentur a zlepšit jejich výkonnost. Společné prohlášení a společný přístup by se případně měly odrazit také v pracovních programech agentury, hodnoceních agentury a postupech, k</w:t>
      </w:r>
      <w:r>
        <w:rPr>
          <w:noProof/>
        </w:rPr>
        <w:t xml:space="preserve">teré agentura používá pro podávání zpráv a v administrativě. </w:t>
      </w:r>
    </w:p>
    <w:p w:rsidR="00557911" w:rsidRDefault="00623804">
      <w:pPr>
        <w:pStyle w:val="ManualConsidrant"/>
        <w:rPr>
          <w:noProof/>
        </w:rPr>
      </w:pPr>
      <w:r>
        <w:t>(40)</w:t>
      </w:r>
      <w:r>
        <w:tab/>
      </w:r>
      <w:r>
        <w:rPr>
          <w:noProof/>
        </w:rPr>
        <w:t>Správní rada složená z členských států a Komise by měla vymezit obecné směry činnosti agentury a zaručit, že bude své úkoly plnit v souladu s tímto nařízením. Správní radě by měly být svěře</w:t>
      </w:r>
      <w:r>
        <w:rPr>
          <w:noProof/>
        </w:rPr>
        <w:t>ny pravomoci potřebné pro sestavování rozpočtu, ověřování jeho plnění, schvalování příslušných finančních předpisů, stanovení transparentních pracovních postupů pro přijímání rozhodnutí agentury, schvalování jednotného programového dokumentu agentury, přij</w:t>
      </w:r>
      <w:r>
        <w:rPr>
          <w:noProof/>
        </w:rPr>
        <w:t>ímání jejího jednacího řádu, jmenování výkonného ředitele a rozhodování o prodloužení funkčního období výkonného ředitele a o jeho odvolání.</w:t>
      </w:r>
    </w:p>
    <w:p w:rsidR="00557911" w:rsidRDefault="00623804">
      <w:pPr>
        <w:pStyle w:val="ManualConsidrant"/>
        <w:rPr>
          <w:noProof/>
        </w:rPr>
      </w:pPr>
      <w:r>
        <w:t>(41)</w:t>
      </w:r>
      <w:r>
        <w:tab/>
      </w:r>
      <w:r>
        <w:rPr>
          <w:noProof/>
        </w:rPr>
        <w:t>V zájmu řádného a účinného fungování agentury by Komise a členské státy měly zajistit, aby osoby, které mají b</w:t>
      </w:r>
      <w:r>
        <w:rPr>
          <w:noProof/>
        </w:rPr>
        <w:t xml:space="preserve">ýt jmenovány členy správní rady, měly patřičnou odbornou kvalifikaci a zkušenosti v oblastech činnosti. Komise a členské státy by měly usilovat o omezení obměny svých zástupců ve správní radě, aby byla zajištěna kontinuita její činnosti. </w:t>
      </w:r>
    </w:p>
    <w:p w:rsidR="00557911" w:rsidRDefault="00623804">
      <w:pPr>
        <w:pStyle w:val="ManualConsidrant"/>
        <w:rPr>
          <w:noProof/>
        </w:rPr>
      </w:pPr>
      <w:r>
        <w:t>(42)</w:t>
      </w:r>
      <w:r>
        <w:tab/>
      </w:r>
      <w:r>
        <w:rPr>
          <w:noProof/>
        </w:rPr>
        <w:t>Řádné fungov</w:t>
      </w:r>
      <w:r>
        <w:rPr>
          <w:noProof/>
        </w:rPr>
        <w:t>ání agentury vyžaduje, aby byl její výkonný ředitel jmenován na základě projevených kvalit a doložených administrativních a řídicích schopností a rovněž odbornosti a zkušeností v oblasti kybernetické bezpečnosti a aby vykonával své povinnosti zcela nezávis</w:t>
      </w:r>
      <w:r>
        <w:rPr>
          <w:noProof/>
        </w:rPr>
        <w:t>le. Výkonný ředitel by měl za tímto účelem po předchozích konzultacích s Komisí zpracovat návrh pracovního programu agentury a učinit veškeré kroky nezbytné k zajištění jeho řádného plnění. Výkonný ředitel by měl vypracovávat výroční zprávy, které se předl</w:t>
      </w:r>
      <w:r>
        <w:rPr>
          <w:noProof/>
        </w:rPr>
        <w:t xml:space="preserve">oží správní radě, a návrh odhadu příjmů a výdajů agentury a měl by plnit rozpočet. Výkonný ředitel by měl mít dále možnost sestavovat </w:t>
      </w:r>
      <w:r>
        <w:rPr>
          <w:i/>
          <w:noProof/>
        </w:rPr>
        <w:t>ad hoc</w:t>
      </w:r>
      <w:r>
        <w:rPr>
          <w:noProof/>
        </w:rPr>
        <w:t xml:space="preserve"> pracovní skupiny, které by se věnovaly konkrétním otázkám, zejména vědecké, technické nebo právní či socioekonomick</w:t>
      </w:r>
      <w:r>
        <w:rPr>
          <w:noProof/>
        </w:rPr>
        <w:t xml:space="preserve">é povahy. Výkonný ředitel by měl zajistit, aby byli členové </w:t>
      </w:r>
      <w:r>
        <w:rPr>
          <w:i/>
          <w:noProof/>
        </w:rPr>
        <w:t>ad hoc</w:t>
      </w:r>
      <w:r>
        <w:rPr>
          <w:noProof/>
        </w:rPr>
        <w:t xml:space="preserve"> pracovní skupiny vybráni na základě vysokých standardů odborných znalostí a se zřetelem k rovnovážnému zastoupení podle obsahu činnosti mezi zástupci veřejné správy členských států, zástupc</w:t>
      </w:r>
      <w:r>
        <w:rPr>
          <w:noProof/>
        </w:rPr>
        <w:t xml:space="preserve">i orgánů Unie a zástupci soukromého sektoru, včetně průmyslu, a zástupci uživatelů a vědeckých odborníků v oblasti bezpečnosti sítí a informací. </w:t>
      </w:r>
    </w:p>
    <w:p w:rsidR="00557911" w:rsidRDefault="00623804">
      <w:pPr>
        <w:pStyle w:val="ManualConsidrant"/>
        <w:rPr>
          <w:noProof/>
        </w:rPr>
      </w:pPr>
      <w:r>
        <w:t>(43)</w:t>
      </w:r>
      <w:r>
        <w:tab/>
      </w:r>
      <w:r>
        <w:rPr>
          <w:noProof/>
        </w:rPr>
        <w:t>Výkonná rada by měla přispívat k účinnému fungování správní rady. Jako součást své přípravné činnosti sou</w:t>
      </w:r>
      <w:r>
        <w:rPr>
          <w:noProof/>
        </w:rPr>
        <w:t xml:space="preserve">visející s rozhodnutími správní rady by měla podrobně prověřit příslušné informace, prozkoumat dostupné možnosti a nabídnout poradenství a řešení pro přípravu příslušných rozhodnutí správní rady. </w:t>
      </w:r>
    </w:p>
    <w:p w:rsidR="00557911" w:rsidRDefault="00623804">
      <w:pPr>
        <w:pStyle w:val="ManualConsidrant"/>
        <w:rPr>
          <w:noProof/>
        </w:rPr>
      </w:pPr>
      <w:r>
        <w:t>(44)</w:t>
      </w:r>
      <w:r>
        <w:tab/>
      </w:r>
      <w:r>
        <w:rPr>
          <w:noProof/>
        </w:rPr>
        <w:t>Pro pravidelný dialog se soukromým sektorem, organizacemi spotřebitelů a ostatními dotčenými zúčastněnými stranami by agentura měla mít stálou skupinu zúčastněných stran. Stálá skupina zúčastněných stran ustavená správní radou na návrh výkonného ředitele b</w:t>
      </w:r>
      <w:r>
        <w:rPr>
          <w:noProof/>
        </w:rPr>
        <w:t>y se měla věnovat otázkám, které mají význam pro zúčastněné strany, a měla by je předkládat agentuře. Složení stálé skupiny zúčastněných stran a úkoly, jimiž je pověřena, které je třeba konzultovat zejména v rámci návrhu pracovního programu, by měly zajist</w:t>
      </w:r>
      <w:r>
        <w:rPr>
          <w:noProof/>
        </w:rPr>
        <w:t xml:space="preserve">it dostatečnou účast zúčastněných stran na činnosti agentury. </w:t>
      </w:r>
    </w:p>
    <w:p w:rsidR="00557911" w:rsidRDefault="00623804">
      <w:pPr>
        <w:pStyle w:val="ManualConsidrant"/>
        <w:rPr>
          <w:noProof/>
        </w:rPr>
      </w:pPr>
      <w:r>
        <w:t>(45)</w:t>
      </w:r>
      <w:r>
        <w:tab/>
      </w:r>
      <w:r>
        <w:rPr>
          <w:noProof/>
        </w:rPr>
        <w:t>Agentura by měla mít zavedena pravidla týkající se prevence a řešení střetu zájmů. Agentura by rovněž měla uplatňovat odpovídající ustanovení práva Unie týkající se přístupu veřejnosti k d</w:t>
      </w:r>
      <w:r>
        <w:rPr>
          <w:noProof/>
        </w:rPr>
        <w:t>okumentům podle nařízení Evropského parlamentu a Rady (ES) č. 1049/2001</w:t>
      </w:r>
      <w:r>
        <w:rPr>
          <w:rStyle w:val="FootnoteReference"/>
          <w:noProof/>
        </w:rPr>
        <w:footnoteReference w:id="35"/>
      </w:r>
      <w:r>
        <w:rPr>
          <w:noProof/>
        </w:rPr>
        <w:t xml:space="preserve">. Osobní údaje by měly být agenturou zpracovávány v souladu s nařízením Evropského parlamentu a Rady (ES) č. 45/2001 ze dne 18. prosince 2000 o ochraně fyzických osob v souvislosti se </w:t>
      </w:r>
      <w:r>
        <w:rPr>
          <w:noProof/>
        </w:rPr>
        <w:t>zpracováním osobních údajů orgány a institucemi Společenství a o volném pohybu těchto údajů</w:t>
      </w:r>
      <w:r>
        <w:rPr>
          <w:rStyle w:val="FootnoteReference"/>
          <w:noProof/>
        </w:rPr>
        <w:footnoteReference w:id="36"/>
      </w:r>
      <w:r>
        <w:rPr>
          <w:noProof/>
        </w:rPr>
        <w:t>. Agentura by měla zejména dodržovat předpisy vztahující se na orgány Unie a rovněž vnitrostátní předpisy o nakládání s informacemi, zejména s citlivými informacemi</w:t>
      </w:r>
      <w:r>
        <w:rPr>
          <w:noProof/>
        </w:rPr>
        <w:t xml:space="preserve"> nepodléhajícími utajení a utajovanými informacemi EU. </w:t>
      </w:r>
    </w:p>
    <w:p w:rsidR="00557911" w:rsidRDefault="00623804">
      <w:pPr>
        <w:pStyle w:val="ManualConsidrant"/>
        <w:rPr>
          <w:noProof/>
        </w:rPr>
      </w:pPr>
      <w:r>
        <w:t>(46)</w:t>
      </w:r>
      <w:r>
        <w:tab/>
      </w:r>
      <w:r>
        <w:rPr>
          <w:noProof/>
        </w:rPr>
        <w:t>Aby byla zaručena plná autonomie a nezávislost agentury a bylo jí umožněno vykonávat další nové úkoly, včetně nečekaných naléhavých úkolů, měla by mít k dispozici dostatečný a samostatný rozpočet</w:t>
      </w:r>
      <w:r>
        <w:rPr>
          <w:noProof/>
        </w:rPr>
        <w:t>, který je rozhodující měrou financován z příspěvků Unie a z příspěvků třetích zemí podílejících se na práci agentury. Většina zaměstnanců agentury by se měla přímo podílet na operativním plnění mandátu agentury. Hostitelský nebo jakýkoli jiný členský stát</w:t>
      </w:r>
      <w:r>
        <w:rPr>
          <w:noProof/>
        </w:rPr>
        <w:t xml:space="preserve"> by měl mít možnost poskytnout dobrovolné příspěvky k příjmům agentury. Všechny subvence ze souhrnného rozpočtu Unie by měly podléhat rozpočtovému procesu Unie. Účetní dvůr by měl navíc provádět audit účetnictví agentury s cílem zajistit transparentnost a </w:t>
      </w:r>
      <w:r>
        <w:rPr>
          <w:noProof/>
        </w:rPr>
        <w:t xml:space="preserve">odpovědnost. </w:t>
      </w:r>
    </w:p>
    <w:p w:rsidR="00557911" w:rsidRDefault="00623804">
      <w:pPr>
        <w:pStyle w:val="ManualConsidrant"/>
        <w:rPr>
          <w:noProof/>
        </w:rPr>
      </w:pPr>
      <w:r>
        <w:t>(47)</w:t>
      </w:r>
      <w:r>
        <w:tab/>
      </w:r>
      <w:r>
        <w:rPr>
          <w:noProof/>
        </w:rPr>
        <w:t>Posuzování shody je postup k prokázání, zda byly splněny konkrétní požadavky týkající se produktu, postupu, služby, systému, osoby nebo subjektu. Pro účely tohoto nařízení by certifikace měla být považována za typ posuzování shody, který</w:t>
      </w:r>
      <w:r>
        <w:rPr>
          <w:noProof/>
        </w:rPr>
        <w:t xml:space="preserve"> se týká kybernetickobezpečnostních prvků produktů, procesů, služeb a systémů nebo jejich kombinací („produkty a služby IKT“) a který je prováděn nezávislou třetí stranou jinou než výrobcem produktu nebo poskytovatelem služby. Certifikace nemůže sama o sob</w:t>
      </w:r>
      <w:r>
        <w:rPr>
          <w:noProof/>
        </w:rPr>
        <w:t>ě zaručit, že certifikované produkty a služby IKT jsou kyberneticky bezpečné. Spíše se jedná o proces a technickou metodiku sloužící k potvrzení, že produkty a služby IKT byly testovány a že splňují určité stanovené kybernetickobezpečnostní požadavky, např</w:t>
      </w:r>
      <w:r>
        <w:rPr>
          <w:noProof/>
        </w:rPr>
        <w:t>. požadavky stanovené v technických normách.</w:t>
      </w:r>
    </w:p>
    <w:p w:rsidR="00557911" w:rsidRDefault="00623804">
      <w:pPr>
        <w:pStyle w:val="ManualConsidrant"/>
        <w:rPr>
          <w:noProof/>
        </w:rPr>
      </w:pPr>
      <w:r>
        <w:t>(48)</w:t>
      </w:r>
      <w:r>
        <w:tab/>
      </w:r>
      <w:r>
        <w:rPr>
          <w:noProof/>
        </w:rPr>
        <w:t>Certifikace kybernetické bezpečnosti hraje důležitou úlohu při zvyšování důvěry v produkty a služby a jejich bezpečnosti. Jednotný digitální trh a zejména ekonomika dat a internet věcí se mohou rozvíjet, po</w:t>
      </w:r>
      <w:r>
        <w:rPr>
          <w:noProof/>
        </w:rPr>
        <w:t>uze bude-li existovat obecná důvěra veřejnosti, že dané produkty a služby poskytují určitou úroveň záruky kybernetické bezpečnosti. Propojené a automatizované automobily, elektronická zdravotnická zařízení, průmyslové automatizační řídicí systémy nebo inte</w:t>
      </w:r>
      <w:r>
        <w:rPr>
          <w:noProof/>
        </w:rPr>
        <w:t>ligentní sítě, to je pouze několik příkladů odvětví, v nichž je certifikace již široce využívána, nebo je pravděpodobné, že v blízké budoucnosti využívána bude. Odvětví regulovaná směrnicí o bezpečnosti sítí a informací jsou zároveň odvětvími, v nichž má c</w:t>
      </w:r>
      <w:r>
        <w:rPr>
          <w:noProof/>
        </w:rPr>
        <w:t xml:space="preserve">ertifikace kybernetické bezpečnosti zásadní význam. </w:t>
      </w:r>
    </w:p>
    <w:p w:rsidR="00557911" w:rsidRDefault="00623804">
      <w:pPr>
        <w:pStyle w:val="ManualConsidrant"/>
        <w:rPr>
          <w:noProof/>
        </w:rPr>
      </w:pPr>
      <w:r>
        <w:t>(49)</w:t>
      </w:r>
      <w:r>
        <w:tab/>
      </w:r>
      <w:r>
        <w:rPr>
          <w:noProof/>
        </w:rPr>
        <w:t xml:space="preserve">Komise ve svém sdělení „Posílení evropského systému kybernetické odolnosti a podpora konkurenceschopného a inovativního odvětví kybernetické bezpečnosti“ z roku 2016 nastínila potřebu vysoce </w:t>
      </w:r>
      <w:r>
        <w:rPr>
          <w:noProof/>
        </w:rPr>
        <w:t>kvalitních, cenově dostupných a interoperabilních kybernetickobezpečnostních produktů a řešení. Dodávky produktů a služeb IKT v rámci jednotného trhu jsou geograficky velmi roztříštěné. Důvodem je skutečnost, že odvětví kybernetické bezpečnosti v Evropě se</w:t>
      </w:r>
      <w:r>
        <w:rPr>
          <w:noProof/>
        </w:rPr>
        <w:t xml:space="preserve"> vyvíjelo převážně na základě poptávky vnitrostátních vlád. Mezi další nedostatky, které ovlivňují jednotný trh kybernetické bezpečnosti, patří dále absence interoperabilních řešení (technických norem), postupů a celoevropských mechanismů pro certifikaci. </w:t>
      </w:r>
      <w:r>
        <w:rPr>
          <w:noProof/>
        </w:rPr>
        <w:t>To na straně jedné snižuje konkurenceschopnost evropských společností na vnitrostátní, evropské i celosvětové úrovni. Na straně druhé to omezuje výběr funkčních a užitečných kybernetickobezpečnostních technologií, ke kterým mají občané a podniky přístup. P</w:t>
      </w:r>
      <w:r>
        <w:rPr>
          <w:noProof/>
        </w:rPr>
        <w:t>odobně Komise ve svém přezkumu v polovině období provádění strategie pro jednotný digitální trh zdůraznila potřebu bezpečných propojených produktů a systémů a uvedla, že vytvoření evropského bezpečnostního rámce IKT stanovujícího pravidla pro systémy certi</w:t>
      </w:r>
      <w:r>
        <w:rPr>
          <w:noProof/>
        </w:rPr>
        <w:t>fikace bezpečnosti IKT v Unii by mohla zachovat důvěru v internet a řešit stávající roztříštěnost trhu kybernetické bezpečnosti.</w:t>
      </w:r>
    </w:p>
    <w:p w:rsidR="00557911" w:rsidRDefault="00623804">
      <w:pPr>
        <w:pStyle w:val="ManualConsidrant"/>
        <w:rPr>
          <w:rFonts w:eastAsia="Times New Roman"/>
          <w:noProof/>
        </w:rPr>
      </w:pPr>
      <w:r>
        <w:t>(50)</w:t>
      </w:r>
      <w:r>
        <w:tab/>
      </w:r>
      <w:r>
        <w:rPr>
          <w:noProof/>
        </w:rPr>
        <w:t>Certifikace kybernetické bezpečnosti produktů a služeb IKT je v současné době využívána pouze v omezené míře. Pokud existu</w:t>
      </w:r>
      <w:r>
        <w:rPr>
          <w:noProof/>
        </w:rPr>
        <w:t>je, pak převážně na úrovni členských států nebo v rámci systémů podporovaných potřebami průmyslu. Certifikát vydaný jedním vnitrostátním orgánem pro kybernetickou bezpečnost v této souvislosti v zásadě není uznáván jinými členskými státy. Společnosti proto</w:t>
      </w:r>
      <w:r>
        <w:rPr>
          <w:noProof/>
        </w:rPr>
        <w:t xml:space="preserve"> musí své produkty a služby certifikovat v několika členských státech, v nichž působí, například s cílem účastnit se vnitrostátních zadávacích řízení. Kromě toho, i když se objevují nové systémy, zdá se, že pokud jde o horizontální otázky kybernetické bezp</w:t>
      </w:r>
      <w:r>
        <w:rPr>
          <w:noProof/>
        </w:rPr>
        <w:t xml:space="preserve">ečnosti, např. v oblasti internetu věcí, neexistuje žádný jednotný a ucelený přístup. Stávající systémy vykazují významné nedostatky a rozdíly z hlediska pokrytí produktů, úrovní záruk, podstatných kritérií a skutečného využití. </w:t>
      </w:r>
    </w:p>
    <w:p w:rsidR="00557911" w:rsidRDefault="00623804">
      <w:pPr>
        <w:pStyle w:val="ManualConsidrant"/>
        <w:rPr>
          <w:rFonts w:eastAsia="Times New Roman"/>
          <w:noProof/>
        </w:rPr>
      </w:pPr>
      <w:r>
        <w:t>(51)</w:t>
      </w:r>
      <w:r>
        <w:tab/>
      </w:r>
      <w:r>
        <w:rPr>
          <w:noProof/>
        </w:rPr>
        <w:t>V minulosti bylo vyna</w:t>
      </w:r>
      <w:r>
        <w:rPr>
          <w:noProof/>
        </w:rPr>
        <w:t>loženo určité úsilí za účelem vzájemného uznávání certifikátů v Evropě. Toto úsilí však bylo úspěšné pouze částečně. Nejdůležitějším příkladem je v tomto ohledu dohoda o vzájemném uznávání skupiny vyšších úředníků – bezpečnost informačních systémů (SOG-IS)</w:t>
      </w:r>
      <w:r>
        <w:rPr>
          <w:noProof/>
        </w:rPr>
        <w:t>. Ačkoliv dohoda o vzájemném uznávání skupiny SOG-IS představuje nejdůležitější model spolupráce a vzájemného uznávání v oblasti certifikace bezpečnosti, obsahuje některé významné nedostatky související s jejími vysokými náklady a omezenou působností. Dosu</w:t>
      </w:r>
      <w:r>
        <w:rPr>
          <w:noProof/>
        </w:rPr>
        <w:t>d bylo vyvinuto pouze několik profilů ochrany pro digitální výrobky, jako např. digitální podpis, digitální tachograf a čipové karty. Nejdůležitější je, že skupina SOG-IS zahrnuje pouze část členských států Unie. To z pohledu vnitřního trhu účinnost dohody</w:t>
      </w:r>
      <w:r>
        <w:rPr>
          <w:noProof/>
        </w:rPr>
        <w:t xml:space="preserve"> o vzájemném uznávání skupiny SOG-IS omezuje. </w:t>
      </w:r>
    </w:p>
    <w:p w:rsidR="00557911" w:rsidRDefault="00623804">
      <w:pPr>
        <w:pStyle w:val="ManualConsidrant"/>
        <w:rPr>
          <w:noProof/>
        </w:rPr>
      </w:pPr>
      <w:r>
        <w:t>(52)</w:t>
      </w:r>
      <w:r>
        <w:tab/>
      </w:r>
      <w:r>
        <w:rPr>
          <w:noProof/>
        </w:rPr>
        <w:t>S ohledem na výše uvedené je nezbytné zřídit evropský rámec pro certifikaci kybernetické bezpečnosti, který stanoví hlavní horizontální požadavky pro evropské systémy certifikace kybernetické bezpečnosti,</w:t>
      </w:r>
      <w:r>
        <w:rPr>
          <w:noProof/>
        </w:rPr>
        <w:t xml:space="preserve"> které mají být vypracovány, a umožní, aby byly certifikáty pro produkty a služby IKT uznávané a používané ve všech členských státech. Evropský rámec by měl mít dvojí účel: na straně jedné by měl pomoci zvýšit důvěru v produkty a služby IKT, které byly cer</w:t>
      </w:r>
      <w:r>
        <w:rPr>
          <w:noProof/>
        </w:rPr>
        <w:t>tifikovány podle takových systémů. Na straně druhé by měl zabránit násobení protichůdných nebo odporujících si vnitrostátních certifikací kybernetické bezpečnosti, a tím snížit náklady podniků působících na jednotném digitálním trhu. Systémy by měly být ne</w:t>
      </w:r>
      <w:r>
        <w:rPr>
          <w:noProof/>
        </w:rPr>
        <w:t>diskriminační a měly by být založeny na mezinárodních normách a/nebo na normách Unie, pokud tyto normy nejsou neúčinné nebo nevhodné k dosažení cílů, které jsou v tomto ohledu oprávněné.</w:t>
      </w:r>
    </w:p>
    <w:p w:rsidR="00557911" w:rsidRDefault="00623804">
      <w:pPr>
        <w:pStyle w:val="ManualConsidrant"/>
        <w:rPr>
          <w:noProof/>
        </w:rPr>
      </w:pPr>
      <w:r>
        <w:t>(53)</w:t>
      </w:r>
      <w:r>
        <w:tab/>
      </w:r>
      <w:r>
        <w:rPr>
          <w:noProof/>
        </w:rPr>
        <w:t>Komisi by měla být svěřena pravomoc přijímat evropské systémy ce</w:t>
      </w:r>
      <w:r>
        <w:rPr>
          <w:noProof/>
        </w:rPr>
        <w:t>rtifikace kybernetické bezpečnosti týkající se konkrétních skupin produktů a služeb IKT. Tyto systémy by měly provádět a dozor nad nimi by měly vykonávat vnitrostátní orgány dozoru nad certifikací a certifikáty vydané v rámci těchto systémů by měly být pla</w:t>
      </w:r>
      <w:r>
        <w:rPr>
          <w:noProof/>
        </w:rPr>
        <w:t>tné a uznávané v celé Unii. Systémy certifikace provozované odvětvím nebo jinými soukromými organizacemi by měly spadat mimo oblast působnosti tohoto nařízení. Subjekty provozující tyto systémy však mohou Komisi navrhnout, aby tyto systémy zvážila jako zák</w:t>
      </w:r>
      <w:r>
        <w:rPr>
          <w:noProof/>
        </w:rPr>
        <w:t>lad pro jejich schválení jakožto evropského systému.</w:t>
      </w:r>
    </w:p>
    <w:p w:rsidR="00557911" w:rsidRDefault="00623804">
      <w:pPr>
        <w:pStyle w:val="ManualConsidrant"/>
        <w:rPr>
          <w:noProof/>
        </w:rPr>
      </w:pPr>
      <w:r>
        <w:t>(54)</w:t>
      </w:r>
      <w:r>
        <w:tab/>
      </w:r>
      <w:r>
        <w:rPr>
          <w:noProof/>
        </w:rPr>
        <w:t xml:space="preserve">Ustanoveními tohoto nařízení by neměly být dotčeny právní předpisy Unie stanovující zvláštní pravidla týkající se certifikace produktů a služeb IKT. Zejména obecné nařízení o ochraně osobních údajů </w:t>
      </w:r>
      <w:r>
        <w:rPr>
          <w:noProof/>
        </w:rPr>
        <w:t>obsahuje ustanovení týkající se zavedení mechanismů pro vydávání osvědčení a zavedení pečetí a známek dokládajících ochranu údajů pro účely prokázání souladu s tímto nařízením v případě operací zpracování prováděných správci a zpracovateli. Tyto mechanismy</w:t>
      </w:r>
      <w:r>
        <w:rPr>
          <w:noProof/>
        </w:rPr>
        <w:t xml:space="preserve"> pro vydávání osvědčení a pečetě a známky dokládající ochranu údajů by měly subjektům údajů u příslušných produktů a služeb umožnit rychlé posouzení úrovně ochrany údajů. Tímto nařízením není dotčena certifikace operací zpracování údajů podle obecného naří</w:t>
      </w:r>
      <w:r>
        <w:rPr>
          <w:noProof/>
        </w:rPr>
        <w:t>zení o ochraně osobních údajů, včetně situací, kdy jsou tyto operace zabudované v produktech a službách.</w:t>
      </w:r>
    </w:p>
    <w:p w:rsidR="00557911" w:rsidRDefault="00623804">
      <w:pPr>
        <w:pStyle w:val="ManualConsidrant"/>
        <w:rPr>
          <w:noProof/>
        </w:rPr>
      </w:pPr>
      <w:r>
        <w:t>(55)</w:t>
      </w:r>
      <w:r>
        <w:tab/>
      </w:r>
      <w:r>
        <w:rPr>
          <w:noProof/>
        </w:rPr>
        <w:t>Účelem evropských systémů certifikace kybernetické bezpečnosti by mělo být zajistit, aby produkty a služby IKT certifikované podle takového systém</w:t>
      </w:r>
      <w:r>
        <w:rPr>
          <w:noProof/>
        </w:rPr>
        <w:t>u splňovaly konkrétní požadavky. Tyto požadavky se týkají schopnosti na dané úrovni záruky odolávat činnostem, které ohrožují přístupnost, autentičnost, neporušenost a důvěrnost ukládaných, předávaných nebo zpracovávaných údajů nebo souvisejících funkcí či</w:t>
      </w:r>
      <w:r>
        <w:rPr>
          <w:noProof/>
        </w:rPr>
        <w:t xml:space="preserve"> služeb nabízených nebo dostupných prostřednictvím těchto produktů, procesů, služeb a systémů ve smyslu tohoto nařízení. V tomto nařízení není možné podrobně stanovit kybernetickobezpečnostní požadavky týkající se veškerých produktů a služeb IKT. Produkty </w:t>
      </w:r>
      <w:r>
        <w:rPr>
          <w:noProof/>
        </w:rPr>
        <w:t xml:space="preserve">a služby IKT a související potřeby v oblasti kybernetické bezpečnosti jsou natolik rozmanité, že je velmi obtížné přijít s obecnými kybernetckobezpečnostními požadavky, které by byly všeobecně platné. Proto je pro účely certifikace nutné přijmout obecný a </w:t>
      </w:r>
      <w:r>
        <w:rPr>
          <w:noProof/>
        </w:rPr>
        <w:t>široký obsah pojmu kybernetická bezpečnost, doplněný souborem konkrétních cílů v oblasti kybernetické bezpečnosti, které je třeba zohlednit při navrhování evropských systémů certifikace kybernetické bezpečnosti. Způsoby, jimiž bude těchto cílů u konkrétníc</w:t>
      </w:r>
      <w:r>
        <w:rPr>
          <w:noProof/>
        </w:rPr>
        <w:t xml:space="preserve">h produktů a služeb IKT dosaženo, by poté měly být dále podrobně specifikovány na úrovni jednotlivých systémů certifikace přijatých Komisí, například prostřednictvím odkazu na normy nebo technické specifikace. </w:t>
      </w:r>
    </w:p>
    <w:p w:rsidR="00557911" w:rsidRDefault="00623804">
      <w:pPr>
        <w:pStyle w:val="ManualConsidrant"/>
        <w:rPr>
          <w:noProof/>
        </w:rPr>
      </w:pPr>
      <w:r>
        <w:t>(56)</w:t>
      </w:r>
      <w:r>
        <w:tab/>
      </w:r>
      <w:r>
        <w:rPr>
          <w:noProof/>
        </w:rPr>
        <w:t>Komisi by měla být svěřena pravomoc požá</w:t>
      </w:r>
      <w:r>
        <w:rPr>
          <w:noProof/>
        </w:rPr>
        <w:t>dat agenturu ENISA, aby vypracovala návrhy systémů pro konkrétní produkty nebo služby IKT. Komisi by poté měla být svěřena pravomoc, aby na základě návrhu systému předloženého agenturou ENISA přijala evropský systém certifikace kybernetické bezpečnosti pro</w:t>
      </w:r>
      <w:r>
        <w:rPr>
          <w:noProof/>
        </w:rPr>
        <w:t>střednictvím prováděcích aktů. S ohledem na obecný účel a bezpečnostní cíle stanovené v tomto nařízení by evropské systémy certifikace kybernetické bezpečnosti přijaté Komisí měly určovat minimální soubor prvků týkajících se předmětu, rozsahu a fungování k</w:t>
      </w:r>
      <w:r>
        <w:rPr>
          <w:noProof/>
        </w:rPr>
        <w:t>onkrétního systému. Ty by měly mimo jiné zahrnovat rozsah a předmět certifikace kybernetické bezpečnosti včetně kategorií produktů a služeb IKT, na které se certifikace vztahuje, podrobnou specifikaci kybernetickobezpečnostních požadavků, například prostře</w:t>
      </w:r>
      <w:r>
        <w:rPr>
          <w:noProof/>
        </w:rPr>
        <w:t xml:space="preserve">dnictvím odkazu na příslušnou normu nebo technickou specifikaci, konkrétní kritéria a metody hodnocení a úroveň záruky, kterou mají zajistit: základní, významnou a/nebo vysokou. </w:t>
      </w:r>
    </w:p>
    <w:p w:rsidR="00557911" w:rsidRDefault="00623804">
      <w:pPr>
        <w:pStyle w:val="ManualConsidrant"/>
        <w:rPr>
          <w:noProof/>
        </w:rPr>
      </w:pPr>
      <w:r>
        <w:t>(57)</w:t>
      </w:r>
      <w:r>
        <w:tab/>
      </w:r>
      <w:r>
        <w:rPr>
          <w:noProof/>
        </w:rPr>
        <w:t>Využití evropské certifikace kybernetické bezpečnosti by mělo zůstat dob</w:t>
      </w:r>
      <w:r>
        <w:rPr>
          <w:noProof/>
        </w:rPr>
        <w:t>rovolné, pokud unijní nebo vnitrostátní právní předpisy nestanoví jinak. Avšak s cílem dosažení cílů tohoto nařízení a zabránění roztříštěnosti vnitřního trhu by vnitrostátní systémy nebo postupy certifikace kybernetické bezpečnosti pro produkty a služby I</w:t>
      </w:r>
      <w:r>
        <w:rPr>
          <w:noProof/>
        </w:rPr>
        <w:t>KT zahrnuté do evropského systému certifikace kybernetické bezpečnosti měly ode dne stanoveného Komisí prostřednictvím prováděcího aktu pozbýt účinnosti. Členské státy by navíc neměly zavádět nové vnitrostátní systémy stanovující systémy certifikace kybern</w:t>
      </w:r>
      <w:r>
        <w:rPr>
          <w:noProof/>
        </w:rPr>
        <w:t xml:space="preserve">etické bezpečnosti pro produkty a služby IKT, které jsou již zahrnuty do určitého evropského systému certifikace kybernetické bezpečnosti. </w:t>
      </w:r>
    </w:p>
    <w:p w:rsidR="00557911" w:rsidRDefault="00623804">
      <w:pPr>
        <w:pStyle w:val="ManualConsidrant"/>
        <w:rPr>
          <w:noProof/>
        </w:rPr>
      </w:pPr>
      <w:r>
        <w:t>(58)</w:t>
      </w:r>
      <w:r>
        <w:tab/>
      </w:r>
      <w:r>
        <w:rPr>
          <w:noProof/>
        </w:rPr>
        <w:t>Jakmile je přijat určitý evropský systém certifikace kybernetické bezpečnosti, výrobci produktů IKT nebo poskyt</w:t>
      </w:r>
      <w:r>
        <w:rPr>
          <w:noProof/>
        </w:rPr>
        <w:t>ovatelé služeb IKT by měli být schopni subjektu posuzování shody podlé své volby předložit žádost o certifikaci svých produktů nebo služeb. Subjekty posuzování shody by měly být akreditovány akreditačním orgánem, splňují-li určité konkrétní požadavky stano</w:t>
      </w:r>
      <w:r>
        <w:rPr>
          <w:noProof/>
        </w:rPr>
        <w:t>vené v tomto nařízení. Akreditace by měla být vydávána na období nejvýše pěti let a lze ji obnovit za stejných podmínek, pokud daný subjekt posuzování shody splňuje příslušné požadavky. Akreditační orgány by měly zrušit akreditaci subjektu posuzování shody</w:t>
      </w:r>
      <w:r>
        <w:rPr>
          <w:noProof/>
        </w:rPr>
        <w:t>, pokud podmínky pro akreditaci nejsou nebo přestanou být splňovány, nebo pokud opatření přijatá subjektem posuzování shody porušují toto nařízení.</w:t>
      </w:r>
    </w:p>
    <w:p w:rsidR="00557911" w:rsidRDefault="00623804">
      <w:pPr>
        <w:pStyle w:val="ManualConsidrant"/>
        <w:rPr>
          <w:noProof/>
        </w:rPr>
      </w:pPr>
      <w:r>
        <w:t>(59)</w:t>
      </w:r>
      <w:r>
        <w:tab/>
      </w:r>
      <w:r>
        <w:rPr>
          <w:noProof/>
        </w:rPr>
        <w:t>Je nezbytné od všech členských států požadovat, aby určily jeden orgán dozoru nad certifikací kyberneti</w:t>
      </w:r>
      <w:r>
        <w:rPr>
          <w:noProof/>
        </w:rPr>
        <w:t xml:space="preserve">cké bezpečnosti, který bude dohlížet na to, aby subjekty posuzování shody a certifikáty vydané subjekty posuzování shody usazenými na jejich území splňovaly požadavky tohoto nařízení a příslušných systémů certifikace kybernetické bezpečnosti. Vnitrostátní </w:t>
      </w:r>
      <w:r>
        <w:rPr>
          <w:noProof/>
        </w:rPr>
        <w:t>orgány dozoru nad certifikací by měly řešit stížnosti podané fyzickými nebo právnickými osobami v souvislosti s certifikáty vydanými subjekty posuzování shody usazenými na jejich území, v přiměřeném rozsahu šetřit předmět stížnosti a v přiměřené lhůtě info</w:t>
      </w:r>
      <w:r>
        <w:rPr>
          <w:noProof/>
        </w:rPr>
        <w:t>rmovat stěžovatele o pokroku a výsledku šetření. Kromě toho by měly spolupracovat s dalšími vnitrostátními orgány dozoru nad certifikací nebo jinými veřejnými orgány, a to i prostřednictvím sdílení informací o možných případech, kdy produkty a služby IKT n</w:t>
      </w:r>
      <w:r>
        <w:rPr>
          <w:noProof/>
        </w:rPr>
        <w:t>esplňují požadavky tohoto nařízení nebo konkrétních systémů kybernetické bezpečnosti.</w:t>
      </w:r>
    </w:p>
    <w:p w:rsidR="00557911" w:rsidRDefault="00623804">
      <w:pPr>
        <w:pStyle w:val="ManualConsidrant"/>
        <w:rPr>
          <w:noProof/>
        </w:rPr>
      </w:pPr>
      <w:r>
        <w:t>(60)</w:t>
      </w:r>
      <w:r>
        <w:tab/>
      </w:r>
      <w:r>
        <w:rPr>
          <w:noProof/>
        </w:rPr>
        <w:t>S cílem zajistit jednotné uplatňování evropského rámce pro certifikaci kybernetické bezpečnosti by měla být zřízena Evropská skupina pro certifikaci kybernetické bez</w:t>
      </w:r>
      <w:r>
        <w:rPr>
          <w:noProof/>
        </w:rPr>
        <w:t>pečnosti (dále jen „skupina“) sestávající z vnitrostátních orgánů dozoru nad certifikací. Hlavními úkoly skupiny by mělo být poskytování poradenství a pomoci Komisi při její práci směřující k zajištění jednotného provádění a uplatňování evropského rámce pr</w:t>
      </w:r>
      <w:r>
        <w:rPr>
          <w:noProof/>
        </w:rPr>
        <w:t>o certifikaci kybernetické bezpečnosti; pomáhat agentuře a úzce s ní spolupracovat při přípravě návrhů systémů certifikace kybernetické bezpečnosti; doporučovat, aby Komise požádala agenturu, aby vypracovala návrh evropského systému certifikace kybernetick</w:t>
      </w:r>
      <w:r>
        <w:rPr>
          <w:noProof/>
        </w:rPr>
        <w:t>é bezpečnosti; a přijímat stanoviska určená Komisi týkající se zachování a přezkumu stávajících evropských systémů certifikace kybernetické bezpečnosti.</w:t>
      </w:r>
    </w:p>
    <w:p w:rsidR="00557911" w:rsidRDefault="00623804">
      <w:pPr>
        <w:pStyle w:val="ManualConsidrant"/>
        <w:rPr>
          <w:noProof/>
        </w:rPr>
      </w:pPr>
      <w:r>
        <w:t>(61)</w:t>
      </w:r>
      <w:r>
        <w:tab/>
      </w:r>
      <w:r>
        <w:rPr>
          <w:noProof/>
        </w:rPr>
        <w:t>Evropská komise může za účelem zvyšování informovanosti a usnadnění uznávání budoucích systémů evr</w:t>
      </w:r>
      <w:r>
        <w:rPr>
          <w:noProof/>
        </w:rPr>
        <w:t>opské kybernetické bezpečnosti vydávat obecné kybernetické bezpečnostní pokyny nebo kybernetické bezpečnostní pokyny pro konkrétní odvětví, např. osvědčené postupy v oblasti kybernetické bezpečnosti nebo pokyny týkající se odpovědného chování v oblasti kyb</w:t>
      </w:r>
      <w:r>
        <w:rPr>
          <w:noProof/>
        </w:rPr>
        <w:t>ernetické bezpečnosti zdůrazňující pozitivní účinek používání certifikovaných produktů a služeb IKT.</w:t>
      </w:r>
    </w:p>
    <w:p w:rsidR="00557911" w:rsidRDefault="00623804">
      <w:pPr>
        <w:pStyle w:val="ManualConsidrant"/>
        <w:rPr>
          <w:noProof/>
          <w:szCs w:val="24"/>
        </w:rPr>
      </w:pPr>
      <w:r>
        <w:t>(62)</w:t>
      </w:r>
      <w:r>
        <w:tab/>
      </w:r>
      <w:r>
        <w:rPr>
          <w:noProof/>
        </w:rPr>
        <w:t>Podpora certifikace kybernetické bezpečnosti ze strany agentury by rovněž měla zahrnovat spolupráci s Bezpečnostním výborem Rady a s příslušnými vnitr</w:t>
      </w:r>
      <w:r>
        <w:rPr>
          <w:noProof/>
        </w:rPr>
        <w:t>ostátními orgány ohledně schválení kryptografických prostředků u produktů pro použití v sítích podléhajících utajení.</w:t>
      </w:r>
    </w:p>
    <w:p w:rsidR="00557911" w:rsidRDefault="00623804">
      <w:pPr>
        <w:pStyle w:val="ManualConsidrant"/>
        <w:rPr>
          <w:noProof/>
        </w:rPr>
      </w:pPr>
      <w:r>
        <w:t>(63)</w:t>
      </w:r>
      <w:r>
        <w:tab/>
      </w:r>
      <w:r>
        <w:rPr>
          <w:noProof/>
        </w:rPr>
        <w:t xml:space="preserve">Za účelem dalšího upřesnění kritérií pro akreditaci subjektů posuzování shody by měla být na Komisi přenesena pravomoc přijímat akty </w:t>
      </w:r>
      <w:r>
        <w:rPr>
          <w:noProof/>
        </w:rPr>
        <w:t>v souladu s článkem 290 Smlouvy o fungování Evropské unie. Komise by během přípravné činnosti měla provádět příslušné konzultace, včetně konzultací na úrovni odborníků. Tyto konzultace by měly být prováděny v souladu se zásadami stanovenými v interinstituc</w:t>
      </w:r>
      <w:r>
        <w:rPr>
          <w:noProof/>
        </w:rPr>
        <w:t xml:space="preserve">ionální dohodě o zdokonalení tvorby právních předpisů ze dne 13. dubna 2016. Pro zajištění rovné účasti na vypracovávání aktů v přenesené pravomoci by měly Evropský parlament a Rada obdržet veškeré dokumenty současně s odborníky z členských států a jejich </w:t>
      </w:r>
      <w:r>
        <w:rPr>
          <w:noProof/>
        </w:rPr>
        <w:t>odborníci by měly mít automaticky přístup na setkání skupin odborníků Komise, jež se věnují přípravě aktů v přenesené pravomoci.</w:t>
      </w:r>
    </w:p>
    <w:p w:rsidR="00557911" w:rsidRDefault="00623804">
      <w:pPr>
        <w:pStyle w:val="ManualConsidrant"/>
        <w:rPr>
          <w:noProof/>
        </w:rPr>
      </w:pPr>
      <w:r>
        <w:t>(64)</w:t>
      </w:r>
      <w:r>
        <w:tab/>
      </w:r>
      <w:r>
        <w:rPr>
          <w:noProof/>
        </w:rPr>
        <w:t>V zájmu zajištění jednotných podmínek pro provádění tohoto nařízení je třeba svěřit Komisi prováděcí pravomoci v případech</w:t>
      </w:r>
      <w:r>
        <w:rPr>
          <w:noProof/>
        </w:rPr>
        <w:t xml:space="preserve"> stanovených tímto nařízením. Tyto pravomoci by měly být vykonávány v souladu s nařízením (EU) č. 182/2011.</w:t>
      </w:r>
    </w:p>
    <w:p w:rsidR="00557911" w:rsidRDefault="00623804">
      <w:pPr>
        <w:pStyle w:val="ManualConsidrant"/>
        <w:rPr>
          <w:noProof/>
        </w:rPr>
      </w:pPr>
      <w:r>
        <w:t>(65)</w:t>
      </w:r>
      <w:r>
        <w:tab/>
      </w:r>
      <w:r>
        <w:rPr>
          <w:noProof/>
        </w:rPr>
        <w:t>Přezkumný postup by měl být použit pro přijímání prováděcích aktů týkajících se evropských systémů certifikace kybernetické bezpečnosti pro pro</w:t>
      </w:r>
      <w:r>
        <w:rPr>
          <w:noProof/>
        </w:rPr>
        <w:t xml:space="preserve">dukty a služby IKT; způsobů, jakými agentura provádí šetření; jakož i okolností, formátů a postupů oznamování akreditovaných subjektů posuzování shody podávaných vnitrostátními orgány dozoru nad certifikací Komisi. </w:t>
      </w:r>
    </w:p>
    <w:p w:rsidR="00557911" w:rsidRDefault="00623804">
      <w:pPr>
        <w:pStyle w:val="ManualConsidrant"/>
        <w:rPr>
          <w:noProof/>
        </w:rPr>
      </w:pPr>
      <w:r>
        <w:t>(66)</w:t>
      </w:r>
      <w:r>
        <w:tab/>
      </w:r>
      <w:r>
        <w:rPr>
          <w:noProof/>
        </w:rPr>
        <w:t>Činnosti agentury by měly být hodno</w:t>
      </w:r>
      <w:r>
        <w:rPr>
          <w:noProof/>
        </w:rPr>
        <w:t>ceny nezávisle. Hodnocení by se mělo týkat toho, jak agentura dosahuje svých cílů, jejích pracovních postupů a relevantnosti jejích úkolů. Hodnocení by rovněž mělo posuzovat dopad, účinnost a účelnost evropského rámce pro certifikaci kybernetické bezpečnos</w:t>
      </w:r>
      <w:r>
        <w:rPr>
          <w:noProof/>
        </w:rPr>
        <w:t xml:space="preserve">ti. </w:t>
      </w:r>
    </w:p>
    <w:p w:rsidR="00557911" w:rsidRDefault="00623804">
      <w:pPr>
        <w:pStyle w:val="ManualConsidrant"/>
        <w:rPr>
          <w:noProof/>
        </w:rPr>
      </w:pPr>
      <w:r>
        <w:t>(67)</w:t>
      </w:r>
      <w:r>
        <w:tab/>
      </w:r>
      <w:r>
        <w:rPr>
          <w:noProof/>
        </w:rPr>
        <w:t xml:space="preserve">Nařízení (EU) č. 526/2013 by mělo být zrušeno. </w:t>
      </w:r>
    </w:p>
    <w:p w:rsidR="00557911" w:rsidRDefault="00623804">
      <w:pPr>
        <w:pStyle w:val="ManualConsidrant"/>
        <w:rPr>
          <w:noProof/>
        </w:rPr>
      </w:pPr>
      <w:r>
        <w:t>(68)</w:t>
      </w:r>
      <w:r>
        <w:tab/>
      </w:r>
      <w:r>
        <w:rPr>
          <w:noProof/>
        </w:rPr>
        <w:t>Jelikož cílů tohoto nařízení nemůže být uspokojivě dosaženo na úrovni členských států, nýbrž může jich být lépe dosaženo na úrovni Unie, může Unie přijmout opatření v souladu se zásadou subsidi</w:t>
      </w:r>
      <w:r>
        <w:rPr>
          <w:noProof/>
        </w:rPr>
        <w:t>arity stanovenou v článku 5 Smlouvy o Evropské unii. V souladu se zásadou proporcionality stanovenou v uvedeném článku toto nařízení nepřekračuje rámec toho, co je nezbytné pro dosažení uvedeného cíle,</w:t>
      </w:r>
    </w:p>
    <w:p w:rsidR="00557911" w:rsidRDefault="00557911">
      <w:pPr>
        <w:rPr>
          <w:noProof/>
        </w:rPr>
      </w:pPr>
    </w:p>
    <w:p w:rsidR="00557911" w:rsidRDefault="00623804">
      <w:pPr>
        <w:pStyle w:val="Formuledadoption"/>
        <w:rPr>
          <w:noProof/>
        </w:rPr>
      </w:pPr>
      <w:r>
        <w:rPr>
          <w:noProof/>
        </w:rPr>
        <w:t>PŘIJALY TOTO NAŘÍZENÍ:</w:t>
      </w:r>
    </w:p>
    <w:p w:rsidR="00557911" w:rsidRDefault="00623804">
      <w:pPr>
        <w:pStyle w:val="PartTitle"/>
        <w:rPr>
          <w:noProof/>
        </w:rPr>
      </w:pPr>
      <w:bookmarkStart w:id="21" w:name="_Toc492216466"/>
      <w:bookmarkStart w:id="22" w:name="_Toc492216471"/>
      <w:r>
        <w:rPr>
          <w:noProof/>
        </w:rPr>
        <w:t>HLAVA I</w:t>
      </w:r>
      <w:r>
        <w:rPr>
          <w:noProof/>
        </w:rPr>
        <w:br/>
        <w:t>OBECNÁ USTANOVENÍ</w:t>
      </w:r>
      <w:bookmarkEnd w:id="21"/>
    </w:p>
    <w:p w:rsidR="00557911" w:rsidRDefault="00623804">
      <w:pPr>
        <w:pStyle w:val="Titrearticle"/>
        <w:spacing w:before="0" w:after="0"/>
        <w:rPr>
          <w:rFonts w:eastAsia="Times New Roman"/>
          <w:b/>
          <w:noProof/>
        </w:rPr>
      </w:pPr>
      <w:r>
        <w:rPr>
          <w:noProof/>
        </w:rPr>
        <w:t>Článek 1</w:t>
      </w:r>
      <w:r>
        <w:rPr>
          <w:noProof/>
        </w:rPr>
        <w:br/>
      </w:r>
      <w:r>
        <w:rPr>
          <w:b/>
          <w:noProof/>
        </w:rPr>
        <w:t xml:space="preserve">Předmět a oblast působnosti </w:t>
      </w:r>
    </w:p>
    <w:p w:rsidR="00557911" w:rsidRDefault="00623804">
      <w:pPr>
        <w:rPr>
          <w:noProof/>
        </w:rPr>
      </w:pPr>
      <w:r>
        <w:rPr>
          <w:noProof/>
        </w:rPr>
        <w:t>Za účelem zajištění řádného fungování vnitřního trhu a vysoké úrovně kybernetické bezpečnosti, kybernetické odolnosti a důvěry v Unii toto nařízení:</w:t>
      </w:r>
    </w:p>
    <w:p w:rsidR="00557911" w:rsidRDefault="00623804">
      <w:pPr>
        <w:pStyle w:val="Point0"/>
        <w:rPr>
          <w:noProof/>
        </w:rPr>
      </w:pPr>
      <w:r>
        <w:rPr>
          <w:noProof/>
        </w:rPr>
        <w:t>a)</w:t>
      </w:r>
      <w:r>
        <w:rPr>
          <w:noProof/>
        </w:rPr>
        <w:tab/>
        <w:t>stanoví cíle, úkoly a organizační aspekty agentury ENISA, „Agentur</w:t>
      </w:r>
      <w:r>
        <w:rPr>
          <w:noProof/>
        </w:rPr>
        <w:t>y EU pro kybernetickou bezpečnost“, dále jen „agentura“, a</w:t>
      </w:r>
    </w:p>
    <w:p w:rsidR="00557911" w:rsidRDefault="00623804">
      <w:pPr>
        <w:pStyle w:val="Point0"/>
        <w:rPr>
          <w:noProof/>
        </w:rPr>
      </w:pPr>
      <w:r>
        <w:rPr>
          <w:noProof/>
        </w:rPr>
        <w:t>b)</w:t>
      </w:r>
      <w:r>
        <w:rPr>
          <w:noProof/>
        </w:rPr>
        <w:tab/>
        <w:t>stanoví rámec pro zavedení evropského systému certifikace kybernetické bezpečnosti za účelem zajištění odpovídající úrovně kybernetické bezpečnosti produktů a služeb IKT v Unii. Tento rámec se p</w:t>
      </w:r>
      <w:r>
        <w:rPr>
          <w:noProof/>
        </w:rPr>
        <w:t>oužije, aniž jsou dotčena zvláštní ustanovení týkající se dobrovolné nebo povinné certifikace stanovená v jiných právních předpisech Unie.</w:t>
      </w:r>
    </w:p>
    <w:p w:rsidR="00557911" w:rsidRDefault="00557911">
      <w:pPr>
        <w:rPr>
          <w:i/>
          <w:noProof/>
          <w:szCs w:val="24"/>
        </w:rPr>
      </w:pPr>
    </w:p>
    <w:p w:rsidR="00557911" w:rsidRDefault="00623804">
      <w:pPr>
        <w:pStyle w:val="Titrearticle"/>
        <w:spacing w:before="0" w:after="0"/>
        <w:rPr>
          <w:rFonts w:eastAsia="Times New Roman"/>
          <w:b/>
          <w:i w:val="0"/>
          <w:noProof/>
        </w:rPr>
      </w:pPr>
      <w:r>
        <w:rPr>
          <w:noProof/>
        </w:rPr>
        <w:t>Článek 2</w:t>
      </w:r>
      <w:r>
        <w:rPr>
          <w:noProof/>
        </w:rPr>
        <w:br/>
      </w:r>
      <w:r>
        <w:rPr>
          <w:b/>
          <w:noProof/>
        </w:rPr>
        <w:t>Definice</w:t>
      </w:r>
    </w:p>
    <w:p w:rsidR="00557911" w:rsidRDefault="00623804">
      <w:pPr>
        <w:rPr>
          <w:noProof/>
          <w:szCs w:val="24"/>
        </w:rPr>
      </w:pPr>
      <w:r>
        <w:rPr>
          <w:noProof/>
        </w:rPr>
        <w:t xml:space="preserve">Pro účely tohoto nařízení se rozumí: </w:t>
      </w:r>
    </w:p>
    <w:p w:rsidR="00557911" w:rsidRDefault="00623804">
      <w:pPr>
        <w:pStyle w:val="Point0"/>
        <w:rPr>
          <w:noProof/>
        </w:rPr>
      </w:pPr>
      <w:r>
        <w:rPr>
          <w:noProof/>
        </w:rPr>
        <w:t>1)</w:t>
      </w:r>
      <w:r>
        <w:rPr>
          <w:noProof/>
        </w:rPr>
        <w:tab/>
        <w:t xml:space="preserve">„kybernetickou bezpečností“ veškeré činnosti nezbytné k </w:t>
      </w:r>
      <w:r>
        <w:rPr>
          <w:noProof/>
        </w:rPr>
        <w:t>ochraně sítí a informačních systémů, jejich uživatelů a osob dotčených kybernetickými hrozbami;</w:t>
      </w:r>
    </w:p>
    <w:p w:rsidR="00557911" w:rsidRDefault="00623804">
      <w:pPr>
        <w:pStyle w:val="Point0"/>
        <w:rPr>
          <w:noProof/>
        </w:rPr>
      </w:pPr>
      <w:r>
        <w:rPr>
          <w:noProof/>
        </w:rPr>
        <w:t>2)</w:t>
      </w:r>
      <w:r>
        <w:rPr>
          <w:noProof/>
        </w:rPr>
        <w:tab/>
        <w:t xml:space="preserve">„sítí a informačním systémem“ systém ve smyslu čl. 4 bodu 1 směrnice (EU) 2016/1148; </w:t>
      </w:r>
    </w:p>
    <w:p w:rsidR="00557911" w:rsidRDefault="00623804">
      <w:pPr>
        <w:pStyle w:val="Point0"/>
        <w:rPr>
          <w:noProof/>
        </w:rPr>
      </w:pPr>
      <w:r>
        <w:rPr>
          <w:noProof/>
        </w:rPr>
        <w:t>3)</w:t>
      </w:r>
      <w:r>
        <w:rPr>
          <w:noProof/>
        </w:rPr>
        <w:tab/>
        <w:t>„národní strategií pro bezpečnost sítí a informačních systémů“ rámec</w:t>
      </w:r>
      <w:r>
        <w:rPr>
          <w:noProof/>
        </w:rPr>
        <w:t xml:space="preserve"> ve smyslu čl. 4 bodu 3 směrnice (EU) 2016/1148; </w:t>
      </w:r>
    </w:p>
    <w:p w:rsidR="00557911" w:rsidRDefault="00623804">
      <w:pPr>
        <w:pStyle w:val="Point0"/>
        <w:rPr>
          <w:noProof/>
        </w:rPr>
      </w:pPr>
      <w:r>
        <w:rPr>
          <w:noProof/>
        </w:rPr>
        <w:t>4)</w:t>
      </w:r>
      <w:r>
        <w:rPr>
          <w:noProof/>
        </w:rPr>
        <w:tab/>
        <w:t xml:space="preserve">„provozovatelem základních služeb“ veřejný nebo soukromý subjekt definovaný v čl. 4 bodu 4 směrnice (EU) 2016/1148; </w:t>
      </w:r>
    </w:p>
    <w:p w:rsidR="00557911" w:rsidRDefault="00623804">
      <w:pPr>
        <w:pStyle w:val="Point0"/>
        <w:rPr>
          <w:noProof/>
        </w:rPr>
      </w:pPr>
      <w:r>
        <w:rPr>
          <w:noProof/>
        </w:rPr>
        <w:t>5)</w:t>
      </w:r>
      <w:r>
        <w:rPr>
          <w:noProof/>
        </w:rPr>
        <w:tab/>
        <w:t xml:space="preserve">„poskytovatelem digitálních služeb“ jakákoli právnická osoba poskytující digitální </w:t>
      </w:r>
      <w:r>
        <w:rPr>
          <w:noProof/>
        </w:rPr>
        <w:t>službu definovaná v čl. 4 bodu 6 směrnice (EU) 2016/1148;</w:t>
      </w:r>
    </w:p>
    <w:p w:rsidR="00557911" w:rsidRDefault="00623804">
      <w:pPr>
        <w:pStyle w:val="Point0"/>
        <w:rPr>
          <w:noProof/>
        </w:rPr>
      </w:pPr>
      <w:r>
        <w:rPr>
          <w:noProof/>
        </w:rPr>
        <w:t>6)</w:t>
      </w:r>
      <w:r>
        <w:rPr>
          <w:noProof/>
        </w:rPr>
        <w:tab/>
        <w:t>„incidentem“ jakákoliv událost definovaná v čl. 4 bodu 7 směrnice (EU) 2016/1148;</w:t>
      </w:r>
    </w:p>
    <w:p w:rsidR="00557911" w:rsidRDefault="00623804">
      <w:pPr>
        <w:pStyle w:val="Point0"/>
        <w:rPr>
          <w:noProof/>
        </w:rPr>
      </w:pPr>
      <w:r>
        <w:rPr>
          <w:noProof/>
        </w:rPr>
        <w:t>7)</w:t>
      </w:r>
      <w:r>
        <w:rPr>
          <w:noProof/>
        </w:rPr>
        <w:tab/>
        <w:t>„řešením incidentu“ veškeré postupy definované v čl. 4 bodu 8 směrnice (EU) 2016/1148;</w:t>
      </w:r>
    </w:p>
    <w:p w:rsidR="00557911" w:rsidRDefault="00623804">
      <w:pPr>
        <w:pStyle w:val="Point0"/>
        <w:rPr>
          <w:noProof/>
        </w:rPr>
      </w:pPr>
      <w:r>
        <w:rPr>
          <w:noProof/>
        </w:rPr>
        <w:t>8)</w:t>
      </w:r>
      <w:r>
        <w:rPr>
          <w:noProof/>
        </w:rPr>
        <w:tab/>
        <w:t>„kybernetickou hrozb</w:t>
      </w:r>
      <w:r>
        <w:rPr>
          <w:noProof/>
        </w:rPr>
        <w:t>ou“ jakákoliv potenciální okolnost nebo událost, která může nepříznivě ovlivnit sítě a informační systémy, jejich uživatele a dotčené osoby;</w:t>
      </w:r>
    </w:p>
    <w:p w:rsidR="00557911" w:rsidRDefault="00623804">
      <w:pPr>
        <w:pStyle w:val="Point0"/>
        <w:rPr>
          <w:noProof/>
        </w:rPr>
      </w:pPr>
      <w:r>
        <w:rPr>
          <w:noProof/>
        </w:rPr>
        <w:t>9)</w:t>
      </w:r>
      <w:r>
        <w:rPr>
          <w:noProof/>
        </w:rPr>
        <w:tab/>
        <w:t>„evropským systémem certifikace kybernetické bezpečnosti“ komplexní soubor pravidel, technických požadavků, nore</w:t>
      </w:r>
      <w:r>
        <w:rPr>
          <w:noProof/>
        </w:rPr>
        <w:t xml:space="preserve">m a postupů definovaných na úrovni Unie, které se uplatňují na certifikaci produktů a služeb informačních a komunikačních technologií (IKT) spadajících do oblasti působnosti konkrétního systému; </w:t>
      </w:r>
    </w:p>
    <w:p w:rsidR="00557911" w:rsidRDefault="00623804">
      <w:pPr>
        <w:pStyle w:val="Point0"/>
        <w:rPr>
          <w:noProof/>
        </w:rPr>
      </w:pPr>
      <w:r>
        <w:rPr>
          <w:noProof/>
        </w:rPr>
        <w:t>10)</w:t>
      </w:r>
      <w:r>
        <w:rPr>
          <w:noProof/>
        </w:rPr>
        <w:tab/>
        <w:t>„evropským certifikátem kybernetické bezpečnosti“ dokume</w:t>
      </w:r>
      <w:r>
        <w:rPr>
          <w:noProof/>
        </w:rPr>
        <w:t>nt vydaný subjektem posuzování shody, který osvědčuje, že daný produkt nebo služba IKT splňuje konkrétní požadavky stanovené v evropském systému certifikace kybernetické bezpečnosti;</w:t>
      </w:r>
    </w:p>
    <w:p w:rsidR="00557911" w:rsidRDefault="00623804">
      <w:pPr>
        <w:pStyle w:val="Point0"/>
        <w:rPr>
          <w:noProof/>
        </w:rPr>
      </w:pPr>
      <w:r>
        <w:rPr>
          <w:noProof/>
        </w:rPr>
        <w:t>11)</w:t>
      </w:r>
      <w:r>
        <w:rPr>
          <w:noProof/>
        </w:rPr>
        <w:tab/>
        <w:t>„produktem a službou IKT“ jakýkoliv prvek nebo skupina prvků sítí a i</w:t>
      </w:r>
      <w:r>
        <w:rPr>
          <w:noProof/>
        </w:rPr>
        <w:t>nformačních systémů;</w:t>
      </w:r>
    </w:p>
    <w:p w:rsidR="00557911" w:rsidRDefault="00623804">
      <w:pPr>
        <w:pStyle w:val="Point0"/>
        <w:rPr>
          <w:noProof/>
        </w:rPr>
      </w:pPr>
      <w:r>
        <w:rPr>
          <w:noProof/>
        </w:rPr>
        <w:t>12)</w:t>
      </w:r>
      <w:r>
        <w:rPr>
          <w:noProof/>
        </w:rPr>
        <w:tab/>
        <w:t>„akreditací“ akreditace definovaná v čl. 2 bodě 10 nařízení (ES) č. 765/2008;</w:t>
      </w:r>
    </w:p>
    <w:p w:rsidR="00557911" w:rsidRDefault="00623804">
      <w:pPr>
        <w:pStyle w:val="Point0"/>
        <w:rPr>
          <w:noProof/>
        </w:rPr>
      </w:pPr>
      <w:r>
        <w:rPr>
          <w:noProof/>
        </w:rPr>
        <w:t>13)</w:t>
      </w:r>
      <w:r>
        <w:rPr>
          <w:noProof/>
        </w:rPr>
        <w:tab/>
        <w:t>„vnitrostátním akreditačním orgánem“ vnitrostátní akreditační orgán definovaný v čl. 2 bodě 11 nařízení (ES) č. 765/2008;</w:t>
      </w:r>
    </w:p>
    <w:p w:rsidR="00557911" w:rsidRDefault="00623804">
      <w:pPr>
        <w:pStyle w:val="Point0"/>
        <w:rPr>
          <w:noProof/>
        </w:rPr>
      </w:pPr>
      <w:r>
        <w:rPr>
          <w:noProof/>
        </w:rPr>
        <w:t>14)</w:t>
      </w:r>
      <w:r>
        <w:rPr>
          <w:noProof/>
        </w:rPr>
        <w:tab/>
        <w:t>„posouzením shody“ poso</w:t>
      </w:r>
      <w:r>
        <w:rPr>
          <w:noProof/>
        </w:rPr>
        <w:t>uzení shody definované v čl. 2 bodě 12 nařízení (ES) č. 765/2008;</w:t>
      </w:r>
    </w:p>
    <w:p w:rsidR="00557911" w:rsidRDefault="00623804">
      <w:pPr>
        <w:pStyle w:val="Point0"/>
        <w:rPr>
          <w:noProof/>
        </w:rPr>
      </w:pPr>
      <w:r>
        <w:rPr>
          <w:noProof/>
        </w:rPr>
        <w:t>15)</w:t>
      </w:r>
      <w:r>
        <w:rPr>
          <w:noProof/>
        </w:rPr>
        <w:tab/>
        <w:t>„subjektem posuzování shody“ subjekt posuzování shody definovaný v čl. 2 bodě 13 nařízení (ES) č. 765/2008;</w:t>
      </w:r>
    </w:p>
    <w:p w:rsidR="00557911" w:rsidRDefault="00623804">
      <w:pPr>
        <w:pStyle w:val="Point0"/>
        <w:rPr>
          <w:noProof/>
        </w:rPr>
      </w:pPr>
      <w:r>
        <w:rPr>
          <w:noProof/>
        </w:rPr>
        <w:t>16)</w:t>
      </w:r>
      <w:r>
        <w:rPr>
          <w:noProof/>
        </w:rPr>
        <w:tab/>
        <w:t>„normou“ norma ve smyslu čl. 2 bodu 1 nařízení (EU) č. 1025/2012.</w:t>
      </w:r>
    </w:p>
    <w:p w:rsidR="00557911" w:rsidRDefault="00557911">
      <w:pPr>
        <w:rPr>
          <w:noProof/>
        </w:rPr>
      </w:pPr>
    </w:p>
    <w:p w:rsidR="00557911" w:rsidRDefault="00557911">
      <w:pPr>
        <w:rPr>
          <w:noProof/>
        </w:rPr>
      </w:pPr>
    </w:p>
    <w:p w:rsidR="00557911" w:rsidRDefault="00557911">
      <w:pPr>
        <w:rPr>
          <w:noProof/>
        </w:rPr>
      </w:pPr>
    </w:p>
    <w:p w:rsidR="00557911" w:rsidRDefault="00623804">
      <w:pPr>
        <w:pStyle w:val="PartTitle"/>
        <w:rPr>
          <w:noProof/>
        </w:rPr>
      </w:pPr>
      <w:bookmarkStart w:id="23" w:name="_Toc492216467"/>
      <w:r>
        <w:rPr>
          <w:rStyle w:val="TitleChar"/>
          <w:rFonts w:ascii="Times New Roman" w:hAnsi="Times New Roman"/>
          <w:noProof/>
          <w:color w:val="auto"/>
        </w:rPr>
        <w:t>HLAVA</w:t>
      </w:r>
      <w:r>
        <w:rPr>
          <w:rStyle w:val="TitleChar"/>
          <w:rFonts w:ascii="Times New Roman" w:hAnsi="Times New Roman"/>
          <w:noProof/>
          <w:color w:val="auto"/>
        </w:rPr>
        <w:t> II</w:t>
      </w:r>
      <w:r>
        <w:rPr>
          <w:rStyle w:val="TitleChar"/>
          <w:noProof/>
          <w:color w:val="auto"/>
        </w:rPr>
        <w:br/>
      </w:r>
      <w:r>
        <w:rPr>
          <w:noProof/>
        </w:rPr>
        <w:t>ENISA – „Agentura EU pro kybernetickou bezpečnost“</w:t>
      </w:r>
      <w:bookmarkEnd w:id="23"/>
    </w:p>
    <w:p w:rsidR="00557911" w:rsidRDefault="00623804">
      <w:pPr>
        <w:pStyle w:val="ChapterTitle"/>
        <w:rPr>
          <w:noProof/>
        </w:rPr>
      </w:pPr>
      <w:bookmarkStart w:id="24" w:name="_Toc492216468"/>
      <w:r>
        <w:rPr>
          <w:noProof/>
        </w:rPr>
        <w:t>KAPITOLA I</w:t>
      </w:r>
      <w:r>
        <w:rPr>
          <w:noProof/>
        </w:rPr>
        <w:br/>
        <w:t>MANDÁT, CÍLE A ÚKOLY</w:t>
      </w:r>
      <w:bookmarkEnd w:id="24"/>
    </w:p>
    <w:p w:rsidR="00557911" w:rsidRDefault="00623804">
      <w:pPr>
        <w:pStyle w:val="Titrearticle"/>
        <w:spacing w:before="0" w:after="0"/>
        <w:rPr>
          <w:rFonts w:eastAsia="Times New Roman"/>
          <w:b/>
          <w:i w:val="0"/>
          <w:noProof/>
        </w:rPr>
      </w:pPr>
      <w:r>
        <w:rPr>
          <w:noProof/>
        </w:rPr>
        <w:t>Článek 3</w:t>
      </w:r>
      <w:r>
        <w:rPr>
          <w:noProof/>
        </w:rPr>
        <w:br/>
      </w:r>
      <w:r>
        <w:rPr>
          <w:b/>
          <w:noProof/>
        </w:rPr>
        <w:t>Mandát</w:t>
      </w:r>
    </w:p>
    <w:p w:rsidR="00557911" w:rsidRDefault="00623804">
      <w:pPr>
        <w:pStyle w:val="ManualNumPar1"/>
        <w:rPr>
          <w:noProof/>
        </w:rPr>
      </w:pPr>
      <w:r>
        <w:t>1.</w:t>
      </w:r>
      <w:r>
        <w:tab/>
      </w:r>
      <w:r>
        <w:rPr>
          <w:noProof/>
        </w:rPr>
        <w:t>Agentura plní úkoly, které jsou jí uloženy tímto nařízením za účelem zajištění vysoké úrovně kybernetické bezpečnosti v Unii.</w:t>
      </w:r>
      <w:r>
        <w:rPr>
          <w:rStyle w:val="CommentReference"/>
          <w:rFonts w:asciiTheme="minorHAnsi" w:hAnsiTheme="minorHAnsi" w:cstheme="minorBidi"/>
          <w:noProof/>
        </w:rPr>
        <w:t xml:space="preserve"> </w:t>
      </w:r>
    </w:p>
    <w:p w:rsidR="00557911" w:rsidRDefault="00623804">
      <w:pPr>
        <w:pStyle w:val="ManualNumPar1"/>
        <w:rPr>
          <w:noProof/>
        </w:rPr>
      </w:pPr>
      <w:r>
        <w:t>2.</w:t>
      </w:r>
      <w:r>
        <w:tab/>
      </w:r>
      <w:r>
        <w:rPr>
          <w:noProof/>
        </w:rPr>
        <w:t xml:space="preserve">Agentura plní úkoly, které jsou jí svěřeny akty Unie stanovícími opatření pro sbližování právních a správních předpisů členských států týkajících se kybernetické bezpečnosti. </w:t>
      </w:r>
    </w:p>
    <w:p w:rsidR="00557911" w:rsidRDefault="00623804">
      <w:pPr>
        <w:pStyle w:val="ManualNumPar1"/>
        <w:rPr>
          <w:noProof/>
        </w:rPr>
      </w:pPr>
      <w:r>
        <w:t>3.</w:t>
      </w:r>
      <w:r>
        <w:tab/>
      </w:r>
      <w:r>
        <w:rPr>
          <w:noProof/>
        </w:rPr>
        <w:t>Úkoly a cíli agentury nejsou dotčeny pravomoci členských států týkající se ky</w:t>
      </w:r>
      <w:r>
        <w:rPr>
          <w:noProof/>
        </w:rPr>
        <w:t>bernetické bezpečnosti a v žádném případě jimi nejsou dotčeny činnosti týkající se veřejné bezpečnosti, obrany, národní bezpečnosti ani činnosti státu v oblastech trestního práva.</w:t>
      </w:r>
    </w:p>
    <w:p w:rsidR="00557911" w:rsidRDefault="00557911">
      <w:pPr>
        <w:rPr>
          <w:noProof/>
        </w:rPr>
      </w:pPr>
    </w:p>
    <w:p w:rsidR="00557911" w:rsidRDefault="00623804">
      <w:pPr>
        <w:pStyle w:val="Titrearticle"/>
        <w:spacing w:before="0" w:after="0"/>
        <w:rPr>
          <w:rFonts w:eastAsia="Times New Roman"/>
          <w:b/>
          <w:i w:val="0"/>
          <w:noProof/>
        </w:rPr>
      </w:pPr>
      <w:r>
        <w:rPr>
          <w:noProof/>
        </w:rPr>
        <w:t>Článek 4</w:t>
      </w:r>
      <w:r>
        <w:rPr>
          <w:noProof/>
        </w:rPr>
        <w:br/>
      </w:r>
      <w:r>
        <w:rPr>
          <w:b/>
          <w:noProof/>
        </w:rPr>
        <w:t>Cíle</w:t>
      </w:r>
    </w:p>
    <w:p w:rsidR="00557911" w:rsidRDefault="00623804">
      <w:pPr>
        <w:pStyle w:val="ManualNumPar1"/>
        <w:rPr>
          <w:noProof/>
        </w:rPr>
      </w:pPr>
      <w:r>
        <w:t>1.</w:t>
      </w:r>
      <w:r>
        <w:tab/>
      </w:r>
      <w:r>
        <w:rPr>
          <w:noProof/>
        </w:rPr>
        <w:t>Agentura je odborným střediskem pro kybernetickou bezpečno</w:t>
      </w:r>
      <w:r>
        <w:rPr>
          <w:noProof/>
        </w:rPr>
        <w:t xml:space="preserve">st vzhledem ke své nezávislosti, vědecké a technické kvalitě poradenství a pomoci, které poskytuje, a informací, které šíří, transparentnosti svých operativních postupů a metod práce a náležité péči při plnění svých úkolů. </w:t>
      </w:r>
    </w:p>
    <w:p w:rsidR="00557911" w:rsidRDefault="00623804">
      <w:pPr>
        <w:pStyle w:val="ManualNumPar1"/>
        <w:rPr>
          <w:noProof/>
        </w:rPr>
      </w:pPr>
      <w:r>
        <w:t>2.</w:t>
      </w:r>
      <w:r>
        <w:tab/>
      </w:r>
      <w:r>
        <w:rPr>
          <w:noProof/>
        </w:rPr>
        <w:t>Agentura je nápomocna orgánům</w:t>
      </w:r>
      <w:r>
        <w:rPr>
          <w:noProof/>
        </w:rPr>
        <w:t>, institucím a jiným subjektům Unie, jakož i členským státům při vypracovávání a provádění politik týkajících se kybernetické bezpečnosti.</w:t>
      </w:r>
    </w:p>
    <w:p w:rsidR="00557911" w:rsidRDefault="00623804">
      <w:pPr>
        <w:pStyle w:val="ManualNumPar1"/>
        <w:rPr>
          <w:noProof/>
        </w:rPr>
      </w:pPr>
      <w:r>
        <w:t>3.</w:t>
      </w:r>
      <w:r>
        <w:tab/>
      </w:r>
      <w:r>
        <w:rPr>
          <w:noProof/>
        </w:rPr>
        <w:t xml:space="preserve">Agentura podporuje budování a připravenost kapacit v celé Unii tím, že pomáhá Unii, členským státům a zúčastněným </w:t>
      </w:r>
      <w:r>
        <w:rPr>
          <w:noProof/>
        </w:rPr>
        <w:t xml:space="preserve">stranám z veřejného a soukromého sektoru zvyšovat ochranu jejich sítí a informačních systémů, rozvíjet schopnosti a odbornost v oblasti kybernetické bezpečnosti a dosahovat kybernetické odolnosti. </w:t>
      </w:r>
    </w:p>
    <w:p w:rsidR="00557911" w:rsidRDefault="00623804">
      <w:pPr>
        <w:pStyle w:val="ManualNumPar1"/>
        <w:rPr>
          <w:noProof/>
        </w:rPr>
      </w:pPr>
      <w:r>
        <w:t>4.</w:t>
      </w:r>
      <w:r>
        <w:tab/>
      </w:r>
      <w:r>
        <w:rPr>
          <w:noProof/>
        </w:rPr>
        <w:t>Agentura podporuje spolupráci a koordinaci na úrovni Un</w:t>
      </w:r>
      <w:r>
        <w:rPr>
          <w:noProof/>
        </w:rPr>
        <w:t xml:space="preserve">ie mezi členskými státy, orgány, institucemi a jinými subjekty Unie a příslušnými zúčastněnými stranami včetně soukromého sektoru v záležitostech týkajících se kybernetické bezpečnosti. </w:t>
      </w:r>
    </w:p>
    <w:p w:rsidR="00557911" w:rsidRDefault="00623804">
      <w:pPr>
        <w:pStyle w:val="ManualNumPar1"/>
        <w:rPr>
          <w:noProof/>
        </w:rPr>
      </w:pPr>
      <w:r>
        <w:t>5.</w:t>
      </w:r>
      <w:r>
        <w:tab/>
      </w:r>
      <w:r>
        <w:rPr>
          <w:noProof/>
        </w:rPr>
        <w:t xml:space="preserve">Agentura zvyšuje schopnosti v oblasti kybernetické bezpečnosti na </w:t>
      </w:r>
      <w:r>
        <w:rPr>
          <w:noProof/>
        </w:rPr>
        <w:t>úrovni Unie s cílem doplňovat opatření členských států v oblasti předcházení kybernetickým hrozbám a reakce a ně, zejména v případě přeshraničních incidentů.</w:t>
      </w:r>
    </w:p>
    <w:p w:rsidR="00557911" w:rsidRDefault="00623804">
      <w:pPr>
        <w:pStyle w:val="ManualNumPar1"/>
        <w:rPr>
          <w:noProof/>
        </w:rPr>
      </w:pPr>
      <w:r>
        <w:t>6.</w:t>
      </w:r>
      <w:r>
        <w:tab/>
      </w:r>
      <w:r>
        <w:rPr>
          <w:noProof/>
        </w:rPr>
        <w:t>Aby agentura zvýšila transparentnost záruk kybernetické bezpečnosti produktů a služeb IKT, a po</w:t>
      </w:r>
      <w:r>
        <w:rPr>
          <w:noProof/>
        </w:rPr>
        <w:t xml:space="preserve">sílila tím důvěru v digitální vnitřní trh, prosazuje využívání certifikace, mimo jiné tím, že přispívá k zavedení a správě rámce pro certifikaci kybernetické bezpečnosti na úrovni Unie v souladu s hlavou III tohoto nařízení. </w:t>
      </w:r>
    </w:p>
    <w:p w:rsidR="00557911" w:rsidRDefault="00623804">
      <w:pPr>
        <w:pStyle w:val="ManualNumPar1"/>
        <w:rPr>
          <w:noProof/>
        </w:rPr>
      </w:pPr>
      <w:r>
        <w:t>7.</w:t>
      </w:r>
      <w:r>
        <w:tab/>
      </w:r>
      <w:r>
        <w:rPr>
          <w:noProof/>
        </w:rPr>
        <w:t xml:space="preserve">Agentura podporuje vysokou </w:t>
      </w:r>
      <w:r>
        <w:rPr>
          <w:noProof/>
        </w:rPr>
        <w:t xml:space="preserve">úroveň informovanosti občanů a podniků o otázkách týkajících se kybernetické bezpečnosti. </w:t>
      </w:r>
    </w:p>
    <w:p w:rsidR="00557911" w:rsidRDefault="00557911">
      <w:pPr>
        <w:jc w:val="center"/>
        <w:rPr>
          <w:rFonts w:eastAsia="Times New Roman"/>
          <w:i/>
          <w:iCs/>
          <w:noProof/>
          <w:szCs w:val="24"/>
        </w:rPr>
      </w:pPr>
    </w:p>
    <w:p w:rsidR="00557911" w:rsidRDefault="00623804">
      <w:pPr>
        <w:pStyle w:val="Titrearticle"/>
        <w:rPr>
          <w:rFonts w:eastAsia="Times New Roman"/>
          <w:b/>
          <w:noProof/>
        </w:rPr>
      </w:pPr>
      <w:r>
        <w:rPr>
          <w:noProof/>
        </w:rPr>
        <w:t>Článek</w:t>
      </w:r>
      <w:bookmarkStart w:id="25" w:name="bookmark10"/>
      <w:r>
        <w:rPr>
          <w:noProof/>
        </w:rPr>
        <w:t xml:space="preserve"> 5 </w:t>
      </w:r>
      <w:r>
        <w:rPr>
          <w:noProof/>
        </w:rPr>
        <w:br/>
      </w:r>
      <w:r>
        <w:rPr>
          <w:b/>
          <w:noProof/>
        </w:rPr>
        <w:t xml:space="preserve">Úkoly týkající se </w:t>
      </w:r>
      <w:bookmarkEnd w:id="25"/>
      <w:r>
        <w:rPr>
          <w:b/>
          <w:noProof/>
        </w:rPr>
        <w:t>tvorby a provádění politiky a práva Unie</w:t>
      </w:r>
    </w:p>
    <w:p w:rsidR="00557911" w:rsidRDefault="00623804">
      <w:pPr>
        <w:pStyle w:val="Titrearticle"/>
        <w:jc w:val="both"/>
        <w:rPr>
          <w:i w:val="0"/>
          <w:noProof/>
        </w:rPr>
      </w:pPr>
      <w:r>
        <w:rPr>
          <w:i w:val="0"/>
          <w:noProof/>
        </w:rPr>
        <w:t>Agentura přispívá k tvorbě a provádění politiky a práva Unie tím, že:</w:t>
      </w:r>
    </w:p>
    <w:p w:rsidR="00557911" w:rsidRDefault="00623804">
      <w:pPr>
        <w:pStyle w:val="ManualNumPar1"/>
        <w:rPr>
          <w:noProof/>
        </w:rPr>
      </w:pPr>
      <w:r>
        <w:t>1.</w:t>
      </w:r>
      <w:r>
        <w:tab/>
      </w:r>
      <w:r>
        <w:rPr>
          <w:noProof/>
        </w:rPr>
        <w:t>je nápomocna a poskytu</w:t>
      </w:r>
      <w:r>
        <w:rPr>
          <w:noProof/>
        </w:rPr>
        <w:t>je poradenství ohledně tvorby a přezkumu politiky a práva Unie v oblasti kybernetické bezpečnosti, jakož i ohledně odvětvových politik a iniciativ v oblasti práva, pokud se tyto politiky a iniciativy týkají záležitostí souvisejících s kybernetickou bezpečn</w:t>
      </w:r>
      <w:r>
        <w:rPr>
          <w:noProof/>
        </w:rPr>
        <w:t xml:space="preserve">ostí, a to zejména poskytováním svých nezávislých stanovisek a zajišťováním přípravných činností; </w:t>
      </w:r>
    </w:p>
    <w:p w:rsidR="00557911" w:rsidRDefault="00623804">
      <w:pPr>
        <w:pStyle w:val="ManualNumPar1"/>
        <w:rPr>
          <w:noProof/>
        </w:rPr>
      </w:pPr>
      <w:r>
        <w:t>2.</w:t>
      </w:r>
      <w:r>
        <w:tab/>
      </w:r>
      <w:r>
        <w:rPr>
          <w:noProof/>
        </w:rPr>
        <w:t>je nápomocna členským státům při jednotném uplatňování politiky a práva Unie v oblasti kybernetické bezpečnosti, zejména pokud jde o směrnici (EU) 2016/11</w:t>
      </w:r>
      <w:r>
        <w:rPr>
          <w:noProof/>
        </w:rPr>
        <w:t xml:space="preserve">48, mimo jiné formou stanovisek, pokynů, poradenství a osvědčených postupů týkajících se témat jako řízení rizik, hlášení incidentů a sdílení informací, jakož i usnadňováním výměny souvisejících osvědčených postupů mezi příslušnými orgány; </w:t>
      </w:r>
    </w:p>
    <w:p w:rsidR="00557911" w:rsidRDefault="00623804">
      <w:pPr>
        <w:pStyle w:val="ManualNumPar1"/>
        <w:rPr>
          <w:noProof/>
        </w:rPr>
      </w:pPr>
      <w:r>
        <w:t>3.</w:t>
      </w:r>
      <w:r>
        <w:tab/>
      </w:r>
      <w:r>
        <w:rPr>
          <w:noProof/>
        </w:rPr>
        <w:t>přispívá k č</w:t>
      </w:r>
      <w:r>
        <w:rPr>
          <w:noProof/>
        </w:rPr>
        <w:t>innosti skupiny pro spolupráci podle článku 11 směrnice (EU) 2016/1148 poskytováním svých odborných poznatků a pomoci;</w:t>
      </w:r>
    </w:p>
    <w:p w:rsidR="00557911" w:rsidRDefault="00623804">
      <w:pPr>
        <w:pStyle w:val="ManualNumPar1"/>
        <w:rPr>
          <w:noProof/>
        </w:rPr>
      </w:pPr>
      <w:r>
        <w:t>4.</w:t>
      </w:r>
      <w:r>
        <w:tab/>
      </w:r>
      <w:r>
        <w:rPr>
          <w:noProof/>
        </w:rPr>
        <w:t>podporuje:</w:t>
      </w:r>
    </w:p>
    <w:p w:rsidR="00557911" w:rsidRDefault="00623804">
      <w:pPr>
        <w:pStyle w:val="Point2"/>
        <w:rPr>
          <w:noProof/>
        </w:rPr>
      </w:pPr>
      <w:r>
        <w:rPr>
          <w:noProof/>
        </w:rPr>
        <w:t>1)</w:t>
      </w:r>
      <w:r>
        <w:rPr>
          <w:noProof/>
        </w:rPr>
        <w:tab/>
        <w:t>tvorbu a provádění politiky Unie v oblasti elektronické identity a služeb vytvářejících důvěru, zejména poskytováním por</w:t>
      </w:r>
      <w:r>
        <w:rPr>
          <w:noProof/>
        </w:rPr>
        <w:t xml:space="preserve">adenství a technických pokynů, jakož i usnadňováním výměny osvědčených postupů mezi příslušnými orgány; </w:t>
      </w:r>
    </w:p>
    <w:p w:rsidR="00557911" w:rsidRDefault="00623804">
      <w:pPr>
        <w:pStyle w:val="Point2"/>
        <w:rPr>
          <w:noProof/>
        </w:rPr>
      </w:pPr>
      <w:r>
        <w:rPr>
          <w:noProof/>
        </w:rPr>
        <w:t>2)</w:t>
      </w:r>
      <w:r>
        <w:rPr>
          <w:noProof/>
        </w:rPr>
        <w:tab/>
        <w:t>prosazování vyšší úrovně bezpečnosti elektronických komunikací, mimo jiné poskytováním odborných poznatků a poradenství a usnadňováním výměny osvědč</w:t>
      </w:r>
      <w:r>
        <w:rPr>
          <w:noProof/>
        </w:rPr>
        <w:t>ených postupů mezi příslušnými orgány;</w:t>
      </w:r>
    </w:p>
    <w:p w:rsidR="00557911" w:rsidRDefault="00623804">
      <w:pPr>
        <w:pStyle w:val="ManualNumPar1"/>
        <w:rPr>
          <w:noProof/>
        </w:rPr>
      </w:pPr>
      <w:r>
        <w:t>5.</w:t>
      </w:r>
      <w:r>
        <w:tab/>
      </w:r>
      <w:r>
        <w:rPr>
          <w:noProof/>
        </w:rPr>
        <w:t>podporuje pravidelný přezkum činností v oblasti politiky Unie tím, že poskytuje výroční zprávu o stavu provádění příslušného právního rámce týkajícího se:</w:t>
      </w:r>
    </w:p>
    <w:p w:rsidR="00557911" w:rsidRDefault="00623804">
      <w:pPr>
        <w:pStyle w:val="Point1"/>
        <w:rPr>
          <w:noProof/>
        </w:rPr>
      </w:pPr>
      <w:r>
        <w:rPr>
          <w:noProof/>
        </w:rPr>
        <w:t>a)</w:t>
      </w:r>
      <w:r>
        <w:rPr>
          <w:noProof/>
        </w:rPr>
        <w:tab/>
        <w:t>hlášení incidentů členských států podaných jednotným kon</w:t>
      </w:r>
      <w:r>
        <w:rPr>
          <w:noProof/>
        </w:rPr>
        <w:t>taktním místem skupině pro spolupráci podle čl. 10 odst. 3 směrnice (EU) 2016/1148;</w:t>
      </w:r>
    </w:p>
    <w:p w:rsidR="00557911" w:rsidRDefault="00623804">
      <w:pPr>
        <w:pStyle w:val="Point1"/>
        <w:rPr>
          <w:noProof/>
        </w:rPr>
      </w:pPr>
      <w:r>
        <w:rPr>
          <w:noProof/>
        </w:rPr>
        <w:t>b)</w:t>
      </w:r>
      <w:r>
        <w:rPr>
          <w:noProof/>
        </w:rPr>
        <w:tab/>
        <w:t>oznámení o narušení bezpečnosti a ztrátě integrity týkajících se poskytovatelů služeb vytvářejících důvěru, které agentuře poskytly orgány dohledu podle čl. 19 odst. 3 n</w:t>
      </w:r>
      <w:r>
        <w:rPr>
          <w:noProof/>
        </w:rPr>
        <w:t>ařízení (EU) 910/2014;</w:t>
      </w:r>
    </w:p>
    <w:p w:rsidR="00557911" w:rsidRDefault="00623804">
      <w:pPr>
        <w:pStyle w:val="Point1"/>
        <w:rPr>
          <w:noProof/>
        </w:rPr>
      </w:pPr>
      <w:r>
        <w:rPr>
          <w:noProof/>
        </w:rPr>
        <w:t>c)</w:t>
      </w:r>
      <w:r>
        <w:rPr>
          <w:noProof/>
        </w:rPr>
        <w:tab/>
        <w:t>oznámení o narušení bezpečnosti předaných podniky poskytujícími veřejné komunikační sítě nebo veřejně dostupné služby elektronických komunikací, které agentuře poskytly příslušné orgány podle článku 40 [směrnice, kterou se stanoví</w:t>
      </w:r>
      <w:r>
        <w:rPr>
          <w:noProof/>
        </w:rPr>
        <w:t xml:space="preserve"> evropský kodex pro elektronické komunikace].</w:t>
      </w:r>
    </w:p>
    <w:p w:rsidR="00557911" w:rsidRDefault="00557911">
      <w:pPr>
        <w:rPr>
          <w:noProof/>
        </w:rPr>
      </w:pPr>
    </w:p>
    <w:p w:rsidR="00557911" w:rsidRDefault="00557911">
      <w:pPr>
        <w:rPr>
          <w:noProof/>
          <w:szCs w:val="24"/>
        </w:rPr>
      </w:pPr>
    </w:p>
    <w:p w:rsidR="00557911" w:rsidRDefault="00623804">
      <w:pPr>
        <w:pStyle w:val="Titrearticle"/>
        <w:rPr>
          <w:rFonts w:eastAsia="Times New Roman"/>
          <w:b/>
          <w:noProof/>
        </w:rPr>
      </w:pPr>
      <w:r>
        <w:rPr>
          <w:noProof/>
        </w:rPr>
        <w:t>Článek </w:t>
      </w:r>
      <w:bookmarkStart w:id="26" w:name="bookmark11"/>
      <w:r>
        <w:rPr>
          <w:noProof/>
        </w:rPr>
        <w:t xml:space="preserve">6 </w:t>
      </w:r>
      <w:r>
        <w:rPr>
          <w:noProof/>
        </w:rPr>
        <w:br/>
      </w:r>
      <w:r>
        <w:rPr>
          <w:b/>
          <w:i w:val="0"/>
          <w:noProof/>
        </w:rPr>
        <w:t xml:space="preserve">Úkoly týkající se </w:t>
      </w:r>
      <w:bookmarkEnd w:id="26"/>
      <w:r>
        <w:rPr>
          <w:b/>
          <w:i w:val="0"/>
          <w:noProof/>
        </w:rPr>
        <w:t>budování kapacit</w:t>
      </w:r>
    </w:p>
    <w:p w:rsidR="00557911" w:rsidRDefault="00623804">
      <w:pPr>
        <w:pStyle w:val="ManualNumPar1"/>
        <w:rPr>
          <w:noProof/>
        </w:rPr>
      </w:pPr>
      <w:r>
        <w:t>1.</w:t>
      </w:r>
      <w:r>
        <w:tab/>
      </w:r>
      <w:r>
        <w:rPr>
          <w:noProof/>
        </w:rPr>
        <w:t>Agentura je nápomocna:</w:t>
      </w:r>
    </w:p>
    <w:p w:rsidR="00557911" w:rsidRDefault="00623804">
      <w:pPr>
        <w:pStyle w:val="Point0"/>
        <w:rPr>
          <w:noProof/>
        </w:rPr>
      </w:pPr>
      <w:r>
        <w:rPr>
          <w:noProof/>
        </w:rPr>
        <w:t>a)</w:t>
      </w:r>
      <w:r>
        <w:rPr>
          <w:noProof/>
        </w:rPr>
        <w:tab/>
      </w:r>
      <w:r>
        <w:rPr>
          <w:noProof/>
        </w:rPr>
        <w:t xml:space="preserve">členským státům v jejich úsilí zdokonalovat prevenci, odhalování a analýzu kybernetických bezpečnostních problémů a incidentů a schopnost na ně reagovat, a to tím, že jim poskytuje nezbytné znalosti a odborné poznatky; </w:t>
      </w:r>
    </w:p>
    <w:p w:rsidR="00557911" w:rsidRDefault="00623804">
      <w:pPr>
        <w:pStyle w:val="Point0"/>
        <w:rPr>
          <w:noProof/>
        </w:rPr>
      </w:pPr>
      <w:r>
        <w:rPr>
          <w:noProof/>
        </w:rPr>
        <w:t>b)</w:t>
      </w:r>
      <w:r>
        <w:rPr>
          <w:noProof/>
        </w:rPr>
        <w:tab/>
        <w:t>orgánům, institucím a jiným subje</w:t>
      </w:r>
      <w:r>
        <w:rPr>
          <w:noProof/>
        </w:rPr>
        <w:t>ktům Unie v jejich úsilí zdokonalovat prevenci, odhalování a analýzu kybernetických bezpečnostních problémů a incidentů a schopnost na ně reagovat, a to tím, že poskytuje odpovídající podporu týmu CERT pro orgány, instituce a jiné subjekty Unie (CERT-EU);</w:t>
      </w:r>
    </w:p>
    <w:p w:rsidR="00557911" w:rsidRDefault="00623804">
      <w:pPr>
        <w:pStyle w:val="Point0"/>
        <w:rPr>
          <w:noProof/>
        </w:rPr>
      </w:pPr>
      <w:r>
        <w:rPr>
          <w:noProof/>
        </w:rPr>
        <w:t>c)</w:t>
      </w:r>
      <w:r>
        <w:rPr>
          <w:noProof/>
        </w:rPr>
        <w:tab/>
        <w:t>členským státům na jejich žádost při budování vnitrostátních týmů pro reakci na počítačové bezpečnostní incidenty (CSIRT) podle čl. 9 odst. 5 směrnice (EU) 2016/1148;</w:t>
      </w:r>
    </w:p>
    <w:p w:rsidR="00557911" w:rsidRDefault="00623804">
      <w:pPr>
        <w:pStyle w:val="Point0"/>
        <w:rPr>
          <w:noProof/>
        </w:rPr>
      </w:pPr>
      <w:r>
        <w:rPr>
          <w:noProof/>
        </w:rPr>
        <w:t>d)</w:t>
      </w:r>
      <w:r>
        <w:rPr>
          <w:noProof/>
        </w:rPr>
        <w:tab/>
        <w:t>členským státům na jejich žádost při vypracovávání národních strategií pro bezpečno</w:t>
      </w:r>
      <w:r>
        <w:rPr>
          <w:noProof/>
        </w:rPr>
        <w:t xml:space="preserve">st sítí a informačních systémů podle čl. 7 odst. 2 směrnice (EU) 2016/1148; agentura za účelem prosazování osvědčených postupů rovněž podporuje šíření těchto strategií v Unii a sleduje pokrok při jejich provádění; </w:t>
      </w:r>
    </w:p>
    <w:p w:rsidR="00557911" w:rsidRDefault="00623804">
      <w:pPr>
        <w:pStyle w:val="Point0"/>
        <w:rPr>
          <w:noProof/>
        </w:rPr>
      </w:pPr>
      <w:r>
        <w:rPr>
          <w:noProof/>
        </w:rPr>
        <w:t>e)</w:t>
      </w:r>
      <w:r>
        <w:rPr>
          <w:noProof/>
        </w:rPr>
        <w:tab/>
        <w:t>orgánům Unie při vypracovávání a přezk</w:t>
      </w:r>
      <w:r>
        <w:rPr>
          <w:noProof/>
        </w:rPr>
        <w:t xml:space="preserve">umu strategií Unie týkajících se kybernetické bezpečnosti tím, že podporuje jejich šíření a sleduje pokrok při jejich provádění; </w:t>
      </w:r>
    </w:p>
    <w:p w:rsidR="00557911" w:rsidRDefault="00623804">
      <w:pPr>
        <w:pStyle w:val="Point0"/>
        <w:rPr>
          <w:noProof/>
        </w:rPr>
      </w:pPr>
      <w:r>
        <w:rPr>
          <w:noProof/>
        </w:rPr>
        <w:t>f)</w:t>
      </w:r>
      <w:r>
        <w:rPr>
          <w:noProof/>
        </w:rPr>
        <w:tab/>
        <w:t xml:space="preserve">vnitrostátním a unijním týmům CSIRT při zvyšování úrovně jejich schopností, mimo jiné podporou dialogu a výměnou informací </w:t>
      </w:r>
      <w:r>
        <w:rPr>
          <w:noProof/>
        </w:rPr>
        <w:t>za účelem zajištění toho, aby s ohledem na aktuální stav každý tým CSIRT vykazoval společný soubor minimálních schopností a pracoval v souladu s osvědčenými postupy;</w:t>
      </w:r>
    </w:p>
    <w:p w:rsidR="00557911" w:rsidRDefault="00623804">
      <w:pPr>
        <w:pStyle w:val="Point0"/>
        <w:rPr>
          <w:noProof/>
        </w:rPr>
      </w:pPr>
      <w:r>
        <w:rPr>
          <w:noProof/>
        </w:rPr>
        <w:t>g)</w:t>
      </w:r>
      <w:r>
        <w:rPr>
          <w:noProof/>
        </w:rPr>
        <w:tab/>
        <w:t>členským státům tím, že každý rok zorganizuje rozsáhlé cvičení v oblasti kybernetické b</w:t>
      </w:r>
      <w:r>
        <w:rPr>
          <w:noProof/>
        </w:rPr>
        <w:t xml:space="preserve">ezpečnosti na úrovni EU podle čl. 7 odst. 6 a na základě vyhodnocení těchto cvičení a poznatků z těchto cvičení předloží politická doporučení; </w:t>
      </w:r>
    </w:p>
    <w:p w:rsidR="00557911" w:rsidRDefault="00623804">
      <w:pPr>
        <w:pStyle w:val="Point0"/>
        <w:rPr>
          <w:noProof/>
        </w:rPr>
      </w:pPr>
      <w:r>
        <w:rPr>
          <w:noProof/>
        </w:rPr>
        <w:t>h)</w:t>
      </w:r>
      <w:r>
        <w:rPr>
          <w:noProof/>
        </w:rPr>
        <w:tab/>
        <w:t>příslušným veřejným orgánům tím, že jim nabídne školení v oblasti kybernetické bezpečnosti, případně ve spolu</w:t>
      </w:r>
      <w:r>
        <w:rPr>
          <w:noProof/>
        </w:rPr>
        <w:t>práci se zúčastněnými stranami;</w:t>
      </w:r>
    </w:p>
    <w:p w:rsidR="00557911" w:rsidRDefault="00623804">
      <w:pPr>
        <w:pStyle w:val="Point0"/>
        <w:rPr>
          <w:noProof/>
        </w:rPr>
      </w:pPr>
      <w:r>
        <w:rPr>
          <w:noProof/>
        </w:rPr>
        <w:t>i)</w:t>
      </w:r>
      <w:r>
        <w:rPr>
          <w:noProof/>
        </w:rPr>
        <w:tab/>
        <w:t>skupině pro spolupráci tím, že podle čl. 11 odst. 3 písm. l) směrnice (EU) 2016/1148 zajišťuje výměnu osvědčených postupů, zejména pro určování provozovatelů základních služeb členskými státy, a to rovněž ve vztahu k přes</w:t>
      </w:r>
      <w:r>
        <w:rPr>
          <w:noProof/>
        </w:rPr>
        <w:t>hraničním vazbám, souvisejících s riziky a incidenty.</w:t>
      </w:r>
    </w:p>
    <w:p w:rsidR="00557911" w:rsidRDefault="00623804">
      <w:pPr>
        <w:pStyle w:val="ManualNumPar1"/>
        <w:rPr>
          <w:noProof/>
        </w:rPr>
      </w:pPr>
      <w:r>
        <w:t>2.</w:t>
      </w:r>
      <w:r>
        <w:tab/>
      </w:r>
      <w:r>
        <w:rPr>
          <w:noProof/>
        </w:rPr>
        <w:t>Agentura usnadňuje zřizování odvětvových středisek pro sdílení a analýzu informací (ISAC), zejména v odvětvích uvedených v příloze II směrnice (EU) 2016/1148, a průběžně je podporuje poskytováním osv</w:t>
      </w:r>
      <w:r>
        <w:rPr>
          <w:noProof/>
        </w:rPr>
        <w:t>ědčených postupů a vydáváním pokynů k dostupným nástrojům a postupům, jakož i k řešení regulačních otázek týkajících se sdílení informací.</w:t>
      </w:r>
    </w:p>
    <w:p w:rsidR="00557911" w:rsidRDefault="00557911">
      <w:pPr>
        <w:rPr>
          <w:noProof/>
          <w:szCs w:val="24"/>
        </w:rPr>
      </w:pPr>
    </w:p>
    <w:p w:rsidR="00557911" w:rsidRDefault="00557911">
      <w:pPr>
        <w:rPr>
          <w:noProof/>
          <w:szCs w:val="24"/>
        </w:rPr>
      </w:pPr>
    </w:p>
    <w:p w:rsidR="00557911" w:rsidRDefault="00557911">
      <w:pPr>
        <w:rPr>
          <w:noProof/>
          <w:szCs w:val="24"/>
        </w:rPr>
      </w:pPr>
    </w:p>
    <w:p w:rsidR="00557911" w:rsidRDefault="00623804">
      <w:pPr>
        <w:pStyle w:val="Titrearticle"/>
        <w:rPr>
          <w:rFonts w:eastAsia="Times New Roman"/>
          <w:b/>
          <w:noProof/>
        </w:rPr>
      </w:pPr>
      <w:r>
        <w:rPr>
          <w:noProof/>
        </w:rPr>
        <w:t>Článek 7</w:t>
      </w:r>
      <w:r>
        <w:rPr>
          <w:noProof/>
        </w:rPr>
        <w:br/>
      </w:r>
      <w:r>
        <w:rPr>
          <w:b/>
          <w:i w:val="0"/>
          <w:noProof/>
        </w:rPr>
        <w:t>Úkoly týkající se operativní spolupráce na úrovni Unie</w:t>
      </w:r>
    </w:p>
    <w:p w:rsidR="00557911" w:rsidRDefault="00623804">
      <w:pPr>
        <w:pStyle w:val="ManualNumPar1"/>
        <w:rPr>
          <w:noProof/>
        </w:rPr>
      </w:pPr>
      <w:r>
        <w:t>1.</w:t>
      </w:r>
      <w:r>
        <w:tab/>
      </w:r>
      <w:r>
        <w:rPr>
          <w:noProof/>
        </w:rPr>
        <w:t xml:space="preserve">Agentura podporuje operativní spolupráci mezi </w:t>
      </w:r>
      <w:r>
        <w:rPr>
          <w:noProof/>
        </w:rPr>
        <w:t>příslušnými veřejnými orgány a mezi zúčastněnými stranami.</w:t>
      </w:r>
    </w:p>
    <w:p w:rsidR="00557911" w:rsidRDefault="00623804">
      <w:pPr>
        <w:pStyle w:val="ManualNumPar1"/>
        <w:rPr>
          <w:noProof/>
        </w:rPr>
      </w:pPr>
      <w:r>
        <w:t>2.</w:t>
      </w:r>
      <w:r>
        <w:tab/>
      </w:r>
      <w:r>
        <w:rPr>
          <w:noProof/>
        </w:rPr>
        <w:t>Agentura na operativní úrovni spolupracuje a vytváří synergie s orgány, institucemi a jinými subjekty Unie, včetně týmu CERT-EU, útvarů zabývajících se kyberkriminalitou a orgánů dozoru zabývají</w:t>
      </w:r>
      <w:r>
        <w:rPr>
          <w:noProof/>
        </w:rPr>
        <w:t>cích se ochranou soukromí a osobních údajů, s cílem řešit otázky společného zájmu, včetně:</w:t>
      </w:r>
    </w:p>
    <w:p w:rsidR="00557911" w:rsidRDefault="00623804">
      <w:pPr>
        <w:pStyle w:val="Point1"/>
        <w:rPr>
          <w:noProof/>
        </w:rPr>
      </w:pPr>
      <w:r>
        <w:rPr>
          <w:noProof/>
        </w:rPr>
        <w:t>a)</w:t>
      </w:r>
      <w:r>
        <w:rPr>
          <w:noProof/>
        </w:rPr>
        <w:tab/>
        <w:t xml:space="preserve">výměny </w:t>
      </w:r>
      <w:r>
        <w:rPr>
          <w:i/>
          <w:noProof/>
        </w:rPr>
        <w:t>know-how</w:t>
      </w:r>
      <w:r>
        <w:rPr>
          <w:noProof/>
        </w:rPr>
        <w:t xml:space="preserve"> a osvědčených postupů;</w:t>
      </w:r>
    </w:p>
    <w:p w:rsidR="00557911" w:rsidRDefault="00623804">
      <w:pPr>
        <w:pStyle w:val="Point1"/>
        <w:rPr>
          <w:noProof/>
        </w:rPr>
      </w:pPr>
      <w:r>
        <w:rPr>
          <w:noProof/>
        </w:rPr>
        <w:t>b)</w:t>
      </w:r>
      <w:r>
        <w:rPr>
          <w:noProof/>
        </w:rPr>
        <w:tab/>
        <w:t>poskytování poradenství a pokynů týkajících se příslušných otázek souvisejících s kyberkriminalitou;</w:t>
      </w:r>
    </w:p>
    <w:p w:rsidR="00557911" w:rsidRDefault="00623804">
      <w:pPr>
        <w:pStyle w:val="Point1"/>
        <w:rPr>
          <w:noProof/>
        </w:rPr>
      </w:pPr>
      <w:r>
        <w:rPr>
          <w:noProof/>
        </w:rPr>
        <w:t>c)</w:t>
      </w:r>
      <w:r>
        <w:rPr>
          <w:noProof/>
        </w:rPr>
        <w:tab/>
        <w:t xml:space="preserve">po konzultaci s </w:t>
      </w:r>
      <w:r>
        <w:rPr>
          <w:noProof/>
        </w:rPr>
        <w:t>Komisí zavádění praktických opatření pro výkon konkrétních úkolů.</w:t>
      </w:r>
    </w:p>
    <w:p w:rsidR="00557911" w:rsidRDefault="00623804">
      <w:pPr>
        <w:pStyle w:val="ManualNumPar1"/>
        <w:rPr>
          <w:noProof/>
        </w:rPr>
      </w:pPr>
      <w:r>
        <w:t>3.</w:t>
      </w:r>
      <w:r>
        <w:tab/>
      </w:r>
      <w:r>
        <w:rPr>
          <w:noProof/>
        </w:rPr>
        <w:t>Agentura zajistí služby sekretariátu sítě CSIRT podle čl. 12 odst. 2 směrnice (EU) 2016/1148 a aktivně usnadňuje sdílení informací a spolupráci mezi jejími členy.</w:t>
      </w:r>
    </w:p>
    <w:p w:rsidR="00557911" w:rsidRDefault="00623804">
      <w:pPr>
        <w:pStyle w:val="ManualNumPar1"/>
        <w:rPr>
          <w:noProof/>
        </w:rPr>
      </w:pPr>
      <w:r>
        <w:t>4.</w:t>
      </w:r>
      <w:r>
        <w:tab/>
      </w:r>
      <w:r>
        <w:rPr>
          <w:noProof/>
        </w:rPr>
        <w:t>Agentura přispívá k o</w:t>
      </w:r>
      <w:r>
        <w:rPr>
          <w:noProof/>
        </w:rPr>
        <w:t xml:space="preserve">perativní spolupráci v rámci sítě CSIRT a poskytuje podporu členským státům tím, že: </w:t>
      </w:r>
    </w:p>
    <w:p w:rsidR="00557911" w:rsidRDefault="00623804">
      <w:pPr>
        <w:pStyle w:val="Point1"/>
        <w:rPr>
          <w:noProof/>
        </w:rPr>
      </w:pPr>
      <w:r>
        <w:rPr>
          <w:noProof/>
        </w:rPr>
        <w:t>a)</w:t>
      </w:r>
      <w:r>
        <w:rPr>
          <w:noProof/>
        </w:rPr>
        <w:tab/>
        <w:t>poskytuje poradenství, jak zlepšit jejich schopnosti předcházet, odhalovat a reagovat na incidenty;</w:t>
      </w:r>
    </w:p>
    <w:p w:rsidR="00557911" w:rsidRDefault="00623804">
      <w:pPr>
        <w:pStyle w:val="Point1"/>
        <w:rPr>
          <w:noProof/>
        </w:rPr>
      </w:pPr>
      <w:r>
        <w:rPr>
          <w:noProof/>
        </w:rPr>
        <w:t>b)</w:t>
      </w:r>
      <w:r>
        <w:rPr>
          <w:noProof/>
        </w:rPr>
        <w:tab/>
        <w:t xml:space="preserve">poskytuje na jejich žádost technickou pomoc v případě incidentů </w:t>
      </w:r>
      <w:r>
        <w:rPr>
          <w:noProof/>
        </w:rPr>
        <w:t>se závažným nebo významným dopadem;</w:t>
      </w:r>
    </w:p>
    <w:p w:rsidR="00557911" w:rsidRDefault="00623804">
      <w:pPr>
        <w:pStyle w:val="Point1"/>
        <w:rPr>
          <w:noProof/>
        </w:rPr>
      </w:pPr>
      <w:r>
        <w:rPr>
          <w:noProof/>
        </w:rPr>
        <w:t>c)</w:t>
      </w:r>
      <w:r>
        <w:rPr>
          <w:noProof/>
        </w:rPr>
        <w:tab/>
        <w:t>analyzuje zranitelnosti, artefakty a incidenty.</w:t>
      </w:r>
    </w:p>
    <w:p w:rsidR="00557911" w:rsidRDefault="00623804">
      <w:pPr>
        <w:rPr>
          <w:noProof/>
        </w:rPr>
      </w:pPr>
      <w:r>
        <w:rPr>
          <w:noProof/>
        </w:rPr>
        <w:t>Při provádění těchto úkolů se agentura a tým CERT-EU zapojí do strukturované spolupráce, aby využily synergií, zejména pokud jde o operativní aspekty.</w:t>
      </w:r>
    </w:p>
    <w:p w:rsidR="00557911" w:rsidRDefault="00623804">
      <w:pPr>
        <w:pStyle w:val="ManualNumPar1"/>
        <w:rPr>
          <w:noProof/>
        </w:rPr>
      </w:pPr>
      <w:r>
        <w:t>5.</w:t>
      </w:r>
      <w:r>
        <w:tab/>
      </w:r>
      <w:r>
        <w:rPr>
          <w:noProof/>
        </w:rPr>
        <w:t xml:space="preserve">Na žádost jednoho nebo více dotčených členských států a výhradně pro účely poskytování poradenství ohledně předcházení budoucím incidentům agentura může provádět technická šetření </w:t>
      </w:r>
      <w:r>
        <w:rPr>
          <w:i/>
          <w:noProof/>
        </w:rPr>
        <w:t>ex post</w:t>
      </w:r>
      <w:r>
        <w:rPr>
          <w:noProof/>
        </w:rPr>
        <w:t>, nebo k nim poskytovat podporu, a to v návaznosti na oznámení dotčen</w:t>
      </w:r>
      <w:r>
        <w:rPr>
          <w:noProof/>
        </w:rPr>
        <w:t>ých podniků o incidentech se závažným nebo významným dopadem podle směrnice (EU) 2016/1148. V případě, že tyto incidenty mají dopad na více než dva členské státy, agentura toto šetření provede rovněž na řádně odůvodněnou žádost Komise po dohodě s dotčenými</w:t>
      </w:r>
      <w:r>
        <w:rPr>
          <w:noProof/>
        </w:rPr>
        <w:t xml:space="preserve"> členskými státy.</w:t>
      </w:r>
    </w:p>
    <w:p w:rsidR="00557911" w:rsidRDefault="00623804">
      <w:pPr>
        <w:pStyle w:val="Text1"/>
        <w:rPr>
          <w:noProof/>
        </w:rPr>
      </w:pPr>
      <w:r>
        <w:rPr>
          <w:noProof/>
        </w:rPr>
        <w:t>Rozsah šetření a postupy, jež se při provádění tohoto šetření použijí, schválí dotčené členské státy a agentura, přičemž tímto šetřením není dotčeno žádné probíhající trestní vyšetřování týkající se téhož incidentu. Šetření se uzavře závě</w:t>
      </w:r>
      <w:r>
        <w:rPr>
          <w:noProof/>
        </w:rPr>
        <w:t xml:space="preserve">rečnou technickou zprávou, kterou vypracuje agentura zejména na základě informací a připomínek, jež dotčené členské státy a podnik či podniky poskytly a s nimiž dotčené členské státy souhlasily. Shrnutí zprávy zaměřené na doporučení k předcházení budoucím </w:t>
      </w:r>
      <w:r>
        <w:rPr>
          <w:noProof/>
        </w:rPr>
        <w:t>incidentům je sdíleno se sítí CSIRT.</w:t>
      </w:r>
    </w:p>
    <w:p w:rsidR="00557911" w:rsidRDefault="00623804">
      <w:pPr>
        <w:pStyle w:val="ManualNumPar1"/>
        <w:rPr>
          <w:noProof/>
        </w:rPr>
      </w:pPr>
      <w:r>
        <w:t>6.</w:t>
      </w:r>
      <w:r>
        <w:tab/>
      </w:r>
      <w:r>
        <w:rPr>
          <w:noProof/>
        </w:rPr>
        <w:t>Agentura organizuje každoroční cvičení v oblasti kybernetické bezpečnosti na úrovni Unie a při organizování těchto cvičení podporuje členské státy a orgány, instituce a jiné subjekty EU, pokud o to požádají. Každoroč</w:t>
      </w:r>
      <w:r>
        <w:rPr>
          <w:noProof/>
        </w:rPr>
        <w:t>ní cvičení na úrovni Unie zahrnují technické, operativní a strategické prvky a pomáhají s přípravou koordinované reakce na úrovni Unie na rozsáhlé přeshraniční kybernetické bezpečnostní incidenty. Agentura případně rovněž přispívá k odvětvovým cvičením v o</w:t>
      </w:r>
      <w:r>
        <w:rPr>
          <w:noProof/>
        </w:rPr>
        <w:t>blasti kybernetické bezpečnosti a pomáhá je organizovat spolu s příslušnými středisky ISAC a dává střediskům ISAC povolení účastnit se rovněž cvičení v oblasti kybernetické bezpečnosti na úrovni Unie.</w:t>
      </w:r>
    </w:p>
    <w:p w:rsidR="00557911" w:rsidRDefault="00623804">
      <w:pPr>
        <w:pStyle w:val="ManualNumPar1"/>
        <w:rPr>
          <w:noProof/>
        </w:rPr>
      </w:pPr>
      <w:r>
        <w:t>7.</w:t>
      </w:r>
      <w:r>
        <w:tab/>
      </w:r>
      <w:r>
        <w:rPr>
          <w:noProof/>
        </w:rPr>
        <w:t>Agentura vypracovává pravidelnou technickou zprávu E</w:t>
      </w:r>
      <w:r>
        <w:rPr>
          <w:noProof/>
        </w:rPr>
        <w:t xml:space="preserve">U o situaci v oblasti kybernetické bezpečnosti týkající se incidentů a hrozeb na základě informací z otevřených zdrojů, vlastní analýzy a zpráv, které jí poskytly mimo jiné: týmy CSIRT členských států (na dobrovolném základě) nebo jednotná kontaktní místa </w:t>
      </w:r>
      <w:r>
        <w:rPr>
          <w:noProof/>
        </w:rPr>
        <w:t>podle směrnice o bezpečnosti sítí a informací (v souladu s čl. 14 odst. 5 směrnice o bezpečnosti sítí a informací); Evropským centrem pro boj proti kyberkriminalitě (EC3) při Europolu a týmem CERT-EU.</w:t>
      </w:r>
    </w:p>
    <w:p w:rsidR="00557911" w:rsidRDefault="00623804">
      <w:pPr>
        <w:pStyle w:val="ManualNumPar1"/>
        <w:rPr>
          <w:noProof/>
        </w:rPr>
      </w:pPr>
      <w:r>
        <w:t>8.</w:t>
      </w:r>
      <w:r>
        <w:tab/>
      </w:r>
      <w:r>
        <w:rPr>
          <w:noProof/>
        </w:rPr>
        <w:t>Agentura přispívá k vytváření koordinované reakce na</w:t>
      </w:r>
      <w:r>
        <w:rPr>
          <w:noProof/>
        </w:rPr>
        <w:t xml:space="preserve"> úrovni Unie a členských států na rozsáhlé přeshraniční incidenty nebo krize související s kybernetickou bezpečností, a to především tím, že: </w:t>
      </w:r>
    </w:p>
    <w:p w:rsidR="00557911" w:rsidRDefault="00623804">
      <w:pPr>
        <w:pStyle w:val="Point1"/>
        <w:rPr>
          <w:noProof/>
        </w:rPr>
      </w:pPr>
      <w:r>
        <w:rPr>
          <w:noProof/>
        </w:rPr>
        <w:t>a)</w:t>
      </w:r>
      <w:r>
        <w:rPr>
          <w:noProof/>
        </w:rPr>
        <w:tab/>
        <w:t xml:space="preserve">agreguje zprávy z vnitrostátních zdrojů, aby přispěla k vytvoření společného povědomí o situaci; </w:t>
      </w:r>
    </w:p>
    <w:p w:rsidR="00557911" w:rsidRDefault="00623804">
      <w:pPr>
        <w:pStyle w:val="Point1"/>
        <w:rPr>
          <w:noProof/>
        </w:rPr>
      </w:pPr>
      <w:r>
        <w:rPr>
          <w:noProof/>
        </w:rPr>
        <w:t>b)</w:t>
      </w:r>
      <w:r>
        <w:rPr>
          <w:noProof/>
        </w:rPr>
        <w:tab/>
        <w:t>zajišťuje</w:t>
      </w:r>
      <w:r>
        <w:rPr>
          <w:noProof/>
        </w:rPr>
        <w:t xml:space="preserve"> efektivní tok informací a poskytování eskalačních mechanismů mezi sítí CSIRT a osobami přijímajícími technická a politická rozhodnutí na úrovni Unie;</w:t>
      </w:r>
    </w:p>
    <w:p w:rsidR="00557911" w:rsidRDefault="00623804">
      <w:pPr>
        <w:pStyle w:val="Point1"/>
        <w:rPr>
          <w:noProof/>
        </w:rPr>
      </w:pPr>
      <w:r>
        <w:rPr>
          <w:noProof/>
        </w:rPr>
        <w:t>c)</w:t>
      </w:r>
      <w:r>
        <w:rPr>
          <w:noProof/>
        </w:rPr>
        <w:tab/>
        <w:t>podporuje technické řešení incidentů a krizí, včetně toho, že usnadňuje sdílení technických řešení mez</w:t>
      </w:r>
      <w:r>
        <w:rPr>
          <w:noProof/>
        </w:rPr>
        <w:t>i členskými státy;</w:t>
      </w:r>
    </w:p>
    <w:p w:rsidR="00557911" w:rsidRDefault="00623804">
      <w:pPr>
        <w:pStyle w:val="Point1"/>
        <w:rPr>
          <w:noProof/>
        </w:rPr>
      </w:pPr>
      <w:r>
        <w:rPr>
          <w:noProof/>
        </w:rPr>
        <w:t>d)</w:t>
      </w:r>
      <w:r>
        <w:rPr>
          <w:noProof/>
        </w:rPr>
        <w:tab/>
        <w:t>podporuje veřejnou komunikaci ohledně incidentu nebo krize;</w:t>
      </w:r>
    </w:p>
    <w:p w:rsidR="00557911" w:rsidRDefault="00623804">
      <w:pPr>
        <w:pStyle w:val="Point1"/>
        <w:rPr>
          <w:noProof/>
        </w:rPr>
      </w:pPr>
      <w:r>
        <w:rPr>
          <w:noProof/>
        </w:rPr>
        <w:t>e)</w:t>
      </w:r>
      <w:r>
        <w:rPr>
          <w:noProof/>
        </w:rPr>
        <w:tab/>
        <w:t xml:space="preserve">zkouší plány spolupráce pro reakci na tyto incidenty nebo krize. </w:t>
      </w:r>
    </w:p>
    <w:p w:rsidR="00557911" w:rsidRDefault="00623804">
      <w:pPr>
        <w:pStyle w:val="Titrearticle"/>
        <w:rPr>
          <w:rFonts w:eastAsia="Times New Roman"/>
          <w:b/>
          <w:i w:val="0"/>
          <w:noProof/>
        </w:rPr>
      </w:pPr>
      <w:r>
        <w:rPr>
          <w:noProof/>
        </w:rPr>
        <w:t>Článek 8</w:t>
      </w:r>
      <w:r>
        <w:rPr>
          <w:rFonts w:eastAsia="Times New Roman"/>
          <w:noProof/>
        </w:rPr>
        <w:br/>
      </w:r>
      <w:r>
        <w:rPr>
          <w:b/>
          <w:i w:val="0"/>
          <w:noProof/>
        </w:rPr>
        <w:t>Úkoly týkající se trhu, certifikace kybernetické bezpečnosti a normalizace</w:t>
      </w:r>
      <w:r>
        <w:rPr>
          <w:noProof/>
        </w:rPr>
        <w:t xml:space="preserve">  </w:t>
      </w:r>
    </w:p>
    <w:p w:rsidR="00557911" w:rsidRDefault="00623804">
      <w:pPr>
        <w:tabs>
          <w:tab w:val="left" w:pos="7320"/>
        </w:tabs>
        <w:rPr>
          <w:noProof/>
          <w:szCs w:val="24"/>
        </w:rPr>
      </w:pPr>
      <w:r>
        <w:rPr>
          <w:noProof/>
        </w:rPr>
        <w:t>Agentura:</w:t>
      </w:r>
      <w:r>
        <w:rPr>
          <w:noProof/>
        </w:rPr>
        <w:tab/>
      </w:r>
    </w:p>
    <w:p w:rsidR="00557911" w:rsidRDefault="00623804">
      <w:pPr>
        <w:pStyle w:val="Point0"/>
        <w:rPr>
          <w:noProof/>
        </w:rPr>
      </w:pPr>
      <w:r>
        <w:rPr>
          <w:noProof/>
        </w:rPr>
        <w:t>a)</w:t>
      </w:r>
      <w:r>
        <w:rPr>
          <w:noProof/>
        </w:rPr>
        <w:tab/>
        <w:t>podpo</w:t>
      </w:r>
      <w:r>
        <w:rPr>
          <w:noProof/>
        </w:rPr>
        <w:t>ruje a prosazuje tvorbu a provádění politiky Unie v oblasti certifikace kybernetické bezpečnosti produktů a služeb IKT, jak je stanoveno v hlavě III tohoto nařízení, tím, že:</w:t>
      </w:r>
    </w:p>
    <w:p w:rsidR="00557911" w:rsidRDefault="00623804">
      <w:pPr>
        <w:pStyle w:val="Point2"/>
        <w:rPr>
          <w:noProof/>
        </w:rPr>
      </w:pPr>
      <w:r>
        <w:rPr>
          <w:noProof/>
        </w:rPr>
        <w:t>1)</w:t>
      </w:r>
      <w:r>
        <w:rPr>
          <w:noProof/>
        </w:rPr>
        <w:tab/>
        <w:t>vypracovává návrhy evropských systémů certifikace kybernetické bezpečnosti pro</w:t>
      </w:r>
      <w:r>
        <w:rPr>
          <w:noProof/>
        </w:rPr>
        <w:t xml:space="preserve"> produkty a služby IKT v souladu s článkem 44 tohoto nařízení;</w:t>
      </w:r>
    </w:p>
    <w:p w:rsidR="00557911" w:rsidRDefault="00623804">
      <w:pPr>
        <w:pStyle w:val="Point2"/>
        <w:rPr>
          <w:noProof/>
        </w:rPr>
      </w:pPr>
      <w:r>
        <w:rPr>
          <w:noProof/>
        </w:rPr>
        <w:t>2)</w:t>
      </w:r>
      <w:r>
        <w:rPr>
          <w:noProof/>
        </w:rPr>
        <w:tab/>
        <w:t xml:space="preserve">je nápomocna Komisi při zajišťování služeb sekretariátu pro Evropskou skupinu pro certifikaci kybernetické bezpečnosti podle článku 53 tohoto nařízení; </w:t>
      </w:r>
    </w:p>
    <w:p w:rsidR="00557911" w:rsidRDefault="00623804">
      <w:pPr>
        <w:pStyle w:val="Point2"/>
        <w:rPr>
          <w:noProof/>
        </w:rPr>
      </w:pPr>
      <w:r>
        <w:rPr>
          <w:noProof/>
        </w:rPr>
        <w:t>3)</w:t>
      </w:r>
      <w:r>
        <w:rPr>
          <w:noProof/>
        </w:rPr>
        <w:tab/>
        <w:t>ve spolupráci s vnitrostátními org</w:t>
      </w:r>
      <w:r>
        <w:rPr>
          <w:noProof/>
        </w:rPr>
        <w:t>ány dozoru nad certifikací a odvětvím sestavuje a zveřejňuje pokyny a vypracovává osvědčené postupy týkající se požadavků na kybernetickou bezpečnost produktů a služeb IKT;</w:t>
      </w:r>
    </w:p>
    <w:p w:rsidR="00557911" w:rsidRDefault="00623804">
      <w:pPr>
        <w:pStyle w:val="Point0"/>
        <w:rPr>
          <w:noProof/>
        </w:rPr>
      </w:pPr>
      <w:r>
        <w:rPr>
          <w:noProof/>
        </w:rPr>
        <w:t>b)</w:t>
      </w:r>
      <w:r>
        <w:rPr>
          <w:noProof/>
        </w:rPr>
        <w:tab/>
        <w:t>usnadňuje stanovení a zavádění evropských a mezinárodních norem pro řízení rizik</w:t>
      </w:r>
      <w:r>
        <w:rPr>
          <w:noProof/>
        </w:rPr>
        <w:t xml:space="preserve"> a pro bezpečnost produktů a služeb IKT a ve spolupráci s členskými státy vydává podle čl. 19 odst. 2 směrnice (EU) 2016/1148 doporučení a pokyny týkající se technických oblastí souvisejících s bezpečnostními požadavky pro provozovatele základních služeb a</w:t>
      </w:r>
      <w:r>
        <w:rPr>
          <w:noProof/>
        </w:rPr>
        <w:t xml:space="preserve"> poskytovatele digitálních služeb, jakož i s ohledem na již existující normy, včetně vnitrostátních norem členských států; </w:t>
      </w:r>
    </w:p>
    <w:p w:rsidR="00557911" w:rsidRDefault="00623804">
      <w:pPr>
        <w:pStyle w:val="Point0"/>
        <w:rPr>
          <w:noProof/>
          <w:szCs w:val="24"/>
        </w:rPr>
      </w:pPr>
      <w:r>
        <w:rPr>
          <w:noProof/>
        </w:rPr>
        <w:t>c)</w:t>
      </w:r>
      <w:r>
        <w:rPr>
          <w:noProof/>
        </w:rPr>
        <w:tab/>
        <w:t>s cílem podpořit trh kybernetické bezpečnosti v Unii provádí pravidelné analýzy hlavních trendů na trhu kybernetické bezpečnosti,</w:t>
      </w:r>
      <w:r>
        <w:rPr>
          <w:noProof/>
        </w:rPr>
        <w:t xml:space="preserve"> a to jak na straně poptávky, tak na straně nabídky, a šíří výsledky těchto analýz.  </w:t>
      </w:r>
    </w:p>
    <w:p w:rsidR="00557911" w:rsidRDefault="00557911">
      <w:pPr>
        <w:rPr>
          <w:noProof/>
        </w:rPr>
      </w:pPr>
    </w:p>
    <w:p w:rsidR="00557911" w:rsidRDefault="00623804">
      <w:pPr>
        <w:pStyle w:val="Titrearticle"/>
        <w:rPr>
          <w:rFonts w:eastAsia="Times New Roman"/>
          <w:b/>
          <w:i w:val="0"/>
          <w:noProof/>
        </w:rPr>
      </w:pPr>
      <w:r>
        <w:rPr>
          <w:noProof/>
        </w:rPr>
        <w:t>Článek 9</w:t>
      </w:r>
      <w:r>
        <w:rPr>
          <w:noProof/>
        </w:rPr>
        <w:br/>
      </w:r>
      <w:r>
        <w:rPr>
          <w:b/>
          <w:i w:val="0"/>
          <w:noProof/>
        </w:rPr>
        <w:t>Úkoly týkající se znalostí, informací a zvyšování informovanosti</w:t>
      </w:r>
    </w:p>
    <w:p w:rsidR="00557911" w:rsidRDefault="00623804">
      <w:pPr>
        <w:rPr>
          <w:noProof/>
          <w:szCs w:val="24"/>
        </w:rPr>
      </w:pPr>
      <w:r>
        <w:rPr>
          <w:noProof/>
        </w:rPr>
        <w:t>Agentura:</w:t>
      </w:r>
    </w:p>
    <w:p w:rsidR="00557911" w:rsidRDefault="00623804">
      <w:pPr>
        <w:pStyle w:val="Point0"/>
        <w:rPr>
          <w:noProof/>
        </w:rPr>
      </w:pPr>
      <w:r>
        <w:rPr>
          <w:noProof/>
        </w:rPr>
        <w:t>a)</w:t>
      </w:r>
      <w:r>
        <w:rPr>
          <w:noProof/>
        </w:rPr>
        <w:tab/>
      </w:r>
      <w:r>
        <w:rPr>
          <w:noProof/>
        </w:rPr>
        <w:t xml:space="preserve">provádí analýzy nově vznikajících technologií a poskytuje tematicky zaměřená posouzení očekávaných společenských, právních, hospodářských a regulačních dopadů technologických inovací na kybernetickou bezpečnost; </w:t>
      </w:r>
    </w:p>
    <w:p w:rsidR="00557911" w:rsidRDefault="00623804">
      <w:pPr>
        <w:pStyle w:val="Point0"/>
        <w:rPr>
          <w:noProof/>
        </w:rPr>
      </w:pPr>
      <w:r>
        <w:rPr>
          <w:noProof/>
        </w:rPr>
        <w:t>b)</w:t>
      </w:r>
      <w:r>
        <w:rPr>
          <w:noProof/>
        </w:rPr>
        <w:tab/>
        <w:t>provádí dlouhodobé strategické analýzy k</w:t>
      </w:r>
      <w:r>
        <w:rPr>
          <w:noProof/>
        </w:rPr>
        <w:t>ybernetických bezpečnostních hrozeb a incidentů, aby zjišťovala nové trendy a pomáhala předcházet problémům souvisejícím s kybernetickou bezpečností;</w:t>
      </w:r>
    </w:p>
    <w:p w:rsidR="00557911" w:rsidRDefault="00623804">
      <w:pPr>
        <w:pStyle w:val="Point0"/>
        <w:rPr>
          <w:noProof/>
        </w:rPr>
      </w:pPr>
      <w:r>
        <w:rPr>
          <w:noProof/>
        </w:rPr>
        <w:t>c)</w:t>
      </w:r>
      <w:r>
        <w:rPr>
          <w:noProof/>
        </w:rPr>
        <w:tab/>
        <w:t>ve spolupráci s odborníky z orgánů členských států poskytuje poradenství, pokyny a osvědčené postupy tý</w:t>
      </w:r>
      <w:r>
        <w:rPr>
          <w:noProof/>
        </w:rPr>
        <w:t>kající se bezpečnosti sítí a informačních systémů, zejména bezpečnosti internetové infrastruktury a infrastruktur podporujících odvětví uvedená v příloze II směrnice (EU) 2016/1148;</w:t>
      </w:r>
    </w:p>
    <w:p w:rsidR="00557911" w:rsidRDefault="00623804">
      <w:pPr>
        <w:pStyle w:val="Point0"/>
        <w:rPr>
          <w:noProof/>
        </w:rPr>
      </w:pPr>
      <w:r>
        <w:rPr>
          <w:noProof/>
        </w:rPr>
        <w:t>d)</w:t>
      </w:r>
      <w:r>
        <w:rPr>
          <w:noProof/>
        </w:rPr>
        <w:tab/>
        <w:t>shromažďuje, uspořádává a prostřednictvím specializovaného portálu zpří</w:t>
      </w:r>
      <w:r>
        <w:rPr>
          <w:noProof/>
        </w:rPr>
        <w:t>stupňuje veřejnosti informace o kybernetické bezpečnosti poskytnuté orgány, institucemi a jinými subjekty Unie;</w:t>
      </w:r>
    </w:p>
    <w:p w:rsidR="00557911" w:rsidRDefault="00623804">
      <w:pPr>
        <w:pStyle w:val="Point0"/>
        <w:rPr>
          <w:noProof/>
        </w:rPr>
      </w:pPr>
      <w:r>
        <w:rPr>
          <w:noProof/>
        </w:rPr>
        <w:t>e)</w:t>
      </w:r>
      <w:r>
        <w:rPr>
          <w:noProof/>
        </w:rPr>
        <w:tab/>
        <w:t>zvyšuje informovanost veřejnosti ohledně kybernetických bezpečnostních rizik a poskytuje pokyny týkající se osvědčených postupů pro jednotliv</w:t>
      </w:r>
      <w:r>
        <w:rPr>
          <w:noProof/>
        </w:rPr>
        <w:t xml:space="preserve">é uživatele zaměřené na občany a organizace; </w:t>
      </w:r>
    </w:p>
    <w:p w:rsidR="00557911" w:rsidRDefault="00623804">
      <w:pPr>
        <w:pStyle w:val="Point0"/>
        <w:rPr>
          <w:noProof/>
        </w:rPr>
      </w:pPr>
      <w:r>
        <w:rPr>
          <w:noProof/>
        </w:rPr>
        <w:t>f)</w:t>
      </w:r>
      <w:r>
        <w:rPr>
          <w:noProof/>
        </w:rPr>
        <w:tab/>
        <w:t>shromažďuje a analyzuje veřejně dostupné informace o závažných incidentech a sestavuje zprávy s cílem poskytnout pokyny podnikům a občanům v celé Unii;</w:t>
      </w:r>
    </w:p>
    <w:p w:rsidR="00557911" w:rsidRDefault="00623804">
      <w:pPr>
        <w:pStyle w:val="Point0"/>
        <w:rPr>
          <w:noProof/>
        </w:rPr>
      </w:pPr>
      <w:r>
        <w:rPr>
          <w:noProof/>
        </w:rPr>
        <w:t>g)</w:t>
      </w:r>
      <w:r>
        <w:rPr>
          <w:noProof/>
        </w:rPr>
        <w:tab/>
        <w:t xml:space="preserve">ve spolupráci s členskými státy a orgány, </w:t>
      </w:r>
      <w:r>
        <w:rPr>
          <w:noProof/>
        </w:rPr>
        <w:t>institucemi a jinými subjekty Unie organizuje pravidelné informační kampaně za účelem zvýšení kybernetické bezpečnosti a jejího zviditelnění v Unii.</w:t>
      </w:r>
    </w:p>
    <w:p w:rsidR="00557911" w:rsidRDefault="00557911">
      <w:pPr>
        <w:jc w:val="center"/>
        <w:rPr>
          <w:i/>
          <w:noProof/>
          <w:szCs w:val="24"/>
        </w:rPr>
      </w:pPr>
    </w:p>
    <w:p w:rsidR="00557911" w:rsidRDefault="00623804">
      <w:pPr>
        <w:pStyle w:val="Titrearticle"/>
        <w:rPr>
          <w:noProof/>
        </w:rPr>
      </w:pPr>
      <w:r>
        <w:rPr>
          <w:noProof/>
        </w:rPr>
        <w:t>Článek 10</w:t>
      </w:r>
      <w:r>
        <w:rPr>
          <w:noProof/>
        </w:rPr>
        <w:br/>
      </w:r>
      <w:r>
        <w:rPr>
          <w:b/>
          <w:i w:val="0"/>
          <w:noProof/>
        </w:rPr>
        <w:t>Úkoly týkající se výzkumu a inovací</w:t>
      </w:r>
    </w:p>
    <w:p w:rsidR="00557911" w:rsidRDefault="00623804">
      <w:pPr>
        <w:rPr>
          <w:noProof/>
          <w:szCs w:val="24"/>
        </w:rPr>
      </w:pPr>
      <w:r>
        <w:rPr>
          <w:noProof/>
        </w:rPr>
        <w:t>Ve vztahu k výzkumu a inovacím agentura:</w:t>
      </w:r>
    </w:p>
    <w:p w:rsidR="00557911" w:rsidRDefault="00623804">
      <w:pPr>
        <w:pStyle w:val="Point0"/>
        <w:rPr>
          <w:noProof/>
        </w:rPr>
      </w:pPr>
      <w:r>
        <w:rPr>
          <w:noProof/>
        </w:rPr>
        <w:t>a)</w:t>
      </w:r>
      <w:r>
        <w:rPr>
          <w:noProof/>
        </w:rPr>
        <w:tab/>
        <w:t>poskytuje Unii a</w:t>
      </w:r>
      <w:r>
        <w:rPr>
          <w:noProof/>
        </w:rPr>
        <w:t xml:space="preserve"> členským státům poradenství ohledně potřeb a priorit výzkumu v oblasti kybernetické bezpečnosti s cílem umožnit účinnou reakci na současná a nově vznikající rizika a hrozby, a to i pokud jde o nové a nově vznikající informační a komunikační technologie, a</w:t>
      </w:r>
      <w:r>
        <w:rPr>
          <w:noProof/>
        </w:rPr>
        <w:t xml:space="preserve"> efektivně využívat technologie pro prevenci rizik; </w:t>
      </w:r>
    </w:p>
    <w:p w:rsidR="00557911" w:rsidRDefault="00623804">
      <w:pPr>
        <w:pStyle w:val="Point0"/>
        <w:rPr>
          <w:noProof/>
        </w:rPr>
      </w:pPr>
      <w:r>
        <w:rPr>
          <w:noProof/>
        </w:rPr>
        <w:t>b)</w:t>
      </w:r>
      <w:r>
        <w:rPr>
          <w:noProof/>
        </w:rPr>
        <w:tab/>
        <w:t>pokud na ni Komise přenesla příslušné pravomoci, účastní se prováděcí fáze programů financování výzkumu a inovací, nebo je jejich příjemcem.</w:t>
      </w:r>
    </w:p>
    <w:p w:rsidR="00557911" w:rsidRDefault="00557911">
      <w:pPr>
        <w:ind w:left="720" w:hanging="720"/>
        <w:rPr>
          <w:noProof/>
          <w:szCs w:val="24"/>
        </w:rPr>
      </w:pPr>
    </w:p>
    <w:p w:rsidR="00557911" w:rsidRDefault="00623804">
      <w:pPr>
        <w:pStyle w:val="Titrearticle"/>
        <w:rPr>
          <w:noProof/>
        </w:rPr>
      </w:pPr>
      <w:r>
        <w:rPr>
          <w:noProof/>
        </w:rPr>
        <w:t>Článek 11</w:t>
      </w:r>
      <w:r>
        <w:rPr>
          <w:noProof/>
        </w:rPr>
        <w:br/>
      </w:r>
      <w:r>
        <w:rPr>
          <w:b/>
          <w:noProof/>
        </w:rPr>
        <w:t>Úkoly týkající se mezinárodní spolupráce</w:t>
      </w:r>
    </w:p>
    <w:p w:rsidR="00557911" w:rsidRDefault="00623804">
      <w:pPr>
        <w:autoSpaceDE w:val="0"/>
        <w:autoSpaceDN w:val="0"/>
        <w:adjustRightInd w:val="0"/>
        <w:spacing w:before="60" w:after="60"/>
        <w:rPr>
          <w:noProof/>
          <w:szCs w:val="24"/>
        </w:rPr>
      </w:pPr>
      <w:r>
        <w:rPr>
          <w:noProof/>
        </w:rPr>
        <w:t>Agentur</w:t>
      </w:r>
      <w:r>
        <w:rPr>
          <w:noProof/>
        </w:rPr>
        <w:t>a přispívá k úsilí Unie zaměřenému na spolupráci se třetími zeměmi a mezinárodními organizacemi v zájmu prosazení mezinárodní spolupráce v otázkách týkajících se kybernetické bezpečnosti tím, že:</w:t>
      </w:r>
    </w:p>
    <w:p w:rsidR="00557911" w:rsidRDefault="00623804">
      <w:pPr>
        <w:pStyle w:val="Point0"/>
        <w:rPr>
          <w:noProof/>
        </w:rPr>
      </w:pPr>
      <w:r>
        <w:rPr>
          <w:noProof/>
        </w:rPr>
        <w:t>a)</w:t>
      </w:r>
      <w:r>
        <w:rPr>
          <w:noProof/>
        </w:rPr>
        <w:tab/>
        <w:t>se případně angažuje jako pozorovatel při organizování me</w:t>
      </w:r>
      <w:r>
        <w:rPr>
          <w:noProof/>
        </w:rPr>
        <w:t xml:space="preserve">zinárodních cvičení, provádí analýzu jejich výsledků a předkládá o nich zprávu správní radě; </w:t>
      </w:r>
    </w:p>
    <w:p w:rsidR="00557911" w:rsidRDefault="00623804">
      <w:pPr>
        <w:pStyle w:val="Point0"/>
        <w:rPr>
          <w:noProof/>
        </w:rPr>
      </w:pPr>
      <w:r>
        <w:rPr>
          <w:noProof/>
        </w:rPr>
        <w:t>b)</w:t>
      </w:r>
      <w:r>
        <w:rPr>
          <w:noProof/>
        </w:rPr>
        <w:tab/>
        <w:t>na žádost Komise usnadňuje výměnu osvědčených postupů mezi příslušnými mezinárodními organizacemi;</w:t>
      </w:r>
    </w:p>
    <w:p w:rsidR="00557911" w:rsidRDefault="00623804">
      <w:pPr>
        <w:pStyle w:val="Point0"/>
        <w:rPr>
          <w:noProof/>
        </w:rPr>
      </w:pPr>
      <w:r>
        <w:rPr>
          <w:noProof/>
        </w:rPr>
        <w:t>c)</w:t>
      </w:r>
      <w:r>
        <w:rPr>
          <w:noProof/>
        </w:rPr>
        <w:tab/>
        <w:t>na žádost Komisi poskytuje odborné poznatky.</w:t>
      </w:r>
    </w:p>
    <w:p w:rsidR="00557911" w:rsidRDefault="00557911">
      <w:pPr>
        <w:rPr>
          <w:noProof/>
          <w:szCs w:val="24"/>
        </w:rPr>
      </w:pPr>
    </w:p>
    <w:p w:rsidR="00557911" w:rsidRDefault="00557911">
      <w:pPr>
        <w:spacing w:after="0"/>
        <w:rPr>
          <w:rFonts w:ascii="Calibri" w:eastAsia="Times New Roman" w:hAnsi="Calibri"/>
          <w:noProof/>
        </w:rPr>
      </w:pPr>
    </w:p>
    <w:p w:rsidR="00557911" w:rsidRDefault="00623804">
      <w:pPr>
        <w:pStyle w:val="ChapterTitle"/>
        <w:rPr>
          <w:noProof/>
        </w:rPr>
      </w:pPr>
      <w:bookmarkStart w:id="27" w:name="_Toc492216469"/>
      <w:r>
        <w:rPr>
          <w:noProof/>
        </w:rPr>
        <w:t>KAPITOLA I</w:t>
      </w:r>
      <w:r>
        <w:rPr>
          <w:noProof/>
        </w:rPr>
        <w:t>I</w:t>
      </w:r>
      <w:r>
        <w:rPr>
          <w:noProof/>
        </w:rPr>
        <w:br/>
        <w:t>ORGANIZACE AGENTURY</w:t>
      </w:r>
      <w:bookmarkEnd w:id="27"/>
    </w:p>
    <w:p w:rsidR="00557911" w:rsidRDefault="00623804">
      <w:pPr>
        <w:pStyle w:val="Titrearticle"/>
        <w:spacing w:before="0" w:after="0"/>
        <w:rPr>
          <w:b/>
          <w:noProof/>
        </w:rPr>
      </w:pPr>
      <w:r>
        <w:rPr>
          <w:noProof/>
        </w:rPr>
        <w:t>Článek 12</w:t>
      </w:r>
      <w:r>
        <w:rPr>
          <w:noProof/>
        </w:rPr>
        <w:br/>
      </w:r>
      <w:r>
        <w:rPr>
          <w:b/>
          <w:noProof/>
        </w:rPr>
        <w:t>Struktura</w:t>
      </w:r>
    </w:p>
    <w:p w:rsidR="00557911" w:rsidRDefault="00623804">
      <w:pPr>
        <w:spacing w:after="0"/>
        <w:rPr>
          <w:rFonts w:eastAsia="Times New Roman"/>
          <w:noProof/>
          <w:szCs w:val="24"/>
        </w:rPr>
      </w:pPr>
      <w:r>
        <w:rPr>
          <w:noProof/>
        </w:rPr>
        <w:t>Správní a řídicí struktura agentury se skládá:</w:t>
      </w:r>
    </w:p>
    <w:p w:rsidR="00557911" w:rsidRDefault="00623804">
      <w:pPr>
        <w:pStyle w:val="Point0"/>
        <w:rPr>
          <w:rFonts w:eastAsia="Times New Roman"/>
          <w:noProof/>
        </w:rPr>
      </w:pPr>
      <w:r>
        <w:rPr>
          <w:noProof/>
        </w:rPr>
        <w:t>a)</w:t>
      </w:r>
      <w:r>
        <w:rPr>
          <w:noProof/>
        </w:rPr>
        <w:tab/>
        <w:t>ze správní rady, která plní funkce stanovené v článku 14;</w:t>
      </w:r>
    </w:p>
    <w:p w:rsidR="00557911" w:rsidRDefault="00623804">
      <w:pPr>
        <w:pStyle w:val="Point0"/>
        <w:rPr>
          <w:noProof/>
        </w:rPr>
      </w:pPr>
      <w:r>
        <w:rPr>
          <w:noProof/>
        </w:rPr>
        <w:t>b)</w:t>
      </w:r>
      <w:r>
        <w:rPr>
          <w:noProof/>
        </w:rPr>
        <w:tab/>
        <w:t xml:space="preserve">z výkonné rady, která plní funkce stanovené v článku 18; </w:t>
      </w:r>
    </w:p>
    <w:p w:rsidR="00557911" w:rsidRDefault="00623804">
      <w:pPr>
        <w:pStyle w:val="Point0"/>
        <w:rPr>
          <w:noProof/>
        </w:rPr>
      </w:pPr>
      <w:r>
        <w:rPr>
          <w:noProof/>
        </w:rPr>
        <w:t>c)</w:t>
      </w:r>
      <w:r>
        <w:rPr>
          <w:noProof/>
        </w:rPr>
        <w:tab/>
        <w:t>z výkonného ředitele, který plní povinnost</w:t>
      </w:r>
      <w:r>
        <w:rPr>
          <w:noProof/>
        </w:rPr>
        <w:t>i stanovené v článku 19, a</w:t>
      </w:r>
    </w:p>
    <w:p w:rsidR="00557911" w:rsidRDefault="00623804">
      <w:pPr>
        <w:pStyle w:val="Point0"/>
        <w:rPr>
          <w:noProof/>
        </w:rPr>
      </w:pPr>
      <w:r>
        <w:rPr>
          <w:noProof/>
        </w:rPr>
        <w:t>d)</w:t>
      </w:r>
      <w:r>
        <w:rPr>
          <w:noProof/>
        </w:rPr>
        <w:tab/>
        <w:t>ze stálé skupiny zúčastněných stran, která plní funkce stanovené v článku 20.</w:t>
      </w:r>
    </w:p>
    <w:p w:rsidR="00557911" w:rsidRDefault="00557911">
      <w:pPr>
        <w:spacing w:after="0"/>
        <w:rPr>
          <w:noProof/>
        </w:rPr>
      </w:pPr>
    </w:p>
    <w:p w:rsidR="00557911" w:rsidRDefault="00623804">
      <w:pPr>
        <w:pStyle w:val="SectionTitle"/>
        <w:rPr>
          <w:noProof/>
        </w:rPr>
      </w:pPr>
      <w:bookmarkStart w:id="28" w:name="_Toc492216470"/>
      <w:r>
        <w:rPr>
          <w:noProof/>
        </w:rPr>
        <w:t>ODDÍL 1</w:t>
      </w:r>
      <w:r>
        <w:rPr>
          <w:noProof/>
        </w:rPr>
        <w:br/>
        <w:t>SPRÁVNÍ RADA</w:t>
      </w:r>
      <w:bookmarkEnd w:id="28"/>
    </w:p>
    <w:p w:rsidR="00557911" w:rsidRDefault="00623804">
      <w:pPr>
        <w:pStyle w:val="Titrearticle"/>
        <w:spacing w:before="0" w:after="0"/>
        <w:rPr>
          <w:rFonts w:eastAsia="Times New Roman"/>
          <w:b/>
          <w:i w:val="0"/>
          <w:noProof/>
        </w:rPr>
      </w:pPr>
      <w:r>
        <w:rPr>
          <w:noProof/>
        </w:rPr>
        <w:t>Článek 13</w:t>
      </w:r>
      <w:r>
        <w:rPr>
          <w:noProof/>
        </w:rPr>
        <w:br/>
      </w:r>
      <w:r>
        <w:rPr>
          <w:b/>
          <w:noProof/>
        </w:rPr>
        <w:t>Složení správní rady</w:t>
      </w:r>
    </w:p>
    <w:p w:rsidR="00557911" w:rsidRDefault="00623804">
      <w:pPr>
        <w:pStyle w:val="ManualNumPar1"/>
        <w:rPr>
          <w:noProof/>
        </w:rPr>
      </w:pPr>
      <w:r>
        <w:t>1.</w:t>
      </w:r>
      <w:r>
        <w:tab/>
      </w:r>
      <w:r>
        <w:rPr>
          <w:noProof/>
        </w:rPr>
        <w:t xml:space="preserve">Správní radu tvoří jeden zástupce každého členského státu a dva zástupci jmenovaní Komisí. Všichni zástupci mají hlasovací právo. </w:t>
      </w:r>
    </w:p>
    <w:p w:rsidR="00557911" w:rsidRDefault="00623804">
      <w:pPr>
        <w:pStyle w:val="ManualNumPar1"/>
        <w:rPr>
          <w:noProof/>
        </w:rPr>
      </w:pPr>
      <w:r>
        <w:t>2.</w:t>
      </w:r>
      <w:r>
        <w:tab/>
      </w:r>
      <w:r>
        <w:rPr>
          <w:noProof/>
        </w:rPr>
        <w:t>Každý člen správní rady má náhradníka, který jej zastupuje v případě jeho nepřítomnosti.</w:t>
      </w:r>
    </w:p>
    <w:p w:rsidR="00557911" w:rsidRDefault="00623804">
      <w:pPr>
        <w:pStyle w:val="ManualNumPar1"/>
        <w:rPr>
          <w:noProof/>
        </w:rPr>
      </w:pPr>
      <w:r>
        <w:t>3.</w:t>
      </w:r>
      <w:r>
        <w:tab/>
      </w:r>
      <w:r>
        <w:rPr>
          <w:noProof/>
        </w:rPr>
        <w:t xml:space="preserve">Členové správní rady a jejich </w:t>
      </w:r>
      <w:r>
        <w:rPr>
          <w:noProof/>
        </w:rPr>
        <w:t>náhradníci jsou jmenováni na základě svých znalostí problematiky kybernetické bezpečnosti a s ohledem na své dovednosti v oblasti řízení, správy a rozpočtu. Komise a členské státy usilují o to, aby se omezila fluktuace jejich zástupců ve správní radě, a za</w:t>
      </w:r>
      <w:r>
        <w:rPr>
          <w:noProof/>
        </w:rPr>
        <w:t>jistila se tak kontinuita práce rady. Komise a členské státy usilují o dosažení vyváženého zastoupení mužů a žen ve správní radě.</w:t>
      </w:r>
    </w:p>
    <w:p w:rsidR="00557911" w:rsidRDefault="00623804">
      <w:pPr>
        <w:pStyle w:val="ManualNumPar1"/>
        <w:rPr>
          <w:noProof/>
        </w:rPr>
      </w:pPr>
      <w:r>
        <w:t>4.</w:t>
      </w:r>
      <w:r>
        <w:tab/>
      </w:r>
      <w:r>
        <w:rPr>
          <w:noProof/>
        </w:rPr>
        <w:t>Funkční období členů správní rady a jejich náhradníků je čtyři roky. Toto období lze prodloužit.</w:t>
      </w:r>
    </w:p>
    <w:p w:rsidR="00557911" w:rsidRDefault="00557911">
      <w:pPr>
        <w:rPr>
          <w:noProof/>
        </w:rPr>
      </w:pPr>
    </w:p>
    <w:p w:rsidR="00557911" w:rsidRDefault="00623804">
      <w:pPr>
        <w:pStyle w:val="Titrearticle"/>
        <w:spacing w:before="0" w:after="0"/>
        <w:rPr>
          <w:b/>
          <w:noProof/>
        </w:rPr>
      </w:pPr>
      <w:r>
        <w:rPr>
          <w:noProof/>
        </w:rPr>
        <w:t>Článek 14</w:t>
      </w:r>
      <w:r>
        <w:rPr>
          <w:noProof/>
        </w:rPr>
        <w:br/>
      </w:r>
      <w:r>
        <w:rPr>
          <w:b/>
          <w:noProof/>
        </w:rPr>
        <w:t xml:space="preserve">Funkce správní </w:t>
      </w:r>
      <w:r>
        <w:rPr>
          <w:b/>
          <w:noProof/>
        </w:rPr>
        <w:t>rady</w:t>
      </w:r>
    </w:p>
    <w:p w:rsidR="00557911" w:rsidRDefault="00623804">
      <w:pPr>
        <w:pStyle w:val="ManualNumPar1"/>
        <w:rPr>
          <w:rFonts w:eastAsia="Times New Roman"/>
          <w:noProof/>
        </w:rPr>
      </w:pPr>
      <w:r>
        <w:t>1.</w:t>
      </w:r>
      <w:r>
        <w:tab/>
      </w:r>
      <w:r>
        <w:rPr>
          <w:noProof/>
        </w:rPr>
        <w:t>Správní rada:</w:t>
      </w:r>
    </w:p>
    <w:p w:rsidR="00557911" w:rsidRDefault="00623804">
      <w:pPr>
        <w:pStyle w:val="Point2"/>
        <w:rPr>
          <w:noProof/>
        </w:rPr>
      </w:pPr>
      <w:r>
        <w:rPr>
          <w:noProof/>
        </w:rPr>
        <w:t>a)</w:t>
      </w:r>
      <w:r>
        <w:rPr>
          <w:noProof/>
        </w:rPr>
        <w:tab/>
        <w:t>stanoví obecné směry činnosti agentury a rovněž zajišťuje, aby agentura pracovala v souladu s předpisy a zásadami stanovenými v tomto nařízení. Rovněž zajišťuje, aby práce agentury byla v souladu s činnostmi členských států a na úr</w:t>
      </w:r>
      <w:r>
        <w:rPr>
          <w:noProof/>
        </w:rPr>
        <w:t>ovni Unie;</w:t>
      </w:r>
    </w:p>
    <w:p w:rsidR="00557911" w:rsidRDefault="00623804">
      <w:pPr>
        <w:pStyle w:val="Point2"/>
        <w:rPr>
          <w:noProof/>
        </w:rPr>
      </w:pPr>
      <w:r>
        <w:rPr>
          <w:noProof/>
        </w:rPr>
        <w:t>b)</w:t>
      </w:r>
      <w:r>
        <w:rPr>
          <w:noProof/>
        </w:rPr>
        <w:tab/>
        <w:t>přijímá návrh jednotného programového dokumentu agentury podle článku 21 před jeho předložením Komisi k vyjádření stanoviska;</w:t>
      </w:r>
    </w:p>
    <w:p w:rsidR="00557911" w:rsidRDefault="00623804">
      <w:pPr>
        <w:pStyle w:val="Point2"/>
        <w:rPr>
          <w:noProof/>
        </w:rPr>
      </w:pPr>
      <w:r>
        <w:rPr>
          <w:noProof/>
        </w:rPr>
        <w:t>c)</w:t>
      </w:r>
      <w:r>
        <w:rPr>
          <w:noProof/>
        </w:rPr>
        <w:tab/>
        <w:t>s ohledem na stanovisko Komise přijímá dvoutřetinovou většinou hlasů svých členů a v souladu s článkem 17 jednotn</w:t>
      </w:r>
      <w:r>
        <w:rPr>
          <w:noProof/>
        </w:rPr>
        <w:t>ý programový dokument agentury;</w:t>
      </w:r>
    </w:p>
    <w:p w:rsidR="00557911" w:rsidRDefault="00623804">
      <w:pPr>
        <w:pStyle w:val="Point2"/>
        <w:rPr>
          <w:noProof/>
        </w:rPr>
      </w:pPr>
      <w:r>
        <w:rPr>
          <w:noProof/>
        </w:rPr>
        <w:t>d)</w:t>
      </w:r>
      <w:r>
        <w:rPr>
          <w:noProof/>
        </w:rPr>
        <w:tab/>
        <w:t>přijímá dvoutřetinovou většinou hlasů svých členů roční rozpočet agentury a vykonává další funkce ve vztahu k rozpočtu agentury podle kapitoly III;</w:t>
      </w:r>
    </w:p>
    <w:p w:rsidR="00557911" w:rsidRDefault="00623804">
      <w:pPr>
        <w:pStyle w:val="Point2"/>
        <w:rPr>
          <w:noProof/>
        </w:rPr>
      </w:pPr>
      <w:r>
        <w:rPr>
          <w:noProof/>
        </w:rPr>
        <w:t>e)</w:t>
      </w:r>
      <w:r>
        <w:rPr>
          <w:noProof/>
        </w:rPr>
        <w:tab/>
        <w:t>posuzuje a přijímá souhrnnou výroční zprávu o činnosti agentury a do 1</w:t>
      </w:r>
      <w:r>
        <w:rPr>
          <w:noProof/>
        </w:rPr>
        <w:t>. července následujícího roku zprávu a její posouzení zašle Evropskému parlamentu, Radě, Komisi a Účetnímu dvoru. Výroční zpráva obsahuje účetní výkaz a popisuje, nakolik agentura naplnila ukazatele výkonnosti. Výroční zpráva se zveřejňuje;</w:t>
      </w:r>
    </w:p>
    <w:p w:rsidR="00557911" w:rsidRDefault="00623804">
      <w:pPr>
        <w:pStyle w:val="Point2"/>
        <w:rPr>
          <w:noProof/>
        </w:rPr>
      </w:pPr>
      <w:r>
        <w:rPr>
          <w:noProof/>
        </w:rPr>
        <w:t>f)</w:t>
      </w:r>
      <w:r>
        <w:rPr>
          <w:noProof/>
        </w:rPr>
        <w:tab/>
        <w:t>přijímá fina</w:t>
      </w:r>
      <w:r>
        <w:rPr>
          <w:noProof/>
        </w:rPr>
        <w:t>nční pravidla použitelná na agenturu v souladu s článkem 29;</w:t>
      </w:r>
    </w:p>
    <w:p w:rsidR="00557911" w:rsidRDefault="00623804">
      <w:pPr>
        <w:pStyle w:val="Point2"/>
        <w:rPr>
          <w:noProof/>
        </w:rPr>
      </w:pPr>
      <w:r>
        <w:rPr>
          <w:noProof/>
        </w:rPr>
        <w:t>g)</w:t>
      </w:r>
      <w:r>
        <w:rPr>
          <w:noProof/>
        </w:rPr>
        <w:tab/>
        <w:t>přijímá strategii proti podvodům, která je úměrná rizikům podvodu s ohledem na analýzy nákladů a přínosů opatření, jež mají být provedena;</w:t>
      </w:r>
    </w:p>
    <w:p w:rsidR="00557911" w:rsidRDefault="00623804">
      <w:pPr>
        <w:pStyle w:val="Point2"/>
        <w:rPr>
          <w:noProof/>
        </w:rPr>
      </w:pPr>
      <w:r>
        <w:rPr>
          <w:noProof/>
        </w:rPr>
        <w:t>h)</w:t>
      </w:r>
      <w:r>
        <w:rPr>
          <w:noProof/>
        </w:rPr>
        <w:tab/>
        <w:t>přijímá pravidla pro předcházení střetům zájmů a ř</w:t>
      </w:r>
      <w:r>
        <w:rPr>
          <w:noProof/>
        </w:rPr>
        <w:t>ešení těchto střetů u svých členů;</w:t>
      </w:r>
    </w:p>
    <w:p w:rsidR="00557911" w:rsidRDefault="00623804">
      <w:pPr>
        <w:pStyle w:val="Point2"/>
        <w:rPr>
          <w:noProof/>
        </w:rPr>
      </w:pPr>
      <w:r>
        <w:rPr>
          <w:noProof/>
        </w:rPr>
        <w:t>i)</w:t>
      </w:r>
      <w:r>
        <w:rPr>
          <w:noProof/>
        </w:rPr>
        <w:tab/>
        <w:t>zajišťuje náležitá opatření v návaznosti na zjištění a doporučení vyplývající z šetření Evropského úřadu pro boj proti podvodům (OLAF) a z různých interních či externích auditních zpráv a hodnocení;</w:t>
      </w:r>
    </w:p>
    <w:p w:rsidR="00557911" w:rsidRDefault="00623804">
      <w:pPr>
        <w:pStyle w:val="Point2"/>
        <w:rPr>
          <w:noProof/>
        </w:rPr>
      </w:pPr>
      <w:r>
        <w:rPr>
          <w:noProof/>
        </w:rPr>
        <w:t>j)</w:t>
      </w:r>
      <w:r>
        <w:rPr>
          <w:noProof/>
        </w:rPr>
        <w:tab/>
        <w:t>přijímá svůj jed</w:t>
      </w:r>
      <w:r>
        <w:rPr>
          <w:noProof/>
        </w:rPr>
        <w:t>nací řád;</w:t>
      </w:r>
    </w:p>
    <w:p w:rsidR="00557911" w:rsidRDefault="00623804">
      <w:pPr>
        <w:pStyle w:val="Point2"/>
        <w:rPr>
          <w:noProof/>
        </w:rPr>
      </w:pPr>
      <w:r>
        <w:rPr>
          <w:noProof/>
        </w:rPr>
        <w:t>k)</w:t>
      </w:r>
      <w:r>
        <w:rPr>
          <w:noProof/>
        </w:rPr>
        <w:tab/>
        <w:t>v souladu s odstavcem 2 vykonává ve vztahu k zaměstnancům agentury pravomoci, které služební řád úředníků svěřuje orgánu oprávněnému ke jmenování a které pracovní řád ostatních zaměstnanců Evropské unie svěřuje orgánu oprávněnému uzavírat prac</w:t>
      </w:r>
      <w:r>
        <w:rPr>
          <w:noProof/>
        </w:rPr>
        <w:t xml:space="preserve">ovní smlouvy (dále jen „pravomoci orgánu oprávněného ke jmenování“); </w:t>
      </w:r>
    </w:p>
    <w:p w:rsidR="00557911" w:rsidRDefault="00623804">
      <w:pPr>
        <w:pStyle w:val="Point2"/>
        <w:rPr>
          <w:noProof/>
        </w:rPr>
      </w:pPr>
      <w:r>
        <w:rPr>
          <w:noProof/>
        </w:rPr>
        <w:t>l)</w:t>
      </w:r>
      <w:r>
        <w:rPr>
          <w:noProof/>
        </w:rPr>
        <w:tab/>
        <w:t>přijímá prováděcí pravidla ke služebnímu řádu a pracovnímu řádu ostatních zaměstnanců v souladu s postupem podle článku 110 služebního řádu;</w:t>
      </w:r>
    </w:p>
    <w:p w:rsidR="00557911" w:rsidRDefault="00623804">
      <w:pPr>
        <w:pStyle w:val="Point2"/>
        <w:rPr>
          <w:noProof/>
        </w:rPr>
      </w:pPr>
      <w:r>
        <w:rPr>
          <w:noProof/>
        </w:rPr>
        <w:t>m)</w:t>
      </w:r>
      <w:r>
        <w:rPr>
          <w:noProof/>
        </w:rPr>
        <w:tab/>
        <w:t>jmenuje výkonného ředitele a případně p</w:t>
      </w:r>
      <w:r>
        <w:rPr>
          <w:noProof/>
        </w:rPr>
        <w:t>rodlužuje jeho funkční období nebo jej odvolává z funkce v souladu s článkem 33 tohoto nařízení;</w:t>
      </w:r>
    </w:p>
    <w:p w:rsidR="00557911" w:rsidRDefault="00623804">
      <w:pPr>
        <w:pStyle w:val="Point2"/>
        <w:rPr>
          <w:noProof/>
        </w:rPr>
      </w:pPr>
      <w:r>
        <w:rPr>
          <w:noProof/>
        </w:rPr>
        <w:t>n)</w:t>
      </w:r>
      <w:r>
        <w:rPr>
          <w:noProof/>
        </w:rPr>
        <w:tab/>
        <w:t>jmenuje účetního, který může být účetním Komise a který je při plnění svých povinností naprosto nezávislý;</w:t>
      </w:r>
    </w:p>
    <w:p w:rsidR="00557911" w:rsidRDefault="00623804">
      <w:pPr>
        <w:pStyle w:val="Point2"/>
        <w:rPr>
          <w:noProof/>
        </w:rPr>
      </w:pPr>
      <w:r>
        <w:rPr>
          <w:noProof/>
        </w:rPr>
        <w:t>o)</w:t>
      </w:r>
      <w:r>
        <w:rPr>
          <w:noProof/>
        </w:rPr>
        <w:tab/>
        <w:t>přijímá veškerá rozhodnutí o zřízení vnitřních</w:t>
      </w:r>
      <w:r>
        <w:rPr>
          <w:noProof/>
        </w:rPr>
        <w:t xml:space="preserve"> struktur agentury a o jejich případných změnách s ohledem na potřeby činností agentury a na řádné rozpočtové řízení;</w:t>
      </w:r>
    </w:p>
    <w:p w:rsidR="00557911" w:rsidRDefault="00623804">
      <w:pPr>
        <w:pStyle w:val="Point2"/>
        <w:rPr>
          <w:noProof/>
        </w:rPr>
      </w:pPr>
      <w:r>
        <w:rPr>
          <w:noProof/>
        </w:rPr>
        <w:t>p)</w:t>
      </w:r>
      <w:r>
        <w:rPr>
          <w:noProof/>
        </w:rPr>
        <w:tab/>
        <w:t>povoluje uzavírání pracovních ujednání v souladu s články 7 a 39.</w:t>
      </w:r>
    </w:p>
    <w:p w:rsidR="00557911" w:rsidRDefault="00623804">
      <w:pPr>
        <w:pStyle w:val="ManualNumPar1"/>
        <w:rPr>
          <w:noProof/>
        </w:rPr>
      </w:pPr>
      <w:r>
        <w:t>2.</w:t>
      </w:r>
      <w:r>
        <w:tab/>
      </w:r>
      <w:r>
        <w:rPr>
          <w:noProof/>
        </w:rPr>
        <w:t>Správní rada přijme v souladu s článkem 110 služebního řádu rozhod</w:t>
      </w:r>
      <w:r>
        <w:rPr>
          <w:noProof/>
        </w:rPr>
        <w:t>nutí na základě čl. 2 odst. 1 služebního řádu a článku 6 pracovního řádu ostatních zaměstnanců, kterým přenese příslušné pravomoci orgánu oprávněného ke jmenování na výkonného ředitele a kterým stanoví podmínky, za nichž může být toto přenesení pravomocí p</w:t>
      </w:r>
      <w:r>
        <w:rPr>
          <w:noProof/>
        </w:rPr>
        <w:t xml:space="preserve">ozastaveno. Výkonný ředitel je oprávněn přenést tyto pravomoci na další osoby. </w:t>
      </w:r>
    </w:p>
    <w:p w:rsidR="00557911" w:rsidRDefault="00623804">
      <w:pPr>
        <w:pStyle w:val="ManualNumPar1"/>
        <w:rPr>
          <w:noProof/>
        </w:rPr>
      </w:pPr>
      <w:r>
        <w:t>3.</w:t>
      </w:r>
      <w:r>
        <w:tab/>
      </w:r>
      <w:r>
        <w:rPr>
          <w:noProof/>
        </w:rPr>
        <w:t xml:space="preserve">Vyžadují-li to zvláštní okolnosti, může správní rada rozhodnout o dočasném pozastavení přenesení pravomocí orgánu oprávněného ke jmenování na výkonného ředitele a pravomocí </w:t>
      </w:r>
      <w:r>
        <w:rPr>
          <w:noProof/>
        </w:rPr>
        <w:t>jím přenesených na další osoby a vykonávat je sama, případně je přenést na jednoho ze svých členů nebo na zaměstnance, který zároveň není výkonným ředitelem.  </w:t>
      </w:r>
    </w:p>
    <w:p w:rsidR="00557911" w:rsidRDefault="00557911">
      <w:pPr>
        <w:rPr>
          <w:noProof/>
        </w:rPr>
      </w:pPr>
    </w:p>
    <w:p w:rsidR="00557911" w:rsidRDefault="00623804">
      <w:pPr>
        <w:pStyle w:val="Titrearticle"/>
        <w:spacing w:before="0" w:after="0"/>
        <w:rPr>
          <w:rFonts w:eastAsia="Times New Roman"/>
          <w:b/>
          <w:i w:val="0"/>
          <w:noProof/>
        </w:rPr>
      </w:pPr>
      <w:r>
        <w:rPr>
          <w:noProof/>
        </w:rPr>
        <w:t>Článek 15</w:t>
      </w:r>
      <w:r>
        <w:rPr>
          <w:noProof/>
        </w:rPr>
        <w:br/>
      </w:r>
      <w:r>
        <w:rPr>
          <w:b/>
          <w:noProof/>
        </w:rPr>
        <w:t>Předseda správní rady</w:t>
      </w:r>
    </w:p>
    <w:p w:rsidR="00557911" w:rsidRDefault="00623804">
      <w:pPr>
        <w:spacing w:after="0"/>
        <w:rPr>
          <w:rFonts w:eastAsia="Times New Roman"/>
          <w:noProof/>
          <w:szCs w:val="24"/>
        </w:rPr>
      </w:pPr>
      <w:r>
        <w:rPr>
          <w:noProof/>
        </w:rPr>
        <w:t>Správní rada si dvoutřetinovou většinou hlasů svých členů zvolí</w:t>
      </w:r>
      <w:r>
        <w:rPr>
          <w:noProof/>
        </w:rPr>
        <w:t xml:space="preserve"> z řad svých členů předsedu a místopředsedu na období čtyř let, které lze jednou prodloužit. Pokud však v průběhu jejich funkčního období jejich členství ve správní radě skončí, zanikne týmž dnem automaticky i jejich funkce předsedy či místopředsedy. Nemůž</w:t>
      </w:r>
      <w:r>
        <w:rPr>
          <w:noProof/>
        </w:rPr>
        <w:t>e-li předseda vykonávat své povinnosti, zaujme jeho místo z moci úřední místopředseda.</w:t>
      </w:r>
    </w:p>
    <w:p w:rsidR="00557911" w:rsidRDefault="00557911">
      <w:pPr>
        <w:spacing w:after="0"/>
        <w:rPr>
          <w:rFonts w:eastAsia="Times New Roman"/>
          <w:noProof/>
          <w:szCs w:val="24"/>
        </w:rPr>
      </w:pPr>
    </w:p>
    <w:p w:rsidR="00557911" w:rsidRDefault="00623804">
      <w:pPr>
        <w:pStyle w:val="Titrearticle"/>
        <w:spacing w:before="0" w:after="0"/>
        <w:rPr>
          <w:b/>
          <w:i w:val="0"/>
          <w:noProof/>
        </w:rPr>
      </w:pPr>
      <w:r>
        <w:rPr>
          <w:noProof/>
        </w:rPr>
        <w:t>Článek 16</w:t>
      </w:r>
      <w:r>
        <w:rPr>
          <w:noProof/>
        </w:rPr>
        <w:br/>
      </w:r>
      <w:r>
        <w:rPr>
          <w:b/>
          <w:noProof/>
        </w:rPr>
        <w:t>Zasedání správní rady</w:t>
      </w:r>
    </w:p>
    <w:p w:rsidR="00557911" w:rsidRDefault="00623804">
      <w:pPr>
        <w:pStyle w:val="ManualNumPar1"/>
        <w:rPr>
          <w:noProof/>
        </w:rPr>
      </w:pPr>
      <w:r>
        <w:t>1.</w:t>
      </w:r>
      <w:r>
        <w:tab/>
      </w:r>
      <w:r>
        <w:rPr>
          <w:noProof/>
        </w:rPr>
        <w:t>Zasedání správní rady svolává její předseda.</w:t>
      </w:r>
    </w:p>
    <w:p w:rsidR="00557911" w:rsidRDefault="00623804">
      <w:pPr>
        <w:pStyle w:val="ManualNumPar1"/>
        <w:rPr>
          <w:noProof/>
        </w:rPr>
      </w:pPr>
      <w:r>
        <w:t>2.</w:t>
      </w:r>
      <w:r>
        <w:tab/>
      </w:r>
      <w:r>
        <w:rPr>
          <w:noProof/>
        </w:rPr>
        <w:t xml:space="preserve">Řádná zasedání správní rady se konají alespoň dvakrát za rok. Z podnětu předsedy, </w:t>
      </w:r>
      <w:r>
        <w:rPr>
          <w:noProof/>
        </w:rPr>
        <w:t>z podnětu Komise nebo na žádost nejméně jedné třetiny členů správní rady se konají rovněž její mimořádná zasedání.</w:t>
      </w:r>
    </w:p>
    <w:p w:rsidR="00557911" w:rsidRDefault="00623804">
      <w:pPr>
        <w:pStyle w:val="ManualNumPar1"/>
        <w:rPr>
          <w:noProof/>
        </w:rPr>
      </w:pPr>
      <w:r>
        <w:t>3.</w:t>
      </w:r>
      <w:r>
        <w:tab/>
      </w:r>
      <w:r>
        <w:rPr>
          <w:noProof/>
        </w:rPr>
        <w:t>Zasedání správní rady se bez hlasovacího práva účastní výkonný ředitel.</w:t>
      </w:r>
    </w:p>
    <w:p w:rsidR="00557911" w:rsidRDefault="00623804">
      <w:pPr>
        <w:pStyle w:val="ManualNumPar1"/>
        <w:rPr>
          <w:noProof/>
        </w:rPr>
      </w:pPr>
      <w:r>
        <w:t>4.</w:t>
      </w:r>
      <w:r>
        <w:tab/>
      </w:r>
      <w:r>
        <w:rPr>
          <w:noProof/>
        </w:rPr>
        <w:t>Zasedání správní rady se na pozvání předsedy mohou bez hlasovac</w:t>
      </w:r>
      <w:r>
        <w:rPr>
          <w:noProof/>
        </w:rPr>
        <w:t>ího práva účastnit členové stálé skupiny zúčastněných stran.</w:t>
      </w:r>
    </w:p>
    <w:p w:rsidR="00557911" w:rsidRDefault="00623804">
      <w:pPr>
        <w:pStyle w:val="ManualNumPar1"/>
        <w:rPr>
          <w:noProof/>
        </w:rPr>
      </w:pPr>
      <w:r>
        <w:t>5.</w:t>
      </w:r>
      <w:r>
        <w:tab/>
      </w:r>
      <w:r>
        <w:rPr>
          <w:noProof/>
        </w:rPr>
        <w:t>Členům správní rady a jejich náhradníkům mohou být v souladu s jednacím řádem na zasedáních nápomocni poradci nebo odborníci.</w:t>
      </w:r>
    </w:p>
    <w:p w:rsidR="00557911" w:rsidRDefault="00623804">
      <w:pPr>
        <w:pStyle w:val="ManualNumPar1"/>
        <w:rPr>
          <w:noProof/>
        </w:rPr>
      </w:pPr>
      <w:r>
        <w:t>6.</w:t>
      </w:r>
      <w:r>
        <w:tab/>
      </w:r>
      <w:r>
        <w:rPr>
          <w:noProof/>
        </w:rPr>
        <w:t xml:space="preserve">Služby sekretariátu pro správní radu zajišťuje agentura. </w:t>
      </w:r>
    </w:p>
    <w:p w:rsidR="00557911" w:rsidRDefault="00557911">
      <w:pPr>
        <w:spacing w:after="0"/>
        <w:rPr>
          <w:rFonts w:eastAsia="Times New Roman"/>
          <w:noProof/>
          <w:szCs w:val="24"/>
        </w:rPr>
      </w:pPr>
    </w:p>
    <w:p w:rsidR="00557911" w:rsidRDefault="00623804">
      <w:pPr>
        <w:pStyle w:val="Titrearticle"/>
        <w:spacing w:before="0" w:after="0"/>
        <w:rPr>
          <w:rFonts w:eastAsia="Times New Roman"/>
          <w:b/>
          <w:i w:val="0"/>
          <w:noProof/>
        </w:rPr>
      </w:pPr>
      <w:r>
        <w:rPr>
          <w:noProof/>
        </w:rPr>
        <w:t>Člán</w:t>
      </w:r>
      <w:r>
        <w:rPr>
          <w:noProof/>
        </w:rPr>
        <w:t>ek 17</w:t>
      </w:r>
      <w:r>
        <w:rPr>
          <w:noProof/>
        </w:rPr>
        <w:br/>
      </w:r>
      <w:r>
        <w:rPr>
          <w:b/>
          <w:noProof/>
        </w:rPr>
        <w:t>Pravidla hlasování ve správní radě</w:t>
      </w:r>
    </w:p>
    <w:p w:rsidR="00557911" w:rsidRDefault="00623804">
      <w:pPr>
        <w:pStyle w:val="ManualNumPar1"/>
        <w:rPr>
          <w:noProof/>
        </w:rPr>
      </w:pPr>
      <w:r>
        <w:t>1.</w:t>
      </w:r>
      <w:r>
        <w:tab/>
      </w:r>
      <w:r>
        <w:rPr>
          <w:noProof/>
        </w:rPr>
        <w:t>Správní rada přijímá rozhodnutí absolutní většinou hlasů svých členů.</w:t>
      </w:r>
    </w:p>
    <w:p w:rsidR="00557911" w:rsidRDefault="00623804">
      <w:pPr>
        <w:pStyle w:val="ManualNumPar1"/>
        <w:rPr>
          <w:noProof/>
        </w:rPr>
      </w:pPr>
      <w:r>
        <w:t>2.</w:t>
      </w:r>
      <w:r>
        <w:tab/>
      </w:r>
      <w:r>
        <w:rPr>
          <w:noProof/>
        </w:rPr>
        <w:t>Pro přijetí jednotného programového dokumentu a ročního rozpočtu a pro jmenování, prodloužení funkčního období nebo odvolání výkonného ředi</w:t>
      </w:r>
      <w:r>
        <w:rPr>
          <w:noProof/>
        </w:rPr>
        <w:t>tele je nutná dvoutřetinová většina hlasů všech členů správní rady.</w:t>
      </w:r>
    </w:p>
    <w:p w:rsidR="00557911" w:rsidRDefault="00623804">
      <w:pPr>
        <w:pStyle w:val="ManualNumPar1"/>
        <w:rPr>
          <w:noProof/>
        </w:rPr>
      </w:pPr>
      <w:r>
        <w:t>3.</w:t>
      </w:r>
      <w:r>
        <w:tab/>
      </w:r>
      <w:r>
        <w:rPr>
          <w:noProof/>
        </w:rPr>
        <w:t xml:space="preserve">Každý člen má jeden hlas. V nepřítomnosti člena je k výkonu hlasovacího práva oprávněn jeho náhradník. </w:t>
      </w:r>
    </w:p>
    <w:p w:rsidR="00557911" w:rsidRDefault="00623804">
      <w:pPr>
        <w:pStyle w:val="ManualNumPar1"/>
        <w:rPr>
          <w:noProof/>
        </w:rPr>
      </w:pPr>
      <w:r>
        <w:t>4.</w:t>
      </w:r>
      <w:r>
        <w:tab/>
      </w:r>
      <w:r>
        <w:rPr>
          <w:noProof/>
        </w:rPr>
        <w:t xml:space="preserve">Předseda se hlasování účastní. </w:t>
      </w:r>
    </w:p>
    <w:p w:rsidR="00557911" w:rsidRDefault="00623804">
      <w:pPr>
        <w:pStyle w:val="ManualNumPar1"/>
        <w:rPr>
          <w:noProof/>
        </w:rPr>
      </w:pPr>
      <w:r>
        <w:t>5.</w:t>
      </w:r>
      <w:r>
        <w:tab/>
      </w:r>
      <w:r>
        <w:rPr>
          <w:noProof/>
        </w:rPr>
        <w:t>Výkonný ředitel se hlasování neúčastní.</w:t>
      </w:r>
    </w:p>
    <w:p w:rsidR="00557911" w:rsidRDefault="00623804">
      <w:pPr>
        <w:pStyle w:val="ManualNumPar1"/>
        <w:rPr>
          <w:noProof/>
        </w:rPr>
      </w:pPr>
      <w:r>
        <w:t>6.</w:t>
      </w:r>
      <w:r>
        <w:tab/>
      </w:r>
      <w:r>
        <w:rPr>
          <w:noProof/>
        </w:rPr>
        <w:t>Jednací řád správní rady stanoví podrobnější pravidla hlasování, zejména podmínky, za nichž může člen zastupovat jiného člena.</w:t>
      </w:r>
    </w:p>
    <w:p w:rsidR="00557911" w:rsidRDefault="00557911">
      <w:pPr>
        <w:rPr>
          <w:noProof/>
        </w:rPr>
      </w:pPr>
    </w:p>
    <w:p w:rsidR="00557911" w:rsidRDefault="00623804">
      <w:pPr>
        <w:pStyle w:val="SectionTitle"/>
        <w:rPr>
          <w:rFonts w:eastAsia="Times New Roman"/>
          <w:noProof/>
        </w:rPr>
      </w:pPr>
      <w:r>
        <w:rPr>
          <w:noProof/>
        </w:rPr>
        <w:t>ODDÍL 2</w:t>
      </w:r>
      <w:r>
        <w:rPr>
          <w:noProof/>
        </w:rPr>
        <w:br/>
        <w:t>VÝKONNÁ RADA</w:t>
      </w:r>
      <w:bookmarkEnd w:id="22"/>
    </w:p>
    <w:p w:rsidR="00557911" w:rsidRDefault="00623804">
      <w:pPr>
        <w:pStyle w:val="Titrearticle"/>
        <w:spacing w:before="0" w:after="0"/>
        <w:rPr>
          <w:rFonts w:eastAsia="Times New Roman"/>
          <w:b/>
          <w:i w:val="0"/>
          <w:noProof/>
        </w:rPr>
      </w:pPr>
      <w:r>
        <w:rPr>
          <w:noProof/>
        </w:rPr>
        <w:t>Článek 18</w:t>
      </w:r>
      <w:r>
        <w:rPr>
          <w:noProof/>
        </w:rPr>
        <w:br/>
      </w:r>
      <w:r>
        <w:rPr>
          <w:b/>
          <w:noProof/>
        </w:rPr>
        <w:t>Výkonná rada</w:t>
      </w:r>
    </w:p>
    <w:p w:rsidR="00557911" w:rsidRDefault="00623804">
      <w:pPr>
        <w:pStyle w:val="ManualNumPar1"/>
        <w:rPr>
          <w:noProof/>
        </w:rPr>
      </w:pPr>
      <w:r>
        <w:t>1.</w:t>
      </w:r>
      <w:r>
        <w:tab/>
      </w:r>
      <w:r>
        <w:rPr>
          <w:noProof/>
        </w:rPr>
        <w:t>Správní radě je nápomocna výkonná rada.</w:t>
      </w:r>
    </w:p>
    <w:p w:rsidR="00557911" w:rsidRDefault="00623804">
      <w:pPr>
        <w:pStyle w:val="ManualNumPar1"/>
        <w:rPr>
          <w:noProof/>
        </w:rPr>
      </w:pPr>
      <w:r>
        <w:t>2.</w:t>
      </w:r>
      <w:r>
        <w:tab/>
      </w:r>
      <w:r>
        <w:rPr>
          <w:noProof/>
        </w:rPr>
        <w:t>Výkonná rada:</w:t>
      </w:r>
    </w:p>
    <w:p w:rsidR="00557911" w:rsidRDefault="00623804">
      <w:pPr>
        <w:pStyle w:val="Point1"/>
        <w:rPr>
          <w:noProof/>
        </w:rPr>
      </w:pPr>
      <w:r>
        <w:rPr>
          <w:noProof/>
        </w:rPr>
        <w:t>a)</w:t>
      </w:r>
      <w:r>
        <w:rPr>
          <w:noProof/>
        </w:rPr>
        <w:tab/>
        <w:t>připravuje rozhodnutí</w:t>
      </w:r>
      <w:r>
        <w:rPr>
          <w:noProof/>
        </w:rPr>
        <w:t xml:space="preserve"> přijímaná správní radou; </w:t>
      </w:r>
    </w:p>
    <w:p w:rsidR="00557911" w:rsidRDefault="00623804">
      <w:pPr>
        <w:pStyle w:val="Point1"/>
        <w:rPr>
          <w:noProof/>
        </w:rPr>
      </w:pPr>
      <w:r>
        <w:rPr>
          <w:noProof/>
        </w:rPr>
        <w:t>b)</w:t>
      </w:r>
      <w:r>
        <w:rPr>
          <w:noProof/>
        </w:rPr>
        <w:tab/>
        <w:t>společně se správní radou zajistí náležitá opatření v návaznosti na zjištění a doporučení vyplývající z šetření úřadu OLAF a z různých interních či externích auditních zpráv a hodnocení;</w:t>
      </w:r>
    </w:p>
    <w:p w:rsidR="00557911" w:rsidRDefault="00623804">
      <w:pPr>
        <w:pStyle w:val="Point1"/>
        <w:rPr>
          <w:noProof/>
        </w:rPr>
      </w:pPr>
      <w:r>
        <w:rPr>
          <w:noProof/>
        </w:rPr>
        <w:t>c)</w:t>
      </w:r>
      <w:r>
        <w:rPr>
          <w:noProof/>
        </w:rPr>
        <w:tab/>
        <w:t>aniž jsou dotčeny povinnosti výkonné</w:t>
      </w:r>
      <w:r>
        <w:rPr>
          <w:noProof/>
        </w:rPr>
        <w:t>ho ředitele stanovené v článku 19, je nápomocna výkonnému řediteli a radí mu, pokud jde o provádění rozhodnutí správní rady v administrativních a rozpočtových záležitostech podle článku 19.</w:t>
      </w:r>
    </w:p>
    <w:p w:rsidR="00557911" w:rsidRDefault="00623804">
      <w:pPr>
        <w:pStyle w:val="ManualNumPar1"/>
        <w:rPr>
          <w:noProof/>
        </w:rPr>
      </w:pPr>
      <w:r>
        <w:t>3.</w:t>
      </w:r>
      <w:r>
        <w:tab/>
      </w:r>
      <w:r>
        <w:rPr>
          <w:noProof/>
        </w:rPr>
        <w:t>Výkonná rada se skládá z pěti členů jmenovaných z řad členů spr</w:t>
      </w:r>
      <w:r>
        <w:rPr>
          <w:noProof/>
        </w:rPr>
        <w:t>ávní rady, z nichž jedním je předseda správní rady, který smí předsedat i výkonné radě, a dalším jeden ze zástupců Komise. Výkonný ředitel se účastní zasedání výkonné rady, avšak nemá hlasovací právo.</w:t>
      </w:r>
    </w:p>
    <w:p w:rsidR="00557911" w:rsidRDefault="00623804">
      <w:pPr>
        <w:pStyle w:val="ManualNumPar1"/>
        <w:rPr>
          <w:noProof/>
        </w:rPr>
      </w:pPr>
      <w:r>
        <w:t>4.</w:t>
      </w:r>
      <w:r>
        <w:tab/>
      </w:r>
      <w:r>
        <w:rPr>
          <w:noProof/>
        </w:rPr>
        <w:t>Funkční období členů výkonné rady je čtyři roky. Tot</w:t>
      </w:r>
      <w:r>
        <w:rPr>
          <w:noProof/>
        </w:rPr>
        <w:t>o období lze prodloužit.</w:t>
      </w:r>
    </w:p>
    <w:p w:rsidR="00557911" w:rsidRDefault="00623804">
      <w:pPr>
        <w:pStyle w:val="ManualNumPar1"/>
        <w:rPr>
          <w:noProof/>
        </w:rPr>
      </w:pPr>
      <w:r>
        <w:t>5.</w:t>
      </w:r>
      <w:r>
        <w:tab/>
      </w:r>
      <w:r>
        <w:rPr>
          <w:noProof/>
        </w:rPr>
        <w:t>Zasedání výkonné rady se koná alespoň jednou za tři měsíce. Předseda výkonné rady svolává další zasedání na žádost členů této rady.</w:t>
      </w:r>
    </w:p>
    <w:p w:rsidR="00557911" w:rsidRDefault="00623804">
      <w:pPr>
        <w:pStyle w:val="ManualNumPar1"/>
        <w:rPr>
          <w:noProof/>
        </w:rPr>
      </w:pPr>
      <w:r>
        <w:t>6.</w:t>
      </w:r>
      <w:r>
        <w:tab/>
      </w:r>
      <w:r>
        <w:rPr>
          <w:noProof/>
        </w:rPr>
        <w:t>Správní rada stanoví jednací řád výkonné rady.</w:t>
      </w:r>
    </w:p>
    <w:p w:rsidR="00557911" w:rsidRDefault="00623804">
      <w:pPr>
        <w:pStyle w:val="ManualNumPar1"/>
        <w:rPr>
          <w:noProof/>
        </w:rPr>
      </w:pPr>
      <w:r>
        <w:t>7.</w:t>
      </w:r>
      <w:r>
        <w:tab/>
      </w:r>
      <w:r>
        <w:rPr>
          <w:noProof/>
        </w:rPr>
        <w:t>Je-li to z naléhavých důvodů nezbytné, může</w:t>
      </w:r>
      <w:r>
        <w:rPr>
          <w:noProof/>
        </w:rPr>
        <w:t xml:space="preserve"> výkonná rada přijmout určitá prozatímní rozhodnutí jménem správní rady, zejména ve věcech správního řízení, včetně pozastavení přenesení pravomocí orgánu oprávněného ke jmenování, a v rozpočtových záležitostech.</w:t>
      </w:r>
    </w:p>
    <w:p w:rsidR="00557911" w:rsidRDefault="00557911">
      <w:pPr>
        <w:rPr>
          <w:noProof/>
        </w:rPr>
      </w:pPr>
    </w:p>
    <w:p w:rsidR="00557911" w:rsidRDefault="00623804">
      <w:pPr>
        <w:pStyle w:val="SectionTitle"/>
        <w:rPr>
          <w:noProof/>
        </w:rPr>
      </w:pPr>
      <w:bookmarkStart w:id="29" w:name="_Toc492216472"/>
      <w:r>
        <w:rPr>
          <w:noProof/>
        </w:rPr>
        <w:t>ODDÍL 3</w:t>
      </w:r>
      <w:r>
        <w:rPr>
          <w:noProof/>
        </w:rPr>
        <w:br/>
        <w:t>VÝKONNÝ ŘEDITEL</w:t>
      </w:r>
      <w:bookmarkEnd w:id="29"/>
    </w:p>
    <w:p w:rsidR="00557911" w:rsidRDefault="00623804">
      <w:pPr>
        <w:pStyle w:val="Titrearticle"/>
        <w:spacing w:before="0" w:after="0"/>
        <w:rPr>
          <w:rFonts w:eastAsia="Times New Roman"/>
          <w:b/>
          <w:i w:val="0"/>
          <w:noProof/>
        </w:rPr>
      </w:pPr>
      <w:r>
        <w:rPr>
          <w:noProof/>
        </w:rPr>
        <w:t>Článek 19</w:t>
      </w:r>
      <w:r>
        <w:rPr>
          <w:noProof/>
        </w:rPr>
        <w:br/>
      </w:r>
      <w:r>
        <w:rPr>
          <w:b/>
          <w:noProof/>
        </w:rPr>
        <w:t>Povinnos</w:t>
      </w:r>
      <w:r>
        <w:rPr>
          <w:b/>
          <w:noProof/>
        </w:rPr>
        <w:t>ti výkonného ředitele</w:t>
      </w:r>
    </w:p>
    <w:p w:rsidR="00557911" w:rsidRDefault="00623804">
      <w:pPr>
        <w:pStyle w:val="ManualNumPar1"/>
        <w:rPr>
          <w:noProof/>
        </w:rPr>
      </w:pPr>
      <w:r>
        <w:t>1.</w:t>
      </w:r>
      <w:r>
        <w:tab/>
      </w:r>
      <w:r>
        <w:rPr>
          <w:noProof/>
        </w:rPr>
        <w:t>Agenturu řídí výkonný ředitel, který je při výkonu svých povinností nezávislý. Výkonný ředitel se zodpovídá správní radě.</w:t>
      </w:r>
    </w:p>
    <w:p w:rsidR="00557911" w:rsidRDefault="00623804">
      <w:pPr>
        <w:pStyle w:val="ManualNumPar1"/>
        <w:rPr>
          <w:noProof/>
        </w:rPr>
      </w:pPr>
      <w:r>
        <w:t>2.</w:t>
      </w:r>
      <w:r>
        <w:tab/>
      </w:r>
      <w:r>
        <w:rPr>
          <w:noProof/>
        </w:rPr>
        <w:t>Výkonný ředitel předkládá Evropskému parlamentu na jeho žádost zprávu o plnění svých povinností. Rada může</w:t>
      </w:r>
      <w:r>
        <w:rPr>
          <w:noProof/>
        </w:rPr>
        <w:t xml:space="preserve"> výkonného ředitele vyzvat, aby o plnění svých povinností předložil zprávu.</w:t>
      </w:r>
    </w:p>
    <w:p w:rsidR="00557911" w:rsidRDefault="00623804">
      <w:pPr>
        <w:pStyle w:val="ManualNumPar1"/>
        <w:rPr>
          <w:noProof/>
        </w:rPr>
      </w:pPr>
      <w:r>
        <w:t>3.</w:t>
      </w:r>
      <w:r>
        <w:tab/>
      </w:r>
      <w:r>
        <w:rPr>
          <w:noProof/>
        </w:rPr>
        <w:t>Výkonný ředitel je odpovědný za:</w:t>
      </w:r>
    </w:p>
    <w:p w:rsidR="00557911" w:rsidRDefault="00623804">
      <w:pPr>
        <w:pStyle w:val="Point3"/>
        <w:rPr>
          <w:noProof/>
        </w:rPr>
      </w:pPr>
      <w:r>
        <w:rPr>
          <w:noProof/>
        </w:rPr>
        <w:t>a)</w:t>
      </w:r>
      <w:r>
        <w:rPr>
          <w:noProof/>
        </w:rPr>
        <w:tab/>
        <w:t>běžnou správu agentury;</w:t>
      </w:r>
    </w:p>
    <w:p w:rsidR="00557911" w:rsidRDefault="00623804">
      <w:pPr>
        <w:pStyle w:val="Point3"/>
        <w:rPr>
          <w:noProof/>
        </w:rPr>
      </w:pPr>
      <w:r>
        <w:rPr>
          <w:noProof/>
        </w:rPr>
        <w:t>b)</w:t>
      </w:r>
      <w:r>
        <w:rPr>
          <w:noProof/>
        </w:rPr>
        <w:tab/>
        <w:t>provádění rozhodnutí přijatých správní radou;</w:t>
      </w:r>
    </w:p>
    <w:p w:rsidR="00557911" w:rsidRDefault="00623804">
      <w:pPr>
        <w:pStyle w:val="Point3"/>
        <w:rPr>
          <w:noProof/>
        </w:rPr>
      </w:pPr>
      <w:r>
        <w:rPr>
          <w:noProof/>
        </w:rPr>
        <w:t>c)</w:t>
      </w:r>
      <w:r>
        <w:rPr>
          <w:noProof/>
        </w:rPr>
        <w:tab/>
        <w:t xml:space="preserve">vypracování návrhu jednotného programového dokumentu a jeho </w:t>
      </w:r>
      <w:r>
        <w:rPr>
          <w:noProof/>
        </w:rPr>
        <w:t>předložení správní radě ke schválení před jeho předložením Komisi;</w:t>
      </w:r>
    </w:p>
    <w:p w:rsidR="00557911" w:rsidRDefault="00623804">
      <w:pPr>
        <w:pStyle w:val="Point3"/>
        <w:rPr>
          <w:noProof/>
        </w:rPr>
      </w:pPr>
      <w:r>
        <w:rPr>
          <w:noProof/>
        </w:rPr>
        <w:t>d)</w:t>
      </w:r>
      <w:r>
        <w:rPr>
          <w:noProof/>
        </w:rPr>
        <w:tab/>
        <w:t>provádění jednotného programového dokumentu a podávání zpráv o jeho provádění správní radě;</w:t>
      </w:r>
    </w:p>
    <w:p w:rsidR="00557911" w:rsidRDefault="00623804">
      <w:pPr>
        <w:pStyle w:val="Point3"/>
        <w:rPr>
          <w:noProof/>
        </w:rPr>
      </w:pPr>
      <w:r>
        <w:rPr>
          <w:noProof/>
        </w:rPr>
        <w:t>e)</w:t>
      </w:r>
      <w:r>
        <w:rPr>
          <w:noProof/>
        </w:rPr>
        <w:tab/>
        <w:t>vypracování souhrnné výroční zprávy o činnosti agentury a předložení této zprávy správní ra</w:t>
      </w:r>
      <w:r>
        <w:rPr>
          <w:noProof/>
        </w:rPr>
        <w:t>dě k posouzení a přijetí;</w:t>
      </w:r>
    </w:p>
    <w:p w:rsidR="00557911" w:rsidRDefault="00623804">
      <w:pPr>
        <w:pStyle w:val="Point3"/>
        <w:rPr>
          <w:noProof/>
        </w:rPr>
      </w:pPr>
      <w:r>
        <w:rPr>
          <w:noProof/>
        </w:rPr>
        <w:t>f)</w:t>
      </w:r>
      <w:r>
        <w:rPr>
          <w:noProof/>
        </w:rPr>
        <w:tab/>
        <w:t>vypracování akčního plánu v návaznosti na závěry zpětných hodnocení a zprávy o pokroku, kterou předkládá každé dva roky Komisi;</w:t>
      </w:r>
    </w:p>
    <w:p w:rsidR="00557911" w:rsidRDefault="00623804">
      <w:pPr>
        <w:pStyle w:val="Point3"/>
        <w:rPr>
          <w:noProof/>
        </w:rPr>
      </w:pPr>
      <w:r>
        <w:rPr>
          <w:noProof/>
        </w:rPr>
        <w:t>g)</w:t>
      </w:r>
      <w:r>
        <w:rPr>
          <w:noProof/>
        </w:rPr>
        <w:tab/>
        <w:t xml:space="preserve">vypracování akčního plánu v návaznosti na závěry zpráv o interním nebo externím auditu, jakož i </w:t>
      </w:r>
      <w:r>
        <w:rPr>
          <w:noProof/>
        </w:rPr>
        <w:t>na šetření Evropského úřadu pro boj proti podvodům (OLAF), a dvakrát za rok předložení zprávy o pokroku Komisi a pravidelně správní radě;</w:t>
      </w:r>
    </w:p>
    <w:p w:rsidR="00557911" w:rsidRDefault="00623804">
      <w:pPr>
        <w:pStyle w:val="Point3"/>
        <w:rPr>
          <w:noProof/>
        </w:rPr>
      </w:pPr>
      <w:r>
        <w:rPr>
          <w:noProof/>
        </w:rPr>
        <w:t>h)</w:t>
      </w:r>
      <w:r>
        <w:rPr>
          <w:noProof/>
        </w:rPr>
        <w:tab/>
        <w:t>vypracování návrhu finančních pravidel použitelných na agenturu;</w:t>
      </w:r>
    </w:p>
    <w:p w:rsidR="00557911" w:rsidRDefault="00623804">
      <w:pPr>
        <w:pStyle w:val="Point3"/>
        <w:rPr>
          <w:noProof/>
        </w:rPr>
      </w:pPr>
      <w:r>
        <w:rPr>
          <w:noProof/>
        </w:rPr>
        <w:t>i)</w:t>
      </w:r>
      <w:r>
        <w:rPr>
          <w:noProof/>
        </w:rPr>
        <w:tab/>
        <w:t>vypracování návrhu odhadu příjmů a výdajů agent</w:t>
      </w:r>
      <w:r>
        <w:rPr>
          <w:noProof/>
        </w:rPr>
        <w:t>ury a za plnění jejího rozpočtu;</w:t>
      </w:r>
    </w:p>
    <w:p w:rsidR="00557911" w:rsidRDefault="00623804">
      <w:pPr>
        <w:pStyle w:val="Point3"/>
        <w:rPr>
          <w:noProof/>
        </w:rPr>
      </w:pPr>
      <w:r>
        <w:rPr>
          <w:noProof/>
        </w:rPr>
        <w:t>j)</w:t>
      </w:r>
      <w:r>
        <w:rPr>
          <w:noProof/>
        </w:rPr>
        <w:tab/>
        <w:t>ochranu finančních zájmů Unie uplatňováním preventivních opatření proti podvodům, korupci a jakýmkoli jiným protiprávním jednáním, účinnými kontrolami a zpětným získáním nesprávně vyplacených částek v případech, kdy jsou</w:t>
      </w:r>
      <w:r>
        <w:rPr>
          <w:noProof/>
        </w:rPr>
        <w:t xml:space="preserve"> zjištěny nesrovnalosti, a případně účinnými, přiměřenými a odrazujícími správními a finančními sankcemi;</w:t>
      </w:r>
    </w:p>
    <w:p w:rsidR="00557911" w:rsidRDefault="00623804">
      <w:pPr>
        <w:pStyle w:val="Point3"/>
        <w:rPr>
          <w:noProof/>
        </w:rPr>
      </w:pPr>
      <w:r>
        <w:rPr>
          <w:noProof/>
        </w:rPr>
        <w:t>k)</w:t>
      </w:r>
      <w:r>
        <w:rPr>
          <w:noProof/>
        </w:rPr>
        <w:tab/>
        <w:t>vypracování strategie agentury pro boj proti podvodům a její předložení správní radě ke schválení;</w:t>
      </w:r>
    </w:p>
    <w:p w:rsidR="00557911" w:rsidRDefault="00623804">
      <w:pPr>
        <w:pStyle w:val="Point3"/>
        <w:rPr>
          <w:noProof/>
        </w:rPr>
      </w:pPr>
      <w:r>
        <w:rPr>
          <w:noProof/>
        </w:rPr>
        <w:t>l)</w:t>
      </w:r>
      <w:r>
        <w:rPr>
          <w:noProof/>
        </w:rPr>
        <w:tab/>
        <w:t xml:space="preserve">rozvíjení a udržování styků s podnikatelským </w:t>
      </w:r>
      <w:r>
        <w:rPr>
          <w:noProof/>
        </w:rPr>
        <w:t>sektorem a organizacemi spotřebitelů pro zajištění pravidelného dialogu s příslušnými zúčastněnými stranami;</w:t>
      </w:r>
    </w:p>
    <w:p w:rsidR="00557911" w:rsidRDefault="00623804">
      <w:pPr>
        <w:pStyle w:val="Point3"/>
        <w:rPr>
          <w:noProof/>
        </w:rPr>
      </w:pPr>
      <w:r>
        <w:rPr>
          <w:noProof/>
        </w:rPr>
        <w:t>m)</w:t>
      </w:r>
      <w:r>
        <w:rPr>
          <w:noProof/>
        </w:rPr>
        <w:tab/>
        <w:t>jiné úkoly, které jsou výkonnému řediteli uloženy tímto nařízením.</w:t>
      </w:r>
    </w:p>
    <w:p w:rsidR="00557911" w:rsidRDefault="00623804">
      <w:pPr>
        <w:pStyle w:val="ManualNumPar1"/>
        <w:rPr>
          <w:noProof/>
        </w:rPr>
      </w:pPr>
      <w:r>
        <w:t>4.</w:t>
      </w:r>
      <w:r>
        <w:tab/>
      </w:r>
      <w:r>
        <w:rPr>
          <w:noProof/>
        </w:rPr>
        <w:t>Výkonný ředitel může v případě potřeby, v rámci mandátu agentury a v soula</w:t>
      </w:r>
      <w:r>
        <w:rPr>
          <w:noProof/>
        </w:rPr>
        <w:t xml:space="preserve">du s cíli a úkoly agentury zřizovat pracovní skupiny </w:t>
      </w:r>
      <w:r>
        <w:rPr>
          <w:i/>
          <w:noProof/>
        </w:rPr>
        <w:t>ad hoc</w:t>
      </w:r>
      <w:r>
        <w:rPr>
          <w:noProof/>
        </w:rPr>
        <w:t xml:space="preserve"> složené z odborníků, mimo jiné z odborníků příslušných orgánů členských států. V předstihu o tom informuje správní radu. Postupy týkající se zejména složení pracovních skupin, jmenování odborníků </w:t>
      </w:r>
      <w:r>
        <w:rPr>
          <w:noProof/>
        </w:rPr>
        <w:t>pracovních skupin výkonným ředitelem a činnosti pracovních skupin jsou stanoveny ve vnitřních organizačních předpisech agentury.</w:t>
      </w:r>
    </w:p>
    <w:p w:rsidR="00557911" w:rsidRDefault="00623804">
      <w:pPr>
        <w:pStyle w:val="ManualNumPar1"/>
        <w:rPr>
          <w:noProof/>
        </w:rPr>
      </w:pPr>
      <w:r>
        <w:t>5.</w:t>
      </w:r>
      <w:r>
        <w:tab/>
      </w:r>
      <w:r>
        <w:rPr>
          <w:noProof/>
        </w:rPr>
        <w:t>Výkonný ředitel rozhodne, zda je nezbytné umístit jednoho či více zaměstnanců v jednom nebo více členských státech za účelem</w:t>
      </w:r>
      <w:r>
        <w:rPr>
          <w:noProof/>
        </w:rPr>
        <w:t xml:space="preserve"> účinného a efektivního provádění úkolů agentury. Před rozhodnutím o zřízení místního úřadu výkonný ředitel získá předchozí souhlas Komise, správní rady a dotčeného členského státu nebo států. Uvedeným rozhodnutím se určí rozsah činností, jež mají být v da</w:t>
      </w:r>
      <w:r>
        <w:rPr>
          <w:noProof/>
        </w:rPr>
        <w:t>ném místním úřadu prováděny, způsobem, který zabrání zbytečným nákladům a zdvojování správních funkcí agentury. V příslušném případě nebo v případě nutnosti se s dotčeným členským státem nebo státy uzavře dohoda.</w:t>
      </w:r>
    </w:p>
    <w:p w:rsidR="00557911" w:rsidRDefault="00557911">
      <w:pPr>
        <w:rPr>
          <w:noProof/>
        </w:rPr>
      </w:pPr>
    </w:p>
    <w:p w:rsidR="00557911" w:rsidRDefault="00623804">
      <w:pPr>
        <w:pStyle w:val="SectionTitle"/>
        <w:rPr>
          <w:noProof/>
        </w:rPr>
      </w:pPr>
      <w:bookmarkStart w:id="30" w:name="_Toc492216473"/>
      <w:r>
        <w:rPr>
          <w:noProof/>
        </w:rPr>
        <w:t>ODDÍL 4</w:t>
      </w:r>
      <w:r>
        <w:rPr>
          <w:noProof/>
        </w:rPr>
        <w:br/>
        <w:t>STÁLÁ SKUPINA ZÚČASTNĚNÝCH STRAN</w:t>
      </w:r>
      <w:bookmarkEnd w:id="30"/>
    </w:p>
    <w:p w:rsidR="00557911" w:rsidRDefault="00623804">
      <w:pPr>
        <w:pStyle w:val="Titrearticle"/>
        <w:spacing w:before="0" w:after="0"/>
        <w:rPr>
          <w:rFonts w:eastAsia="Times New Roman"/>
          <w:b/>
          <w:i w:val="0"/>
          <w:noProof/>
        </w:rPr>
      </w:pPr>
      <w:r>
        <w:rPr>
          <w:noProof/>
        </w:rPr>
        <w:t>Č</w:t>
      </w:r>
      <w:r>
        <w:rPr>
          <w:noProof/>
        </w:rPr>
        <w:t>lánek 20</w:t>
      </w:r>
      <w:r>
        <w:rPr>
          <w:noProof/>
        </w:rPr>
        <w:br/>
      </w:r>
      <w:r>
        <w:rPr>
          <w:b/>
          <w:noProof/>
        </w:rPr>
        <w:t>Stálá skupina zúčastněných stran</w:t>
      </w:r>
    </w:p>
    <w:p w:rsidR="00557911" w:rsidRDefault="00623804">
      <w:pPr>
        <w:pStyle w:val="ManualNumPar1"/>
        <w:rPr>
          <w:noProof/>
        </w:rPr>
      </w:pPr>
      <w:r>
        <w:t>1.</w:t>
      </w:r>
      <w:r>
        <w:tab/>
      </w:r>
      <w:r>
        <w:rPr>
          <w:noProof/>
        </w:rPr>
        <w:t>Správní rada na návrh výkonného ředitele ustaví stálou skupinu zúčastněných stran složenou z uznávaných odborníků zastupujících příslušné zúčastněné strany, jako jsou odvětví informačních a komunikačních technol</w:t>
      </w:r>
      <w:r>
        <w:rPr>
          <w:noProof/>
        </w:rPr>
        <w:t>ogií, poskytovatelé veřejně dostupných sítí nebo služeb elektronických komunikací, organizace spotřebitelů, akademičtí odborníci v oblasti kybernetické bezpečnosti a zástupci příslušných orgánů oznámených podle [směrnice, kterou se stanoví evropský kodex p</w:t>
      </w:r>
      <w:r>
        <w:rPr>
          <w:noProof/>
        </w:rPr>
        <w:t>ro elektronické komunikace] i donucovacích orgánů a orgánů dozoru pro ochranu údajů.</w:t>
      </w:r>
    </w:p>
    <w:p w:rsidR="00557911" w:rsidRDefault="00623804">
      <w:pPr>
        <w:pStyle w:val="ManualNumPar1"/>
        <w:rPr>
          <w:noProof/>
        </w:rPr>
      </w:pPr>
      <w:r>
        <w:t>2.</w:t>
      </w:r>
      <w:r>
        <w:tab/>
      </w:r>
      <w:r>
        <w:rPr>
          <w:noProof/>
        </w:rPr>
        <w:t xml:space="preserve">Postupy týkající se stálé skupiny zúčastněných stran, zejména počtu, složení a jmenování jejích členů správní radou, návrhu výkonného ředitele a činnosti skupiny jsou </w:t>
      </w:r>
      <w:r>
        <w:rPr>
          <w:noProof/>
        </w:rPr>
        <w:t>stanoveny ve vnitřních organizačních předpisech agentury a jsou zveřejňovány.</w:t>
      </w:r>
    </w:p>
    <w:p w:rsidR="00557911" w:rsidRDefault="00623804">
      <w:pPr>
        <w:pStyle w:val="ManualNumPar1"/>
        <w:rPr>
          <w:noProof/>
        </w:rPr>
      </w:pPr>
      <w:r>
        <w:t>3.</w:t>
      </w:r>
      <w:r>
        <w:tab/>
      </w:r>
      <w:r>
        <w:rPr>
          <w:noProof/>
        </w:rPr>
        <w:t>Stálé skupině zúčastněných stran předsedá výkonný ředitel nebo osoba, kterou výkonný ředitel pro danou záležitost určí.</w:t>
      </w:r>
    </w:p>
    <w:p w:rsidR="00557911" w:rsidRDefault="00623804">
      <w:pPr>
        <w:pStyle w:val="ManualNumPar1"/>
        <w:rPr>
          <w:noProof/>
        </w:rPr>
      </w:pPr>
      <w:r>
        <w:t>4.</w:t>
      </w:r>
      <w:r>
        <w:tab/>
      </w:r>
      <w:r>
        <w:rPr>
          <w:noProof/>
        </w:rPr>
        <w:t>Funkční období členů stálé skupiny zúčastněných stra</w:t>
      </w:r>
      <w:r>
        <w:rPr>
          <w:noProof/>
        </w:rPr>
        <w:t>n je dva a půl roku. Členy stálé skupiny zúčastněných stran nesmějí být členové správní rady. Odborníci z řad Komise a členských států jsou oprávněni účastnit se zasedání a podílet se na činnosti stálé skupiny zúčastněných stran. K účasti na zasedáních a n</w:t>
      </w:r>
      <w:r>
        <w:rPr>
          <w:noProof/>
        </w:rPr>
        <w:t>a činnosti stálé skupiny zúčastněných stran mohou být přizváni zástupci dalších subjektů, kteří nejsou členy stálé skupiny zúčastněných stran a jejichž účast považuje výkonný ředitel za důležitou.</w:t>
      </w:r>
    </w:p>
    <w:p w:rsidR="00557911" w:rsidRDefault="00623804">
      <w:pPr>
        <w:pStyle w:val="ManualNumPar1"/>
        <w:rPr>
          <w:noProof/>
        </w:rPr>
      </w:pPr>
      <w:r>
        <w:t>5.</w:t>
      </w:r>
      <w:r>
        <w:tab/>
      </w:r>
      <w:r>
        <w:rPr>
          <w:noProof/>
        </w:rPr>
        <w:t>Stálá skupina zúčastněných stran poskytuje agentuře pora</w:t>
      </w:r>
      <w:r>
        <w:rPr>
          <w:noProof/>
        </w:rPr>
        <w:t>denství při výkonu jejích činností. Radí zejména výkonnému řediteli při vypracovávání návrhu pracovního programu agentury a při zajišťování komunikace s příslušnými zúčastněnými stranami ve všech otázkách souvisejících s pracovním programem.</w:t>
      </w:r>
    </w:p>
    <w:p w:rsidR="00557911" w:rsidRDefault="00557911">
      <w:pPr>
        <w:rPr>
          <w:noProof/>
        </w:rPr>
      </w:pPr>
    </w:p>
    <w:p w:rsidR="00557911" w:rsidRDefault="00623804">
      <w:pPr>
        <w:pStyle w:val="SectionTitle"/>
        <w:rPr>
          <w:rFonts w:eastAsia="Times New Roman"/>
          <w:noProof/>
        </w:rPr>
      </w:pPr>
      <w:bookmarkStart w:id="31" w:name="_Toc492216474"/>
      <w:r>
        <w:rPr>
          <w:noProof/>
        </w:rPr>
        <w:t>ODDÍL 5</w:t>
      </w:r>
      <w:r>
        <w:rPr>
          <w:noProof/>
        </w:rPr>
        <w:br/>
        <w:t>ČINNO</w:t>
      </w:r>
      <w:r>
        <w:rPr>
          <w:noProof/>
        </w:rPr>
        <w:t>ST</w:t>
      </w:r>
      <w:bookmarkEnd w:id="31"/>
    </w:p>
    <w:p w:rsidR="00557911" w:rsidRDefault="00623804">
      <w:pPr>
        <w:pStyle w:val="Titrearticle"/>
        <w:spacing w:before="0" w:after="0"/>
        <w:rPr>
          <w:rFonts w:eastAsia="Times New Roman"/>
          <w:b/>
          <w:i w:val="0"/>
          <w:noProof/>
        </w:rPr>
      </w:pPr>
      <w:r>
        <w:rPr>
          <w:noProof/>
        </w:rPr>
        <w:t>Článek 21</w:t>
      </w:r>
      <w:r>
        <w:rPr>
          <w:noProof/>
        </w:rPr>
        <w:br/>
      </w:r>
      <w:r>
        <w:rPr>
          <w:b/>
          <w:noProof/>
        </w:rPr>
        <w:t xml:space="preserve">Jednotný programový dokument </w:t>
      </w:r>
    </w:p>
    <w:p w:rsidR="00557911" w:rsidRDefault="00623804">
      <w:pPr>
        <w:pStyle w:val="ManualNumPar1"/>
        <w:rPr>
          <w:noProof/>
        </w:rPr>
      </w:pPr>
      <w:r>
        <w:t>1.</w:t>
      </w:r>
      <w:r>
        <w:tab/>
      </w:r>
      <w:r>
        <w:rPr>
          <w:noProof/>
        </w:rPr>
        <w:t>Agentura vykonává svou činnost v souladu s jednotným programovým dokumentem obsahujícím její víceletý a roční program, který obsahuje všechny plánované aktivity.</w:t>
      </w:r>
    </w:p>
    <w:p w:rsidR="00557911" w:rsidRDefault="00623804">
      <w:pPr>
        <w:pStyle w:val="ManualNumPar1"/>
        <w:rPr>
          <w:noProof/>
        </w:rPr>
      </w:pPr>
      <w:r>
        <w:t>2.</w:t>
      </w:r>
      <w:r>
        <w:tab/>
      </w:r>
      <w:r>
        <w:rPr>
          <w:noProof/>
        </w:rPr>
        <w:t>Výkonný ředitel každý rok vypracuje návrh jed</w:t>
      </w:r>
      <w:r>
        <w:rPr>
          <w:noProof/>
        </w:rPr>
        <w:t>notného programového dokumentu, který obsahuje roční a víceletý program spolu s odpovídajícím plánem lidských a finančních zdrojů v souladu s článkem 32 nařízení Komise v přenesené pravomoci (EU) č. 1271/2013</w:t>
      </w:r>
      <w:r>
        <w:rPr>
          <w:rStyle w:val="FootnoteReference"/>
          <w:noProof/>
        </w:rPr>
        <w:footnoteReference w:id="37"/>
      </w:r>
      <w:r>
        <w:rPr>
          <w:noProof/>
        </w:rPr>
        <w:t>, přičemž zohlední pokyny stanovené Komisí.</w:t>
      </w:r>
    </w:p>
    <w:p w:rsidR="00557911" w:rsidRDefault="00623804">
      <w:pPr>
        <w:pStyle w:val="ManualNumPar1"/>
        <w:rPr>
          <w:noProof/>
        </w:rPr>
      </w:pPr>
      <w:r>
        <w:t>3.</w:t>
      </w:r>
      <w:r>
        <w:tab/>
      </w:r>
      <w:r>
        <w:rPr>
          <w:noProof/>
        </w:rPr>
        <w:t>Jednotný programový dokument uvedený v odstavci 1 přijme správní rada do 30. listopadu každého roku a předá jej Evropskému parlamentu, Radě a Komisi do 31. ledna následujícího roku; to se týká i všech pozdějších aktualizovaných verzí tohoto dokumentu.</w:t>
      </w:r>
    </w:p>
    <w:p w:rsidR="00557911" w:rsidRDefault="00623804">
      <w:pPr>
        <w:pStyle w:val="ManualNumPar1"/>
        <w:rPr>
          <w:noProof/>
        </w:rPr>
      </w:pPr>
      <w:r>
        <w:t>4.</w:t>
      </w:r>
      <w:r>
        <w:tab/>
      </w:r>
      <w:r>
        <w:rPr>
          <w:noProof/>
        </w:rPr>
        <w:t>J</w:t>
      </w:r>
      <w:r>
        <w:rPr>
          <w:noProof/>
        </w:rPr>
        <w:t>ednotný programový dokument nabývá definitivní podoby po konečném přijetí souhrnného rozpočtu Unie a v případě potřeby se odpovídajícím způsobem upraví.</w:t>
      </w:r>
    </w:p>
    <w:p w:rsidR="00557911" w:rsidRDefault="00623804">
      <w:pPr>
        <w:pStyle w:val="ManualNumPar1"/>
        <w:rPr>
          <w:noProof/>
        </w:rPr>
      </w:pPr>
      <w:r>
        <w:t>5.</w:t>
      </w:r>
      <w:r>
        <w:tab/>
      </w:r>
      <w:r>
        <w:rPr>
          <w:noProof/>
        </w:rPr>
        <w:t>Roční pracovní program obsahuje podrobné cíle a očekávané výsledky včetně ukazatelů výkonnosti. Obsa</w:t>
      </w:r>
      <w:r>
        <w:rPr>
          <w:noProof/>
        </w:rPr>
        <w:t>huje rovněž popis opatření, která mají být financována, a stanovení finančních a lidských zdrojů, které jsou na jednotlivá opatření přiděleny, v souladu se zásadami sestavování rozpočtu a řízení podle činností. Roční pracovní program musí být v souladu s v</w:t>
      </w:r>
      <w:r>
        <w:rPr>
          <w:noProof/>
        </w:rPr>
        <w:t>íceletým pracovním programem uvedeným v odstavci 7. Je v něm jasně uvedeno, jaké úkoly byly ve srovnání s předchozím rozpočtovým rokem přidány, změněny nebo zrušeny.</w:t>
      </w:r>
    </w:p>
    <w:p w:rsidR="00557911" w:rsidRDefault="00623804">
      <w:pPr>
        <w:pStyle w:val="ManualNumPar1"/>
        <w:rPr>
          <w:noProof/>
        </w:rPr>
      </w:pPr>
      <w:r>
        <w:t>6.</w:t>
      </w:r>
      <w:r>
        <w:tab/>
      </w:r>
      <w:r>
        <w:rPr>
          <w:noProof/>
        </w:rPr>
        <w:t>Je-li agentuře svěřen nový úkol, správní rada přijatý roční pracovní program změní. Každá podstatná změna ročního pracovního programu se přijme stejným postupem jako původní roční pracovní program. Správní rada může přenést pravomoc k provádění nepodstatný</w:t>
      </w:r>
      <w:r>
        <w:rPr>
          <w:noProof/>
        </w:rPr>
        <w:t xml:space="preserve">ch změn ročního pracovního programu na výkonného ředitele. </w:t>
      </w:r>
    </w:p>
    <w:p w:rsidR="00557911" w:rsidRDefault="00623804">
      <w:pPr>
        <w:pStyle w:val="ManualNumPar1"/>
        <w:rPr>
          <w:noProof/>
        </w:rPr>
      </w:pPr>
      <w:r>
        <w:t>7.</w:t>
      </w:r>
      <w:r>
        <w:tab/>
      </w:r>
      <w:r>
        <w:rPr>
          <w:noProof/>
        </w:rPr>
        <w:t xml:space="preserve">Víceletý pracovní program stanoví celkový strategický plán včetně cílů, očekávaných výsledků a ukazatelů výkonnosti. Stanoví rovněž plán zdrojů včetně víceletého rozpočtu a zaměstnanců. </w:t>
      </w:r>
    </w:p>
    <w:p w:rsidR="00557911" w:rsidRDefault="00623804">
      <w:pPr>
        <w:pStyle w:val="ManualNumPar1"/>
        <w:rPr>
          <w:noProof/>
        </w:rPr>
      </w:pPr>
      <w:r>
        <w:t>8.</w:t>
      </w:r>
      <w:r>
        <w:tab/>
      </w:r>
      <w:r>
        <w:rPr>
          <w:noProof/>
        </w:rPr>
        <w:t>Plá</w:t>
      </w:r>
      <w:r>
        <w:rPr>
          <w:noProof/>
        </w:rPr>
        <w:t>n zdrojů je jednou ročně aktualizován. Strategický plán je aktualizován podle potřeby, a zejména je-li nutno zohlednit výsledek hodnocení uvedeného v článku 56.</w:t>
      </w:r>
    </w:p>
    <w:p w:rsidR="00557911" w:rsidRDefault="00557911">
      <w:pPr>
        <w:spacing w:after="0"/>
        <w:rPr>
          <w:rFonts w:eastAsia="Times New Roman"/>
          <w:noProof/>
          <w:szCs w:val="24"/>
        </w:rPr>
      </w:pPr>
    </w:p>
    <w:p w:rsidR="00557911" w:rsidRDefault="00623804">
      <w:pPr>
        <w:pStyle w:val="Titrearticle"/>
        <w:spacing w:before="0" w:after="0"/>
        <w:rPr>
          <w:b/>
          <w:noProof/>
        </w:rPr>
      </w:pPr>
      <w:r>
        <w:rPr>
          <w:noProof/>
        </w:rPr>
        <w:t>Článek 22</w:t>
      </w:r>
      <w:r>
        <w:rPr>
          <w:noProof/>
        </w:rPr>
        <w:br/>
      </w:r>
      <w:r>
        <w:rPr>
          <w:b/>
          <w:noProof/>
        </w:rPr>
        <w:t>Prohlášení o zájmech</w:t>
      </w:r>
    </w:p>
    <w:p w:rsidR="00557911" w:rsidRDefault="00623804">
      <w:pPr>
        <w:pStyle w:val="ManualNumPar1"/>
        <w:rPr>
          <w:noProof/>
        </w:rPr>
      </w:pPr>
      <w:r>
        <w:t>1.</w:t>
      </w:r>
      <w:r>
        <w:tab/>
      </w:r>
      <w:r>
        <w:rPr>
          <w:noProof/>
        </w:rPr>
        <w:t>Členové správní rady, výkonný ředitel a úředníci dočasně při</w:t>
      </w:r>
      <w:r>
        <w:rPr>
          <w:noProof/>
        </w:rPr>
        <w:t xml:space="preserve">dělení členskými státy učiní prohlášení o závazcích a prohlášení, z něhož vyplývá, že neexistují, nebo naopak existují přímé či nepřímé zájmy, které by bylo možné považovat za zájmy ovlivňující jejich nezávislost. Tato prohlášení musí být správná a úplná, </w:t>
      </w:r>
      <w:r>
        <w:rPr>
          <w:noProof/>
        </w:rPr>
        <w:t>musí být podávána každoročně písemnou formou a v případě potřeby aktualizována.</w:t>
      </w:r>
    </w:p>
    <w:p w:rsidR="00557911" w:rsidRDefault="00623804">
      <w:pPr>
        <w:pStyle w:val="ManualNumPar1"/>
        <w:rPr>
          <w:noProof/>
        </w:rPr>
      </w:pPr>
      <w:r>
        <w:t>2.</w:t>
      </w:r>
      <w:r>
        <w:tab/>
      </w:r>
      <w:r>
        <w:rPr>
          <w:noProof/>
        </w:rPr>
        <w:t xml:space="preserve">Členové správní rady, výkonný ředitel a externí odborníci, kteří spolupracují na činnosti pracovních skupin </w:t>
      </w:r>
      <w:r>
        <w:rPr>
          <w:i/>
          <w:noProof/>
        </w:rPr>
        <w:t>ad hoc</w:t>
      </w:r>
      <w:r>
        <w:rPr>
          <w:noProof/>
        </w:rPr>
        <w:t>, učiní nejpozději na začátku každého zasedání pravdivé a ú</w:t>
      </w:r>
      <w:r>
        <w:rPr>
          <w:noProof/>
        </w:rPr>
        <w:t>plné prohlášení o zájmech, které by bylo možné považovat za zájmy ovlivňující jejich nezávislost vzhledem k bodům na pořadu jednání, a neúčastní se jednání a hlasování o těchto bodech.</w:t>
      </w:r>
    </w:p>
    <w:p w:rsidR="00557911" w:rsidRDefault="00623804">
      <w:pPr>
        <w:pStyle w:val="ManualNumPar1"/>
        <w:rPr>
          <w:noProof/>
        </w:rPr>
      </w:pPr>
      <w:r>
        <w:t>3.</w:t>
      </w:r>
      <w:r>
        <w:tab/>
      </w:r>
      <w:r>
        <w:rPr>
          <w:noProof/>
        </w:rPr>
        <w:t>Agentura ve svých vnitřních organizačních předpisech stanoví praktic</w:t>
      </w:r>
      <w:r>
        <w:rPr>
          <w:noProof/>
        </w:rPr>
        <w:t>ká opatření upravující pravidla týkající se prohlášení o zájmech podle odstavců 1 a 2.</w:t>
      </w:r>
    </w:p>
    <w:p w:rsidR="00557911" w:rsidRDefault="00557911">
      <w:pPr>
        <w:rPr>
          <w:noProof/>
        </w:rPr>
      </w:pPr>
    </w:p>
    <w:p w:rsidR="00557911" w:rsidRDefault="00623804">
      <w:pPr>
        <w:pStyle w:val="Titrearticle"/>
        <w:spacing w:before="0" w:after="0"/>
        <w:rPr>
          <w:rFonts w:eastAsia="Times New Roman"/>
          <w:b/>
          <w:i w:val="0"/>
          <w:noProof/>
        </w:rPr>
      </w:pPr>
      <w:r>
        <w:rPr>
          <w:noProof/>
        </w:rPr>
        <w:t>Článek 23</w:t>
      </w:r>
      <w:r>
        <w:rPr>
          <w:noProof/>
        </w:rPr>
        <w:br/>
      </w:r>
      <w:r>
        <w:rPr>
          <w:b/>
          <w:noProof/>
        </w:rPr>
        <w:t>Transparentnost</w:t>
      </w:r>
    </w:p>
    <w:p w:rsidR="00557911" w:rsidRDefault="00623804">
      <w:pPr>
        <w:pStyle w:val="ManualNumPar1"/>
        <w:rPr>
          <w:noProof/>
        </w:rPr>
      </w:pPr>
      <w:r>
        <w:t>1.</w:t>
      </w:r>
      <w:r>
        <w:tab/>
      </w:r>
      <w:r>
        <w:rPr>
          <w:noProof/>
        </w:rPr>
        <w:t>Agentura vykonává své činnosti s vysokou mírou transparentnosti a v souladu s článkem 25.</w:t>
      </w:r>
    </w:p>
    <w:p w:rsidR="00557911" w:rsidRDefault="00623804">
      <w:pPr>
        <w:pStyle w:val="ManualNumPar1"/>
        <w:rPr>
          <w:noProof/>
        </w:rPr>
      </w:pPr>
      <w:r>
        <w:t>2.</w:t>
      </w:r>
      <w:r>
        <w:tab/>
      </w:r>
      <w:r>
        <w:rPr>
          <w:noProof/>
        </w:rPr>
        <w:t>Agentura zajistí, aby veřejnost a všechny zain</w:t>
      </w:r>
      <w:r>
        <w:rPr>
          <w:noProof/>
        </w:rPr>
        <w:t>teresované strany měly k dispozici náležité, objektivní, spolehlivé a snadno dostupné informace, zejména s ohledem na výsledky její činnosti. Zveřejní rovněž prohlášení o zájmech učiněná v souladu s článkem 22.</w:t>
      </w:r>
    </w:p>
    <w:p w:rsidR="00557911" w:rsidRDefault="00623804">
      <w:pPr>
        <w:pStyle w:val="ManualNumPar1"/>
        <w:rPr>
          <w:noProof/>
        </w:rPr>
      </w:pPr>
      <w:r>
        <w:t>3.</w:t>
      </w:r>
      <w:r>
        <w:tab/>
      </w:r>
      <w:r>
        <w:rPr>
          <w:noProof/>
        </w:rPr>
        <w:t>Správní rada může na návrh výkonného ředit</w:t>
      </w:r>
      <w:r>
        <w:rPr>
          <w:noProof/>
        </w:rPr>
        <w:t>ele zainteresovaným stranám umožnit, aby se účastnily projednání některých činností agentury jako pozorovatelé.</w:t>
      </w:r>
    </w:p>
    <w:p w:rsidR="00557911" w:rsidRDefault="00623804">
      <w:pPr>
        <w:pStyle w:val="ManualNumPar1"/>
        <w:rPr>
          <w:noProof/>
        </w:rPr>
      </w:pPr>
      <w:r>
        <w:t>4.</w:t>
      </w:r>
      <w:r>
        <w:tab/>
      </w:r>
      <w:r>
        <w:rPr>
          <w:noProof/>
        </w:rPr>
        <w:t>Agentura ve svých vnitřních organizačních předpisech stanoví praktická opatření pro provádění pravidel transparentnosti podle odstavců 1 a 2.</w:t>
      </w:r>
    </w:p>
    <w:p w:rsidR="00557911" w:rsidRDefault="00557911">
      <w:pPr>
        <w:rPr>
          <w:noProof/>
        </w:rPr>
      </w:pPr>
    </w:p>
    <w:p w:rsidR="00557911" w:rsidRDefault="00623804">
      <w:pPr>
        <w:pStyle w:val="Titrearticle"/>
        <w:spacing w:before="0" w:after="0"/>
        <w:rPr>
          <w:rFonts w:eastAsia="Times New Roman"/>
          <w:b/>
          <w:i w:val="0"/>
          <w:noProof/>
        </w:rPr>
      </w:pPr>
      <w:r>
        <w:rPr>
          <w:noProof/>
        </w:rPr>
        <w:t>Článek 24</w:t>
      </w:r>
      <w:r>
        <w:rPr>
          <w:noProof/>
        </w:rPr>
        <w:br/>
      </w:r>
      <w:r>
        <w:rPr>
          <w:b/>
          <w:noProof/>
        </w:rPr>
        <w:t>Důvěrnost</w:t>
      </w:r>
    </w:p>
    <w:p w:rsidR="00557911" w:rsidRDefault="00623804">
      <w:pPr>
        <w:pStyle w:val="ManualNumPar1"/>
        <w:rPr>
          <w:noProof/>
        </w:rPr>
      </w:pPr>
      <w:r>
        <w:t>1.</w:t>
      </w:r>
      <w:r>
        <w:tab/>
      </w:r>
      <w:r>
        <w:rPr>
          <w:noProof/>
        </w:rPr>
        <w:t>Aniž je dotčen článek 25, agentura nesděluje třetím osobám informace, které zpracovává nebo které obdržela a pro které bylo odůvodněně vyžádáno zcela či částečně důvěrné zacházení.</w:t>
      </w:r>
    </w:p>
    <w:p w:rsidR="00557911" w:rsidRDefault="00623804">
      <w:pPr>
        <w:pStyle w:val="ManualNumPar1"/>
        <w:rPr>
          <w:noProof/>
        </w:rPr>
      </w:pPr>
      <w:r>
        <w:t>2.</w:t>
      </w:r>
      <w:r>
        <w:tab/>
      </w:r>
      <w:r>
        <w:rPr>
          <w:noProof/>
        </w:rPr>
        <w:t xml:space="preserve">Členové správní rady, výkonný ředitel, členové stálé skupiny zúčastněných stran, externí odborníci účastnící se pracovních skupin </w:t>
      </w:r>
      <w:r>
        <w:rPr>
          <w:i/>
          <w:noProof/>
        </w:rPr>
        <w:t>ad hoc</w:t>
      </w:r>
      <w:r>
        <w:rPr>
          <w:noProof/>
        </w:rPr>
        <w:t xml:space="preserve"> a zaměstnanci agentury, včetně úředníků dočasně přidělených členskými státy, jsou povinni i po skončení svých funkcí do</w:t>
      </w:r>
      <w:r>
        <w:rPr>
          <w:noProof/>
        </w:rPr>
        <w:t>držovat požadavky na důvěrnost podle článku 339 Smlouvy o fungování Evropské unie (dále jen „Smlouva o fungování EU“).</w:t>
      </w:r>
    </w:p>
    <w:p w:rsidR="00557911" w:rsidRDefault="00623804">
      <w:pPr>
        <w:pStyle w:val="ManualNumPar1"/>
        <w:rPr>
          <w:noProof/>
        </w:rPr>
      </w:pPr>
      <w:r>
        <w:t>3.</w:t>
      </w:r>
      <w:r>
        <w:tab/>
      </w:r>
      <w:r>
        <w:rPr>
          <w:noProof/>
        </w:rPr>
        <w:t>Agentura ve svých vnitřních organizačních předpisech stanoví praktická opatření pro provádění pravidel důvěrnosti podle odstavců 1 a 2</w:t>
      </w:r>
      <w:r>
        <w:rPr>
          <w:noProof/>
        </w:rPr>
        <w:t>.</w:t>
      </w:r>
    </w:p>
    <w:p w:rsidR="00557911" w:rsidRDefault="00623804">
      <w:pPr>
        <w:pStyle w:val="ManualNumPar1"/>
        <w:rPr>
          <w:noProof/>
        </w:rPr>
      </w:pPr>
      <w:r>
        <w:t>4.</w:t>
      </w:r>
      <w:r>
        <w:tab/>
      </w:r>
      <w:r>
        <w:rPr>
          <w:noProof/>
        </w:rPr>
        <w:t>Pokud je to třeba pro vykonávání úkolů agentury, správní rada rozhodne, že agentuře umožní zpracovávat utajované informace. Správní rada v tomto případě po dohodě s útvary Komise přijme vnitřní organizační předpisy, v nichž se uplatňují bezpečnostní z</w:t>
      </w:r>
      <w:r>
        <w:rPr>
          <w:noProof/>
        </w:rPr>
        <w:t>ásady stanovené v rozhodnutích Komise (EU, Euratom) 2015/443</w:t>
      </w:r>
      <w:r>
        <w:rPr>
          <w:rStyle w:val="FootnoteReference"/>
          <w:noProof/>
        </w:rPr>
        <w:footnoteReference w:id="38"/>
      </w:r>
      <w:r>
        <w:rPr>
          <w:noProof/>
        </w:rPr>
        <w:t xml:space="preserve"> a 2015/444</w:t>
      </w:r>
      <w:r>
        <w:rPr>
          <w:rStyle w:val="FootnoteReference"/>
          <w:noProof/>
        </w:rPr>
        <w:footnoteReference w:id="39"/>
      </w:r>
      <w:r>
        <w:rPr>
          <w:noProof/>
        </w:rPr>
        <w:t>. Tyto předpisy musí zahrnovat ustanovení o výměně, zpracování a ukládání utajovaných informací.</w:t>
      </w:r>
    </w:p>
    <w:p w:rsidR="00557911" w:rsidRDefault="00557911">
      <w:pPr>
        <w:rPr>
          <w:noProof/>
        </w:rPr>
      </w:pPr>
    </w:p>
    <w:p w:rsidR="00557911" w:rsidRDefault="00623804">
      <w:pPr>
        <w:pStyle w:val="Titrearticle"/>
        <w:spacing w:before="0" w:after="0"/>
        <w:rPr>
          <w:rFonts w:eastAsia="Times New Roman"/>
          <w:b/>
          <w:i w:val="0"/>
          <w:noProof/>
        </w:rPr>
      </w:pPr>
      <w:r>
        <w:rPr>
          <w:noProof/>
        </w:rPr>
        <w:t>Článek 25</w:t>
      </w:r>
      <w:r>
        <w:rPr>
          <w:noProof/>
        </w:rPr>
        <w:br/>
      </w:r>
      <w:r>
        <w:rPr>
          <w:b/>
          <w:noProof/>
        </w:rPr>
        <w:t>Přístup k dokumentům</w:t>
      </w:r>
    </w:p>
    <w:p w:rsidR="00557911" w:rsidRDefault="00623804">
      <w:pPr>
        <w:pStyle w:val="ManualNumPar1"/>
        <w:rPr>
          <w:noProof/>
        </w:rPr>
      </w:pPr>
      <w:r>
        <w:t>1.</w:t>
      </w:r>
      <w:r>
        <w:tab/>
      </w:r>
      <w:r>
        <w:rPr>
          <w:noProof/>
        </w:rPr>
        <w:t>Na dokumenty, které má agentura v držení, se vztahu</w:t>
      </w:r>
      <w:r>
        <w:rPr>
          <w:noProof/>
        </w:rPr>
        <w:t>je nařízení (ES) č. 1049/2001.</w:t>
      </w:r>
    </w:p>
    <w:p w:rsidR="00557911" w:rsidRDefault="00623804">
      <w:pPr>
        <w:pStyle w:val="ManualNumPar1"/>
        <w:rPr>
          <w:noProof/>
        </w:rPr>
      </w:pPr>
      <w:r>
        <w:t>2.</w:t>
      </w:r>
      <w:r>
        <w:tab/>
      </w:r>
      <w:r>
        <w:rPr>
          <w:noProof/>
        </w:rPr>
        <w:t>Správní rada přijme do šesti měsíců od zřízení agentury prováděcí pravidla k nařízení (ES) č. 1049/2001.</w:t>
      </w:r>
    </w:p>
    <w:p w:rsidR="00557911" w:rsidRDefault="00623804">
      <w:pPr>
        <w:pStyle w:val="ManualNumPar1"/>
        <w:rPr>
          <w:noProof/>
        </w:rPr>
      </w:pPr>
      <w:r>
        <w:t>3.</w:t>
      </w:r>
      <w:r>
        <w:tab/>
      </w:r>
      <w:r>
        <w:rPr>
          <w:noProof/>
        </w:rPr>
        <w:t>Proti rozhodnutím přijatým agenturou podle článku 8 nařízení (ES) č. 1049/2001 lze podat stížnost veřejnému ochrán</w:t>
      </w:r>
      <w:r>
        <w:rPr>
          <w:noProof/>
        </w:rPr>
        <w:t>ci práv za podmínek stanovených v článku 228 Smlouvy o fungování EU nebo žalobu k Soudnímu dvoru Evropské unie za podmínek stanovených v článku 263 Smlouvy o fungování EU.</w:t>
      </w:r>
    </w:p>
    <w:p w:rsidR="00557911" w:rsidRDefault="00557911">
      <w:pPr>
        <w:spacing w:before="480" w:after="0"/>
        <w:jc w:val="center"/>
        <w:rPr>
          <w:rFonts w:eastAsia="Times New Roman"/>
          <w:b/>
          <w:bCs/>
          <w:noProof/>
          <w:szCs w:val="24"/>
        </w:rPr>
      </w:pPr>
    </w:p>
    <w:p w:rsidR="00557911" w:rsidRDefault="00623804">
      <w:pPr>
        <w:pStyle w:val="ChapterTitle"/>
        <w:rPr>
          <w:noProof/>
        </w:rPr>
      </w:pPr>
      <w:bookmarkStart w:id="33" w:name="_Toc492216475"/>
      <w:r>
        <w:rPr>
          <w:noProof/>
        </w:rPr>
        <w:t>KAPITOLA III</w:t>
      </w:r>
      <w:r>
        <w:rPr>
          <w:noProof/>
        </w:rPr>
        <w:br/>
        <w:t>SESTAVOVÁNÍ A SKLADBA ROZPOČTU</w:t>
      </w:r>
      <w:bookmarkEnd w:id="33"/>
    </w:p>
    <w:p w:rsidR="00557911" w:rsidRDefault="00623804">
      <w:pPr>
        <w:pStyle w:val="Titrearticle"/>
        <w:spacing w:before="0" w:after="0"/>
        <w:rPr>
          <w:rFonts w:eastAsia="Times New Roman"/>
          <w:b/>
          <w:i w:val="0"/>
          <w:noProof/>
        </w:rPr>
      </w:pPr>
      <w:r>
        <w:rPr>
          <w:noProof/>
        </w:rPr>
        <w:t>Článek 26</w:t>
      </w:r>
      <w:r>
        <w:rPr>
          <w:noProof/>
        </w:rPr>
        <w:br/>
      </w:r>
      <w:r>
        <w:rPr>
          <w:b/>
          <w:noProof/>
        </w:rPr>
        <w:t>Sestavování rozpočtu</w:t>
      </w:r>
    </w:p>
    <w:p w:rsidR="00557911" w:rsidRDefault="00623804">
      <w:pPr>
        <w:pStyle w:val="ManualNumPar1"/>
        <w:rPr>
          <w:noProof/>
        </w:rPr>
      </w:pPr>
      <w:r>
        <w:t>1.</w:t>
      </w:r>
      <w:r>
        <w:tab/>
      </w:r>
      <w:r>
        <w:rPr>
          <w:noProof/>
        </w:rPr>
        <w:t>Výkonný ředitel každý rok vypracuje návrh odhadu příjmů a výdajů agentury pro následující rozpočtový rok a spolu s návrhem plánu pracovních míst jej předá správní radě. Příjmy a výdaje musí být vyrovnané.</w:t>
      </w:r>
    </w:p>
    <w:p w:rsidR="00557911" w:rsidRDefault="00623804">
      <w:pPr>
        <w:pStyle w:val="ManualNumPar1"/>
        <w:rPr>
          <w:noProof/>
        </w:rPr>
      </w:pPr>
      <w:r>
        <w:t>2.</w:t>
      </w:r>
      <w:r>
        <w:tab/>
      </w:r>
      <w:r>
        <w:rPr>
          <w:noProof/>
        </w:rPr>
        <w:t>Správní rada každý rok sestaví na základě návrhu</w:t>
      </w:r>
      <w:r>
        <w:rPr>
          <w:noProof/>
        </w:rPr>
        <w:t xml:space="preserve"> odhadu příjmů a výdajů uvedeného v odstavci 1 odhad příjmů a výdajů agentury pro následující rozpočtový rok.</w:t>
      </w:r>
    </w:p>
    <w:p w:rsidR="00557911" w:rsidRDefault="00623804">
      <w:pPr>
        <w:pStyle w:val="ManualNumPar1"/>
        <w:rPr>
          <w:noProof/>
        </w:rPr>
      </w:pPr>
      <w:r>
        <w:t>3.</w:t>
      </w:r>
      <w:r>
        <w:tab/>
      </w:r>
      <w:r>
        <w:rPr>
          <w:noProof/>
        </w:rPr>
        <w:t>Správní rada zašle každý rok do 31. ledna návrh odhadu uvedený v odstavci 2, který je součástí návrhu jednotného programového dokumentu, Komisi</w:t>
      </w:r>
      <w:r>
        <w:rPr>
          <w:noProof/>
        </w:rPr>
        <w:t xml:space="preserve"> a třetím zemím, s nimiž Unie uzavřela dohody v souladu s článkem 39.</w:t>
      </w:r>
    </w:p>
    <w:p w:rsidR="00557911" w:rsidRDefault="00623804">
      <w:pPr>
        <w:pStyle w:val="ManualNumPar1"/>
        <w:rPr>
          <w:noProof/>
        </w:rPr>
      </w:pPr>
      <w:r>
        <w:t>4.</w:t>
      </w:r>
      <w:r>
        <w:tab/>
      </w:r>
      <w:r>
        <w:rPr>
          <w:noProof/>
        </w:rPr>
        <w:t>Komise na základě tohoto odhadu zanese do návrhu rozpočtu Unie odhady, které považuje za nezbytné pro plán pracovních míst, a výši příspěvku ze souhrnného rozpočtu a předloží je Evrop</w:t>
      </w:r>
      <w:r>
        <w:rPr>
          <w:noProof/>
        </w:rPr>
        <w:t>skému parlamentu a Radě v souladu s články 313 a 314 Smlouvy o fungování EU.</w:t>
      </w:r>
    </w:p>
    <w:p w:rsidR="00557911" w:rsidRDefault="00623804">
      <w:pPr>
        <w:pStyle w:val="ManualNumPar1"/>
        <w:rPr>
          <w:noProof/>
        </w:rPr>
      </w:pPr>
      <w:r>
        <w:t>5.</w:t>
      </w:r>
      <w:r>
        <w:tab/>
      </w:r>
      <w:r>
        <w:rPr>
          <w:noProof/>
        </w:rPr>
        <w:t>Evropský parlament a Rada schvalují prostředky příspěvku pro agenturu.</w:t>
      </w:r>
    </w:p>
    <w:p w:rsidR="00557911" w:rsidRDefault="00623804">
      <w:pPr>
        <w:pStyle w:val="ManualNumPar1"/>
        <w:rPr>
          <w:noProof/>
        </w:rPr>
      </w:pPr>
      <w:r>
        <w:t>6.</w:t>
      </w:r>
      <w:r>
        <w:tab/>
      </w:r>
      <w:r>
        <w:rPr>
          <w:noProof/>
        </w:rPr>
        <w:t>Evropský parlament a Rada přijmou plán pracovních míst agentury.</w:t>
      </w:r>
    </w:p>
    <w:p w:rsidR="00557911" w:rsidRDefault="00623804">
      <w:pPr>
        <w:pStyle w:val="ManualNumPar1"/>
        <w:rPr>
          <w:noProof/>
        </w:rPr>
      </w:pPr>
      <w:r>
        <w:t>7.</w:t>
      </w:r>
      <w:r>
        <w:tab/>
      </w:r>
      <w:r>
        <w:rPr>
          <w:noProof/>
        </w:rPr>
        <w:t>Správní rada přijme rozpočet agent</w:t>
      </w:r>
      <w:r>
        <w:rPr>
          <w:noProof/>
        </w:rPr>
        <w:t>ury spolu s jednotným programovým dokumentem. Rozpočet agentury se stává konečným po přijetí souhrnného rozpočtu Unie. Správní rada rozpočet a jednotný programový dokument agentury případně upraví v souladu se souhrnným rozpočtem Unie.</w:t>
      </w:r>
    </w:p>
    <w:p w:rsidR="00557911" w:rsidRDefault="00557911">
      <w:pPr>
        <w:spacing w:before="60"/>
        <w:rPr>
          <w:rFonts w:eastAsia="Times New Roman"/>
          <w:iCs/>
          <w:noProof/>
          <w:szCs w:val="24"/>
        </w:rPr>
      </w:pPr>
    </w:p>
    <w:p w:rsidR="00557911" w:rsidRDefault="00623804">
      <w:pPr>
        <w:pStyle w:val="Titrearticle"/>
        <w:spacing w:before="0" w:after="0"/>
        <w:rPr>
          <w:rFonts w:eastAsia="Times New Roman"/>
          <w:b/>
          <w:i w:val="0"/>
          <w:noProof/>
        </w:rPr>
      </w:pPr>
      <w:r>
        <w:rPr>
          <w:noProof/>
        </w:rPr>
        <w:t>Článek 27</w:t>
      </w:r>
      <w:r>
        <w:rPr>
          <w:noProof/>
        </w:rPr>
        <w:br/>
      </w:r>
      <w:r>
        <w:rPr>
          <w:b/>
          <w:noProof/>
        </w:rPr>
        <w:t>Skladba r</w:t>
      </w:r>
      <w:r>
        <w:rPr>
          <w:b/>
          <w:noProof/>
        </w:rPr>
        <w:t>ozpočtu</w:t>
      </w:r>
    </w:p>
    <w:p w:rsidR="00557911" w:rsidRDefault="00623804">
      <w:pPr>
        <w:pStyle w:val="ManualNumPar1"/>
        <w:rPr>
          <w:noProof/>
        </w:rPr>
      </w:pPr>
      <w:r>
        <w:t>1.</w:t>
      </w:r>
      <w:r>
        <w:tab/>
      </w:r>
      <w:r>
        <w:rPr>
          <w:noProof/>
        </w:rPr>
        <w:t>Aniž jsou dotčeny jiné zdroje, příjmy agentury zahrnují:</w:t>
      </w:r>
    </w:p>
    <w:p w:rsidR="00557911" w:rsidRDefault="00623804">
      <w:pPr>
        <w:pStyle w:val="Point2"/>
        <w:rPr>
          <w:noProof/>
        </w:rPr>
      </w:pPr>
      <w:r>
        <w:rPr>
          <w:noProof/>
        </w:rPr>
        <w:t>a)</w:t>
      </w:r>
      <w:r>
        <w:rPr>
          <w:noProof/>
        </w:rPr>
        <w:tab/>
        <w:t>příspěvek z rozpočtu Unie;</w:t>
      </w:r>
    </w:p>
    <w:p w:rsidR="00557911" w:rsidRDefault="00623804">
      <w:pPr>
        <w:pStyle w:val="Point2"/>
        <w:rPr>
          <w:noProof/>
        </w:rPr>
      </w:pPr>
      <w:r>
        <w:rPr>
          <w:noProof/>
        </w:rPr>
        <w:t>b)</w:t>
      </w:r>
      <w:r>
        <w:rPr>
          <w:noProof/>
        </w:rPr>
        <w:tab/>
        <w:t>příjmy účelově vázané na konkrétní položky výdajů v souladu s finančními pravidly uvedenými v článku 29;</w:t>
      </w:r>
    </w:p>
    <w:p w:rsidR="00557911" w:rsidRDefault="00623804">
      <w:pPr>
        <w:pStyle w:val="Point2"/>
        <w:rPr>
          <w:noProof/>
        </w:rPr>
      </w:pPr>
      <w:r>
        <w:rPr>
          <w:noProof/>
        </w:rPr>
        <w:t>c)</w:t>
      </w:r>
      <w:r>
        <w:rPr>
          <w:noProof/>
        </w:rPr>
        <w:tab/>
        <w:t>finanční prostředky Unie ve formě dohod o přizn</w:t>
      </w:r>
      <w:r>
        <w:rPr>
          <w:noProof/>
        </w:rPr>
        <w:t xml:space="preserve">ání příspěvku nebo grantů </w:t>
      </w:r>
      <w:r>
        <w:rPr>
          <w:i/>
          <w:noProof/>
        </w:rPr>
        <w:t>ad hoc</w:t>
      </w:r>
      <w:r>
        <w:rPr>
          <w:noProof/>
        </w:rPr>
        <w:t xml:space="preserve"> v souladu s jejími finančními předpisy uvedenými v článku 29 a ustanoveními příslušných nástrojů na podporu politik Unie;</w:t>
      </w:r>
    </w:p>
    <w:p w:rsidR="00557911" w:rsidRDefault="00623804">
      <w:pPr>
        <w:pStyle w:val="Point2"/>
        <w:rPr>
          <w:noProof/>
        </w:rPr>
      </w:pPr>
      <w:r>
        <w:rPr>
          <w:noProof/>
        </w:rPr>
        <w:t>d)</w:t>
      </w:r>
      <w:r>
        <w:rPr>
          <w:noProof/>
        </w:rPr>
        <w:tab/>
        <w:t>příspěvky třetích zemí, které se podílejí na činnosti agentury na základě článku 39;</w:t>
      </w:r>
    </w:p>
    <w:p w:rsidR="00557911" w:rsidRDefault="00623804">
      <w:pPr>
        <w:pStyle w:val="Point2"/>
        <w:rPr>
          <w:noProof/>
        </w:rPr>
      </w:pPr>
      <w:r>
        <w:rPr>
          <w:noProof/>
        </w:rPr>
        <w:t>e)</w:t>
      </w:r>
      <w:r>
        <w:rPr>
          <w:noProof/>
        </w:rPr>
        <w:tab/>
        <w:t>dobrovolné</w:t>
      </w:r>
      <w:r>
        <w:rPr>
          <w:noProof/>
        </w:rPr>
        <w:t xml:space="preserve"> finanční či věcné příspěvky členských států; členské státy, které poskytují dobrovolné příspěvky, nesmí na základě tohoto příspěvku požadovat žádné zvláštní právo nebo službu.</w:t>
      </w:r>
    </w:p>
    <w:p w:rsidR="00557911" w:rsidRDefault="00623804">
      <w:pPr>
        <w:pStyle w:val="ManualNumPar1"/>
        <w:rPr>
          <w:noProof/>
        </w:rPr>
      </w:pPr>
      <w:r>
        <w:t>2.</w:t>
      </w:r>
      <w:r>
        <w:tab/>
      </w:r>
      <w:r>
        <w:rPr>
          <w:noProof/>
        </w:rPr>
        <w:t xml:space="preserve">Výdaje agentury zahrnují výdaje na zaměstnance, správu, technickou podporu, </w:t>
      </w:r>
      <w:r>
        <w:rPr>
          <w:noProof/>
        </w:rPr>
        <w:t>infrastrukturu a provoz a výdaje vyplývající ze smluv uzavřených s třetími stranami.</w:t>
      </w:r>
    </w:p>
    <w:p w:rsidR="00557911" w:rsidRDefault="00557911">
      <w:pPr>
        <w:rPr>
          <w:noProof/>
        </w:rPr>
      </w:pPr>
    </w:p>
    <w:p w:rsidR="00557911" w:rsidRDefault="00623804">
      <w:pPr>
        <w:pStyle w:val="Titrearticle"/>
        <w:spacing w:before="0" w:after="0"/>
        <w:rPr>
          <w:b/>
          <w:i w:val="0"/>
          <w:noProof/>
        </w:rPr>
      </w:pPr>
      <w:r>
        <w:rPr>
          <w:noProof/>
        </w:rPr>
        <w:t>Článek 28</w:t>
      </w:r>
      <w:r>
        <w:rPr>
          <w:noProof/>
        </w:rPr>
        <w:br/>
      </w:r>
      <w:r>
        <w:rPr>
          <w:b/>
          <w:noProof/>
        </w:rPr>
        <w:t>Plnění rozpočtu</w:t>
      </w:r>
    </w:p>
    <w:p w:rsidR="00557911" w:rsidRDefault="00623804">
      <w:pPr>
        <w:pStyle w:val="ManualNumPar1"/>
        <w:rPr>
          <w:noProof/>
        </w:rPr>
      </w:pPr>
      <w:r>
        <w:t>1.</w:t>
      </w:r>
      <w:r>
        <w:tab/>
      </w:r>
      <w:r>
        <w:rPr>
          <w:noProof/>
        </w:rPr>
        <w:t>Za plnění rozpočtu agentury je odpovědný výkonný ředitel.</w:t>
      </w:r>
    </w:p>
    <w:p w:rsidR="00557911" w:rsidRDefault="00623804">
      <w:pPr>
        <w:pStyle w:val="ManualNumPar1"/>
        <w:rPr>
          <w:noProof/>
        </w:rPr>
      </w:pPr>
      <w:r>
        <w:t>2.</w:t>
      </w:r>
      <w:r>
        <w:tab/>
      </w:r>
      <w:r>
        <w:rPr>
          <w:noProof/>
        </w:rPr>
        <w:t>Interní auditor Komise vykonává ve vztahu k agentuře stejné pravomoci jako ve vz</w:t>
      </w:r>
      <w:r>
        <w:rPr>
          <w:noProof/>
        </w:rPr>
        <w:t>tahu k útvarům Komise.</w:t>
      </w:r>
    </w:p>
    <w:p w:rsidR="00557911" w:rsidRDefault="00623804">
      <w:pPr>
        <w:pStyle w:val="ManualNumPar1"/>
        <w:rPr>
          <w:noProof/>
        </w:rPr>
      </w:pPr>
      <w:r>
        <w:t>3.</w:t>
      </w:r>
      <w:r>
        <w:tab/>
      </w:r>
      <w:r>
        <w:rPr>
          <w:noProof/>
        </w:rPr>
        <w:t>Účetní agentury zašle do 1. března následujícího rozpočtového roku (1. března roku N+1) předběžnou účetní závěrku účetnímu Komise a Účetnímu dvoru.</w:t>
      </w:r>
    </w:p>
    <w:p w:rsidR="00557911" w:rsidRDefault="00623804">
      <w:pPr>
        <w:pStyle w:val="ManualNumPar1"/>
        <w:rPr>
          <w:noProof/>
        </w:rPr>
      </w:pPr>
      <w:r>
        <w:t>4.</w:t>
      </w:r>
      <w:r>
        <w:tab/>
      </w:r>
      <w:r>
        <w:rPr>
          <w:noProof/>
        </w:rPr>
        <w:t>Po obdržení připomínek Účetního dvora k předběžné účetní závěrce agentury vypra</w:t>
      </w:r>
      <w:r>
        <w:rPr>
          <w:noProof/>
        </w:rPr>
        <w:t xml:space="preserve">cuje účetní agentury na vlastní odpovědnost konečnou účetní závěrku agentury. </w:t>
      </w:r>
    </w:p>
    <w:p w:rsidR="00557911" w:rsidRDefault="00623804">
      <w:pPr>
        <w:pStyle w:val="ManualNumPar1"/>
        <w:rPr>
          <w:noProof/>
        </w:rPr>
      </w:pPr>
      <w:r>
        <w:t>5.</w:t>
      </w:r>
      <w:r>
        <w:tab/>
      </w:r>
      <w:r>
        <w:rPr>
          <w:noProof/>
        </w:rPr>
        <w:t>Výkonný ředitel předloží konečnou účetní závěrku k vyjádření správní radě.</w:t>
      </w:r>
    </w:p>
    <w:p w:rsidR="00557911" w:rsidRDefault="00623804">
      <w:pPr>
        <w:pStyle w:val="ManualNumPar1"/>
        <w:rPr>
          <w:noProof/>
        </w:rPr>
      </w:pPr>
      <w:r>
        <w:t>6.</w:t>
      </w:r>
      <w:r>
        <w:tab/>
      </w:r>
      <w:r>
        <w:rPr>
          <w:noProof/>
        </w:rPr>
        <w:t xml:space="preserve">Výkonný ředitel zašle do 31. března roku N+1 zprávu o rozpočtovém a finančním řízení Evropskému </w:t>
      </w:r>
      <w:r>
        <w:rPr>
          <w:noProof/>
        </w:rPr>
        <w:t>parlamentu, Radě, Komisi a Účetnímu dvoru.</w:t>
      </w:r>
    </w:p>
    <w:p w:rsidR="00557911" w:rsidRDefault="00623804">
      <w:pPr>
        <w:pStyle w:val="ManualNumPar1"/>
        <w:rPr>
          <w:noProof/>
        </w:rPr>
      </w:pPr>
      <w:r>
        <w:t>7.</w:t>
      </w:r>
      <w:r>
        <w:tab/>
      </w:r>
      <w:r>
        <w:rPr>
          <w:noProof/>
        </w:rPr>
        <w:t>Účetní předá konečnou účetní závěrku spolu se stanoviskem správní rady do 1. července roku N+1 Evropskému parlamentu, Radě, účetnímu Komise a Účetnímu dvoru.</w:t>
      </w:r>
    </w:p>
    <w:p w:rsidR="00557911" w:rsidRDefault="00623804">
      <w:pPr>
        <w:pStyle w:val="ManualNumPar1"/>
        <w:rPr>
          <w:noProof/>
        </w:rPr>
      </w:pPr>
      <w:r>
        <w:t>8.</w:t>
      </w:r>
      <w:r>
        <w:tab/>
      </w:r>
      <w:r>
        <w:rPr>
          <w:noProof/>
        </w:rPr>
        <w:t xml:space="preserve">Účetní ke stejnému datu, k němuž předal konečnou </w:t>
      </w:r>
      <w:r>
        <w:rPr>
          <w:noProof/>
        </w:rPr>
        <w:t>účetní závěrku, rovněž zašle Účetnímu dvoru prohlášení vedení k této konečné účetní závěrce a jedno vyhotovení zašle účetnímu Komise.</w:t>
      </w:r>
    </w:p>
    <w:p w:rsidR="00557911" w:rsidRDefault="00623804">
      <w:pPr>
        <w:pStyle w:val="ManualNumPar1"/>
        <w:rPr>
          <w:noProof/>
        </w:rPr>
      </w:pPr>
      <w:r>
        <w:t>9.</w:t>
      </w:r>
      <w:r>
        <w:tab/>
      </w:r>
      <w:r>
        <w:rPr>
          <w:noProof/>
        </w:rPr>
        <w:t>Výkonný ředitel konečnou účetní závěrku zveřejní do 15. listopadu následujícího roku.</w:t>
      </w:r>
    </w:p>
    <w:p w:rsidR="00557911" w:rsidRDefault="00623804">
      <w:pPr>
        <w:pStyle w:val="ManualNumPar1"/>
        <w:rPr>
          <w:noProof/>
        </w:rPr>
      </w:pPr>
      <w:r>
        <w:t>10.</w:t>
      </w:r>
      <w:r>
        <w:tab/>
      </w:r>
      <w:r>
        <w:rPr>
          <w:noProof/>
        </w:rPr>
        <w:t>Výkonný ředitel odpoví Účetní</w:t>
      </w:r>
      <w:r>
        <w:rPr>
          <w:noProof/>
        </w:rPr>
        <w:t>mu dvoru na jeho připomínky do 30. září roku N + 1 a jedno vyhotovení této odpovědi rovněž zašle správní radě a Komisi.</w:t>
      </w:r>
    </w:p>
    <w:p w:rsidR="00557911" w:rsidRDefault="00623804">
      <w:pPr>
        <w:pStyle w:val="ManualNumPar1"/>
        <w:rPr>
          <w:noProof/>
        </w:rPr>
      </w:pPr>
      <w:r>
        <w:t>11.</w:t>
      </w:r>
      <w:r>
        <w:tab/>
      </w:r>
      <w:r>
        <w:rPr>
          <w:noProof/>
        </w:rPr>
        <w:t>Výkonný ředitel předloží Evropskému parlamentu na jeho žádost veškeré informace nezbytné pro řádný průběh udělení absolutoria za dan</w:t>
      </w:r>
      <w:r>
        <w:rPr>
          <w:noProof/>
        </w:rPr>
        <w:t>ý rozpočtový rok v souladu s čl. 165 odst. 3 finančního nařízení.</w:t>
      </w:r>
    </w:p>
    <w:p w:rsidR="00557911" w:rsidRDefault="00623804">
      <w:pPr>
        <w:pStyle w:val="ManualNumPar1"/>
        <w:rPr>
          <w:noProof/>
        </w:rPr>
      </w:pPr>
      <w:r>
        <w:t>12.</w:t>
      </w:r>
      <w:r>
        <w:tab/>
      </w:r>
      <w:r>
        <w:rPr>
          <w:noProof/>
        </w:rPr>
        <w:t>Absolutorium za plnění rozpočtu na rok N udělí Evropský parlament výkonnému řediteli na základě doporučení Rady do 15. května roku N + 2.</w:t>
      </w:r>
    </w:p>
    <w:p w:rsidR="00557911" w:rsidRDefault="00557911">
      <w:pPr>
        <w:ind w:left="360"/>
        <w:rPr>
          <w:noProof/>
          <w:szCs w:val="24"/>
        </w:rPr>
      </w:pPr>
    </w:p>
    <w:p w:rsidR="00557911" w:rsidRDefault="00623804">
      <w:pPr>
        <w:pStyle w:val="Titrearticle"/>
        <w:spacing w:before="0" w:after="0"/>
        <w:rPr>
          <w:b/>
          <w:i w:val="0"/>
          <w:noProof/>
        </w:rPr>
      </w:pPr>
      <w:r>
        <w:rPr>
          <w:noProof/>
        </w:rPr>
        <w:t>Článek 29</w:t>
      </w:r>
      <w:r>
        <w:rPr>
          <w:noProof/>
        </w:rPr>
        <w:br/>
      </w:r>
      <w:r>
        <w:rPr>
          <w:b/>
          <w:noProof/>
        </w:rPr>
        <w:t xml:space="preserve">Finanční pravidla </w:t>
      </w:r>
    </w:p>
    <w:p w:rsidR="00557911" w:rsidRDefault="00623804">
      <w:pPr>
        <w:rPr>
          <w:bCs/>
          <w:noProof/>
          <w:szCs w:val="24"/>
        </w:rPr>
      </w:pPr>
      <w:r>
        <w:rPr>
          <w:noProof/>
        </w:rPr>
        <w:t>Správní rada přijm</w:t>
      </w:r>
      <w:r>
        <w:rPr>
          <w:noProof/>
        </w:rPr>
        <w:t xml:space="preserve">e po konzultaci s Komisí finanční pravidla použitelná na agenturu. Tato pravidla se mohou odchýlit od nařízení (EU) č. 1271/2013, pouze pokud je to nezbytné pro zvláštní potřeby činnosti agentury, a s předchozím souhlasem Komise. </w:t>
      </w:r>
    </w:p>
    <w:p w:rsidR="00557911" w:rsidRDefault="00623804">
      <w:pPr>
        <w:pStyle w:val="Titrearticle"/>
        <w:spacing w:before="0" w:after="0"/>
        <w:rPr>
          <w:rFonts w:eastAsia="Times New Roman"/>
          <w:b/>
          <w:i w:val="0"/>
          <w:noProof/>
        </w:rPr>
      </w:pPr>
      <w:r>
        <w:rPr>
          <w:noProof/>
        </w:rPr>
        <w:t>Článek 30</w:t>
      </w:r>
      <w:r>
        <w:rPr>
          <w:noProof/>
        </w:rPr>
        <w:br/>
      </w:r>
      <w:r>
        <w:rPr>
          <w:b/>
          <w:noProof/>
        </w:rPr>
        <w:t>Boj proti podvo</w:t>
      </w:r>
      <w:r>
        <w:rPr>
          <w:b/>
          <w:noProof/>
        </w:rPr>
        <w:t>dům</w:t>
      </w:r>
    </w:p>
    <w:p w:rsidR="00557911" w:rsidRDefault="00623804">
      <w:pPr>
        <w:pStyle w:val="ManualNumPar1"/>
        <w:rPr>
          <w:noProof/>
        </w:rPr>
      </w:pPr>
      <w:r>
        <w:t>1.</w:t>
      </w:r>
      <w:r>
        <w:tab/>
      </w:r>
      <w:r>
        <w:rPr>
          <w:noProof/>
        </w:rPr>
        <w:t>V zájmu usnadnění boje proti podvodům, úplatkářství a jinému protiprávnímu jednání podle nařízení Evropského parlamentu a Rady (EU, Euratom) č. 883/2013</w:t>
      </w:r>
      <w:r>
        <w:rPr>
          <w:rStyle w:val="FootnoteReference"/>
          <w:noProof/>
        </w:rPr>
        <w:footnoteReference w:id="40"/>
      </w:r>
      <w:r>
        <w:rPr>
          <w:noProof/>
        </w:rPr>
        <w:t xml:space="preserve"> agentura během šesti měsíců od zahájení činnosti přistoupí k interinstitucionální dohodě ze dne</w:t>
      </w:r>
      <w:r>
        <w:rPr>
          <w:noProof/>
        </w:rPr>
        <w:t> 25. května 1999 o vnitřním vyšetřování prováděném Evropským úřadem pro boj proti podvodům (OLAF) a přijme příslušná ustanovení vztahující se na veškeré zaměstnance agentury, přičemž použije šablonu stanovenou v příloze uvedené dohody.</w:t>
      </w:r>
    </w:p>
    <w:p w:rsidR="00557911" w:rsidRDefault="00623804">
      <w:pPr>
        <w:pStyle w:val="ManualNumPar1"/>
        <w:rPr>
          <w:noProof/>
        </w:rPr>
      </w:pPr>
      <w:r>
        <w:t>2.</w:t>
      </w:r>
      <w:r>
        <w:tab/>
      </w:r>
      <w:r>
        <w:rPr>
          <w:noProof/>
        </w:rPr>
        <w:t>Účetní dvůr má pr</w:t>
      </w:r>
      <w:r>
        <w:rPr>
          <w:noProof/>
        </w:rPr>
        <w:t>avomoc provádět na základě kontroly dokumentů a inspekce na místě audit u všech příjemců grantů, zhotovitelů, dodavatelů nebo poskytovatelů a subdodavatelů, kteří od agentury obdrželi finanční prostředky Unie.</w:t>
      </w:r>
    </w:p>
    <w:p w:rsidR="00557911" w:rsidRDefault="00623804">
      <w:pPr>
        <w:pStyle w:val="ManualNumPar1"/>
        <w:rPr>
          <w:noProof/>
        </w:rPr>
      </w:pPr>
      <w:r>
        <w:t>3.</w:t>
      </w:r>
      <w:r>
        <w:tab/>
      </w:r>
      <w:r>
        <w:rPr>
          <w:noProof/>
        </w:rPr>
        <w:t>Úřad OLAF smí provádět šetření, včetně kont</w:t>
      </w:r>
      <w:r>
        <w:rPr>
          <w:noProof/>
        </w:rPr>
        <w:t>rol a inspekcí na místě, v souladu s ustanoveními a postupy uvedenými v nařízení Evropského parlamentu a Rady (EU, Euratom) č. 883/2013 a v nařízení Rady (Euratom, ES) č. 2185/96</w:t>
      </w:r>
      <w:r>
        <w:rPr>
          <w:rStyle w:val="FootnoteReference"/>
          <w:noProof/>
        </w:rPr>
        <w:footnoteReference w:id="41"/>
      </w:r>
      <w:r>
        <w:rPr>
          <w:noProof/>
        </w:rPr>
        <w:t xml:space="preserve"> ze dne 11. listopadu 1996 o kontrolách a inspekcích na místě prováděných Kom</w:t>
      </w:r>
      <w:r>
        <w:rPr>
          <w:noProof/>
        </w:rPr>
        <w:t>isí za účelem ochrany finančních zájmů Evropských společenství proti podvodům a jiným nesrovnalostem, aby se zjistilo, zda v souvislosti s grantem nebo zakázkou financovanou ze strany agentury nedošlo k podvodu, úplatkářství nebo jinému protiprávnímu jedná</w:t>
      </w:r>
      <w:r>
        <w:rPr>
          <w:noProof/>
        </w:rPr>
        <w:t>ní ohrožujícímu finanční zájmy Unie.</w:t>
      </w:r>
    </w:p>
    <w:p w:rsidR="00557911" w:rsidRDefault="00623804">
      <w:pPr>
        <w:pStyle w:val="ManualNumPar1"/>
        <w:rPr>
          <w:noProof/>
        </w:rPr>
      </w:pPr>
      <w:r>
        <w:t>4.</w:t>
      </w:r>
      <w:r>
        <w:tab/>
      </w:r>
      <w:r>
        <w:rPr>
          <w:noProof/>
        </w:rPr>
        <w:t>Aniž jsou dotčeny odstavce 1, 2 a 3, musí dohody o spolupráci se třetími zeměmi a mezinárodními organizacemi, smlouvy, grantové dohody a rozhodnutí o udělení grantu přijatá agenturou obsahovat ustanovení, která výslo</w:t>
      </w:r>
      <w:r>
        <w:rPr>
          <w:noProof/>
        </w:rPr>
        <w:t>vně zmocňují Účetní dvůr a úřad OLAF k provádění těchto auditů a šetření v souladu s jejich příslušnými pravomocemi.</w:t>
      </w:r>
    </w:p>
    <w:p w:rsidR="00557911" w:rsidRDefault="00557911">
      <w:pPr>
        <w:spacing w:after="0"/>
        <w:rPr>
          <w:rFonts w:eastAsia="Times New Roman"/>
          <w:noProof/>
          <w:szCs w:val="24"/>
        </w:rPr>
      </w:pPr>
    </w:p>
    <w:p w:rsidR="00557911" w:rsidRDefault="00623804">
      <w:pPr>
        <w:pStyle w:val="ChapterTitle"/>
        <w:rPr>
          <w:noProof/>
        </w:rPr>
      </w:pPr>
      <w:bookmarkStart w:id="34" w:name="_Toc492216476"/>
      <w:r>
        <w:rPr>
          <w:noProof/>
        </w:rPr>
        <w:t>KAPITOLA IV</w:t>
      </w:r>
      <w:r>
        <w:rPr>
          <w:noProof/>
        </w:rPr>
        <w:br/>
        <w:t>ZAMĚSTNANCI AGENTURY</w:t>
      </w:r>
      <w:bookmarkEnd w:id="34"/>
      <w:r>
        <w:rPr>
          <w:noProof/>
        </w:rPr>
        <w:t xml:space="preserve"> </w:t>
      </w:r>
    </w:p>
    <w:p w:rsidR="00557911" w:rsidRDefault="00623804">
      <w:pPr>
        <w:pStyle w:val="Titrearticle"/>
        <w:spacing w:before="0" w:after="0"/>
        <w:rPr>
          <w:rFonts w:eastAsia="Times New Roman"/>
          <w:b/>
          <w:i w:val="0"/>
          <w:noProof/>
        </w:rPr>
      </w:pPr>
      <w:r>
        <w:rPr>
          <w:noProof/>
        </w:rPr>
        <w:t>Článek 31</w:t>
      </w:r>
      <w:r>
        <w:rPr>
          <w:noProof/>
        </w:rPr>
        <w:br/>
      </w:r>
      <w:r>
        <w:rPr>
          <w:b/>
          <w:noProof/>
        </w:rPr>
        <w:t>Obecná ustanovení</w:t>
      </w:r>
    </w:p>
    <w:p w:rsidR="00557911" w:rsidRDefault="00623804">
      <w:pPr>
        <w:spacing w:after="0"/>
        <w:rPr>
          <w:rFonts w:eastAsia="Times New Roman"/>
          <w:noProof/>
          <w:szCs w:val="24"/>
        </w:rPr>
      </w:pPr>
      <w:r>
        <w:rPr>
          <w:noProof/>
        </w:rPr>
        <w:t xml:space="preserve">Na zaměstnance agentury se vztahuje služební řád a pracovní řád ostatních </w:t>
      </w:r>
      <w:r>
        <w:rPr>
          <w:noProof/>
        </w:rPr>
        <w:t>zaměstnanců a pravidla přijatá na základě dohody mezi orgány Unie k provedení tohoto služebního řádu.</w:t>
      </w:r>
    </w:p>
    <w:p w:rsidR="00557911" w:rsidRDefault="00557911">
      <w:pPr>
        <w:spacing w:after="0"/>
        <w:rPr>
          <w:rFonts w:eastAsia="Times New Roman"/>
          <w:noProof/>
          <w:szCs w:val="24"/>
        </w:rPr>
      </w:pPr>
    </w:p>
    <w:p w:rsidR="00557911" w:rsidRDefault="00623804">
      <w:pPr>
        <w:pStyle w:val="Titrearticle"/>
        <w:spacing w:before="0" w:after="0"/>
        <w:rPr>
          <w:rFonts w:eastAsia="Times New Roman"/>
          <w:b/>
          <w:i w:val="0"/>
          <w:noProof/>
        </w:rPr>
      </w:pPr>
      <w:r>
        <w:rPr>
          <w:noProof/>
        </w:rPr>
        <w:t>Článek 32</w:t>
      </w:r>
      <w:r>
        <w:rPr>
          <w:noProof/>
        </w:rPr>
        <w:br/>
      </w:r>
      <w:r>
        <w:rPr>
          <w:b/>
          <w:noProof/>
        </w:rPr>
        <w:t>Výsady a imunita</w:t>
      </w:r>
    </w:p>
    <w:p w:rsidR="00557911" w:rsidRDefault="00623804">
      <w:pPr>
        <w:spacing w:after="0"/>
        <w:rPr>
          <w:rFonts w:eastAsia="Times New Roman"/>
          <w:noProof/>
          <w:szCs w:val="24"/>
        </w:rPr>
      </w:pPr>
      <w:r>
        <w:rPr>
          <w:noProof/>
        </w:rPr>
        <w:t>Na agenturu a její zaměstnance se vztahuje Protokol č. 7 o výsadách a imunitách Evropské unie, připojený ke Smlouvě o Evropské</w:t>
      </w:r>
      <w:r>
        <w:rPr>
          <w:noProof/>
        </w:rPr>
        <w:t xml:space="preserve"> unii a ke Smlouvě o fungování EU.</w:t>
      </w:r>
    </w:p>
    <w:p w:rsidR="00557911" w:rsidRDefault="00557911">
      <w:pPr>
        <w:spacing w:after="0"/>
        <w:rPr>
          <w:rFonts w:eastAsia="Times New Roman"/>
          <w:noProof/>
          <w:szCs w:val="24"/>
        </w:rPr>
      </w:pPr>
    </w:p>
    <w:p w:rsidR="00557911" w:rsidRDefault="00623804">
      <w:pPr>
        <w:pStyle w:val="Titrearticle"/>
        <w:spacing w:before="0" w:after="0"/>
        <w:rPr>
          <w:rFonts w:eastAsia="Times New Roman"/>
          <w:b/>
          <w:i w:val="0"/>
          <w:noProof/>
        </w:rPr>
      </w:pPr>
      <w:r>
        <w:rPr>
          <w:noProof/>
        </w:rPr>
        <w:t>Článek 33</w:t>
      </w:r>
      <w:r>
        <w:rPr>
          <w:noProof/>
        </w:rPr>
        <w:br/>
      </w:r>
      <w:r>
        <w:rPr>
          <w:b/>
          <w:noProof/>
        </w:rPr>
        <w:t>Výkonný ředitel</w:t>
      </w:r>
    </w:p>
    <w:p w:rsidR="00557911" w:rsidRDefault="00623804">
      <w:pPr>
        <w:pStyle w:val="ManualNumPar1"/>
        <w:rPr>
          <w:noProof/>
        </w:rPr>
      </w:pPr>
      <w:r>
        <w:t>1.</w:t>
      </w:r>
      <w:r>
        <w:tab/>
      </w:r>
      <w:r>
        <w:rPr>
          <w:noProof/>
        </w:rPr>
        <w:t>Výkonný ředitel je zaměstnán jako dočasný zaměstnanec agentury podle čl. 2 písm. a) pracovního řádu ostatních zaměstnanců.</w:t>
      </w:r>
    </w:p>
    <w:p w:rsidR="00557911" w:rsidRDefault="00623804">
      <w:pPr>
        <w:pStyle w:val="ManualNumPar1"/>
        <w:rPr>
          <w:noProof/>
        </w:rPr>
      </w:pPr>
      <w:r>
        <w:t>2.</w:t>
      </w:r>
      <w:r>
        <w:tab/>
      </w:r>
      <w:r>
        <w:rPr>
          <w:noProof/>
        </w:rPr>
        <w:t>Výkonného ředitele jmenuje po otevřeném a transparentním výběrové</w:t>
      </w:r>
      <w:r>
        <w:rPr>
          <w:noProof/>
        </w:rPr>
        <w:t>m řízení správní rada ze seznamu kandidátů navržených Komisí.</w:t>
      </w:r>
    </w:p>
    <w:p w:rsidR="00557911" w:rsidRDefault="00623804">
      <w:pPr>
        <w:pStyle w:val="ManualNumPar1"/>
        <w:rPr>
          <w:noProof/>
        </w:rPr>
      </w:pPr>
      <w:r>
        <w:t>3.</w:t>
      </w:r>
      <w:r>
        <w:tab/>
      </w:r>
      <w:r>
        <w:rPr>
          <w:noProof/>
        </w:rPr>
        <w:t>Pro účely uzavření smlouvy s výkonným ředitelem je agentura zastoupena předsedou správní rady.</w:t>
      </w:r>
    </w:p>
    <w:p w:rsidR="00557911" w:rsidRDefault="00623804">
      <w:pPr>
        <w:pStyle w:val="ManualNumPar1"/>
        <w:rPr>
          <w:noProof/>
        </w:rPr>
      </w:pPr>
      <w:r>
        <w:t>4.</w:t>
      </w:r>
      <w:r>
        <w:tab/>
      </w:r>
      <w:r>
        <w:rPr>
          <w:noProof/>
        </w:rPr>
        <w:t xml:space="preserve">Před jmenováním je kandidát zvolený správní radou vyzván, aby před příslušným výborem </w:t>
      </w:r>
      <w:r>
        <w:rPr>
          <w:noProof/>
        </w:rPr>
        <w:t>Evropského parlamentu učinil prohlášení a zodpověděl otázky jeho členů.</w:t>
      </w:r>
    </w:p>
    <w:p w:rsidR="00557911" w:rsidRDefault="00623804">
      <w:pPr>
        <w:pStyle w:val="ManualNumPar1"/>
        <w:rPr>
          <w:noProof/>
        </w:rPr>
      </w:pPr>
      <w:r>
        <w:t>5.</w:t>
      </w:r>
      <w:r>
        <w:tab/>
      </w:r>
      <w:r>
        <w:rPr>
          <w:noProof/>
        </w:rPr>
        <w:t>Funkční období výkonného ředitele je pět let. Do konce tohoto období Komise provede posouzení, které zohlední hodnocení výsledků výkonného ředitele a budoucí úkoly a výzvy agentury.</w:t>
      </w:r>
    </w:p>
    <w:p w:rsidR="00557911" w:rsidRDefault="00623804">
      <w:pPr>
        <w:pStyle w:val="ManualNumPar1"/>
        <w:rPr>
          <w:noProof/>
        </w:rPr>
      </w:pPr>
      <w:r>
        <w:t>6.</w:t>
      </w:r>
      <w:r>
        <w:tab/>
      </w:r>
      <w:r>
        <w:rPr>
          <w:noProof/>
        </w:rPr>
        <w:t>Správní rada přijímá rozhodnutí o jmenování, prodloužení funkčního období nebo odvolání výkonného ředitele dvoutřetinovou většinou hlasů svých členů s hlasovacím právem.</w:t>
      </w:r>
    </w:p>
    <w:p w:rsidR="00557911" w:rsidRDefault="00623804">
      <w:pPr>
        <w:pStyle w:val="ManualNumPar1"/>
        <w:rPr>
          <w:noProof/>
        </w:rPr>
      </w:pPr>
      <w:r>
        <w:t>7.</w:t>
      </w:r>
      <w:r>
        <w:tab/>
      </w:r>
      <w:r>
        <w:rPr>
          <w:noProof/>
        </w:rPr>
        <w:t>Správní rada může na návrh Komise, v němž je zohledněno posouzení podle odstavc</w:t>
      </w:r>
      <w:r>
        <w:rPr>
          <w:noProof/>
        </w:rPr>
        <w:t>e 5, funkční období výkonného ředitele jednou prodloužit o další období nejvýše pěti let.</w:t>
      </w:r>
    </w:p>
    <w:p w:rsidR="00557911" w:rsidRDefault="00623804">
      <w:pPr>
        <w:pStyle w:val="ManualNumPar1"/>
        <w:rPr>
          <w:noProof/>
        </w:rPr>
      </w:pPr>
      <w:r>
        <w:t>8.</w:t>
      </w:r>
      <w:r>
        <w:tab/>
      </w:r>
      <w:r>
        <w:rPr>
          <w:noProof/>
        </w:rPr>
        <w:t xml:space="preserve">Správní rada informuje o svém záměru prodloužit funkční období výkonného ředitele Evropský parlament. Je-li výkonný ředitel vyzván, učiní do tří měsíců před tímto </w:t>
      </w:r>
      <w:r>
        <w:rPr>
          <w:noProof/>
        </w:rPr>
        <w:t>prodloužením prohlášení před příslušným výborem Evropského parlamentu a zodpoví otázky jeho členů.</w:t>
      </w:r>
    </w:p>
    <w:p w:rsidR="00557911" w:rsidRDefault="00623804">
      <w:pPr>
        <w:pStyle w:val="ManualNumPar1"/>
        <w:rPr>
          <w:noProof/>
        </w:rPr>
      </w:pPr>
      <w:r>
        <w:t>9.</w:t>
      </w:r>
      <w:r>
        <w:tab/>
      </w:r>
      <w:r>
        <w:rPr>
          <w:noProof/>
        </w:rPr>
        <w:t>Výkonný ředitel, jehož funkční období bylo prodlouženo, se nesmí účastnit dalšího výběrového řízení na tutéž pozici.</w:t>
      </w:r>
    </w:p>
    <w:p w:rsidR="00557911" w:rsidRDefault="00623804">
      <w:pPr>
        <w:pStyle w:val="ManualNumPar1"/>
        <w:rPr>
          <w:noProof/>
        </w:rPr>
      </w:pPr>
      <w:r>
        <w:t>10.</w:t>
      </w:r>
      <w:r>
        <w:tab/>
      </w:r>
      <w:r>
        <w:rPr>
          <w:noProof/>
        </w:rPr>
        <w:t xml:space="preserve">Výkonný ředitel může být odvolán </w:t>
      </w:r>
      <w:r>
        <w:rPr>
          <w:noProof/>
        </w:rPr>
        <w:t>z funkce pouze na základě rozhodnutí správní rady jednající na návrh Komise.</w:t>
      </w:r>
    </w:p>
    <w:p w:rsidR="00557911" w:rsidRDefault="00557911">
      <w:pPr>
        <w:rPr>
          <w:noProof/>
        </w:rPr>
      </w:pPr>
    </w:p>
    <w:p w:rsidR="00557911" w:rsidRDefault="00623804">
      <w:pPr>
        <w:pStyle w:val="Titrearticle"/>
        <w:spacing w:before="0" w:after="0"/>
        <w:rPr>
          <w:rFonts w:eastAsia="Times New Roman"/>
          <w:b/>
          <w:i w:val="0"/>
          <w:noProof/>
        </w:rPr>
      </w:pPr>
      <w:r>
        <w:rPr>
          <w:noProof/>
        </w:rPr>
        <w:t>Článek 34</w:t>
      </w:r>
      <w:r>
        <w:rPr>
          <w:noProof/>
        </w:rPr>
        <w:br/>
      </w:r>
      <w:r>
        <w:rPr>
          <w:b/>
          <w:noProof/>
        </w:rPr>
        <w:t>Vyslaní národní odborníci a další pracovníci</w:t>
      </w:r>
    </w:p>
    <w:p w:rsidR="00557911" w:rsidRDefault="00623804">
      <w:pPr>
        <w:pStyle w:val="ManualNumPar1"/>
        <w:rPr>
          <w:noProof/>
        </w:rPr>
      </w:pPr>
      <w:r>
        <w:t>1.</w:t>
      </w:r>
      <w:r>
        <w:tab/>
      </w:r>
      <w:r>
        <w:rPr>
          <w:noProof/>
        </w:rPr>
        <w:t>Agentura může využívat vyslané národní odborníky nebo jiné pracovníky, kteří nejsou v agentuře zaměstnáni. Na tyto praco</w:t>
      </w:r>
      <w:r>
        <w:rPr>
          <w:noProof/>
        </w:rPr>
        <w:t>vníky se nevztahuje služební řád ani pracovní řád ostatních zaměstnanců.</w:t>
      </w:r>
    </w:p>
    <w:p w:rsidR="00557911" w:rsidRDefault="00623804">
      <w:pPr>
        <w:pStyle w:val="ManualNumPar1"/>
        <w:rPr>
          <w:noProof/>
        </w:rPr>
      </w:pPr>
      <w:r>
        <w:t>2.</w:t>
      </w:r>
      <w:r>
        <w:tab/>
      </w:r>
      <w:r>
        <w:rPr>
          <w:noProof/>
        </w:rPr>
        <w:t>Správní rada přijme rozhodnutí, kterým stanoví pravidla pro vysílání národních odborníků do agentury.</w:t>
      </w:r>
    </w:p>
    <w:p w:rsidR="00557911" w:rsidRDefault="00557911">
      <w:pPr>
        <w:spacing w:after="0"/>
        <w:rPr>
          <w:rFonts w:eastAsia="Times New Roman"/>
          <w:noProof/>
          <w:szCs w:val="24"/>
        </w:rPr>
      </w:pPr>
    </w:p>
    <w:p w:rsidR="00557911" w:rsidRDefault="00623804">
      <w:pPr>
        <w:pStyle w:val="ChapterTitle"/>
        <w:rPr>
          <w:noProof/>
        </w:rPr>
      </w:pPr>
      <w:bookmarkStart w:id="35" w:name="_Toc492216477"/>
      <w:r>
        <w:rPr>
          <w:noProof/>
        </w:rPr>
        <w:t>KAPITOLA V</w:t>
      </w:r>
      <w:r>
        <w:rPr>
          <w:noProof/>
        </w:rPr>
        <w:br/>
        <w:t>OBECNÁ USTANOVENÍ</w:t>
      </w:r>
      <w:bookmarkEnd w:id="35"/>
    </w:p>
    <w:p w:rsidR="00557911" w:rsidRDefault="00623804">
      <w:pPr>
        <w:pStyle w:val="Titrearticle"/>
        <w:spacing w:before="0" w:after="0"/>
        <w:rPr>
          <w:rFonts w:eastAsia="Times New Roman"/>
          <w:b/>
          <w:i w:val="0"/>
          <w:noProof/>
        </w:rPr>
      </w:pPr>
      <w:r>
        <w:rPr>
          <w:noProof/>
        </w:rPr>
        <w:t>Článek 35</w:t>
      </w:r>
      <w:r>
        <w:rPr>
          <w:noProof/>
        </w:rPr>
        <w:br/>
      </w:r>
      <w:r>
        <w:rPr>
          <w:b/>
          <w:noProof/>
        </w:rPr>
        <w:t>Právní status agentury</w:t>
      </w:r>
    </w:p>
    <w:p w:rsidR="00557911" w:rsidRDefault="00623804">
      <w:pPr>
        <w:pStyle w:val="ManualNumPar1"/>
        <w:rPr>
          <w:noProof/>
        </w:rPr>
      </w:pPr>
      <w:r>
        <w:t>1.</w:t>
      </w:r>
      <w:r>
        <w:tab/>
      </w:r>
      <w:r>
        <w:rPr>
          <w:noProof/>
        </w:rPr>
        <w:t xml:space="preserve">Agentura je </w:t>
      </w:r>
      <w:r>
        <w:rPr>
          <w:noProof/>
        </w:rPr>
        <w:t>institucí Unie a má právní subjektivitu.</w:t>
      </w:r>
    </w:p>
    <w:p w:rsidR="00557911" w:rsidRDefault="00623804">
      <w:pPr>
        <w:pStyle w:val="ManualNumPar1"/>
        <w:rPr>
          <w:noProof/>
        </w:rPr>
      </w:pPr>
      <w:r>
        <w:t>2.</w:t>
      </w:r>
      <w:r>
        <w:tab/>
      </w:r>
      <w:r>
        <w:rPr>
          <w:noProof/>
        </w:rPr>
        <w:t xml:space="preserve">Agentura má v každém členském státě nejširší způsobilost k právním úkonům, kterou vnitrostátní právo daného členského státu přiznává právnickým osobám. Zejména může nabývat a zcizovat movitý a nemovitý majetek a </w:t>
      </w:r>
      <w:r>
        <w:rPr>
          <w:noProof/>
        </w:rPr>
        <w:t>vystupovat před soudem, nebo obojí.</w:t>
      </w:r>
    </w:p>
    <w:p w:rsidR="00557911" w:rsidRDefault="00623804">
      <w:pPr>
        <w:pStyle w:val="ManualNumPar1"/>
        <w:rPr>
          <w:noProof/>
        </w:rPr>
      </w:pPr>
      <w:r>
        <w:t>3.</w:t>
      </w:r>
      <w:r>
        <w:tab/>
      </w:r>
      <w:r>
        <w:rPr>
          <w:noProof/>
        </w:rPr>
        <w:t>Agenturu zastupuje její výkonný ředitel.</w:t>
      </w:r>
    </w:p>
    <w:p w:rsidR="00557911" w:rsidRDefault="00557911">
      <w:pPr>
        <w:jc w:val="center"/>
        <w:rPr>
          <w:rFonts w:eastAsia="Times New Roman"/>
          <w:noProof/>
          <w:szCs w:val="24"/>
        </w:rPr>
      </w:pPr>
    </w:p>
    <w:p w:rsidR="00557911" w:rsidRDefault="00623804">
      <w:pPr>
        <w:pStyle w:val="Titrearticle"/>
        <w:spacing w:before="0" w:after="0"/>
        <w:rPr>
          <w:rFonts w:eastAsia="Times New Roman"/>
          <w:b/>
          <w:i w:val="0"/>
          <w:noProof/>
        </w:rPr>
      </w:pPr>
      <w:r>
        <w:rPr>
          <w:noProof/>
        </w:rPr>
        <w:t>Článek 36</w:t>
      </w:r>
      <w:r>
        <w:rPr>
          <w:noProof/>
        </w:rPr>
        <w:br/>
      </w:r>
      <w:r>
        <w:rPr>
          <w:b/>
          <w:noProof/>
        </w:rPr>
        <w:t xml:space="preserve">Odpovědnost agentury </w:t>
      </w:r>
    </w:p>
    <w:p w:rsidR="00557911" w:rsidRDefault="00623804">
      <w:pPr>
        <w:pStyle w:val="ManualNumPar1"/>
        <w:rPr>
          <w:noProof/>
        </w:rPr>
      </w:pPr>
      <w:r>
        <w:t>1.</w:t>
      </w:r>
      <w:r>
        <w:tab/>
      </w:r>
      <w:r>
        <w:rPr>
          <w:noProof/>
        </w:rPr>
        <w:t>Smluvní odpovědnost agentury se řídí právem rozhodným pro danou smlouvu.</w:t>
      </w:r>
    </w:p>
    <w:p w:rsidR="00557911" w:rsidRDefault="00623804">
      <w:pPr>
        <w:pStyle w:val="ManualNumPar1"/>
        <w:rPr>
          <w:noProof/>
        </w:rPr>
      </w:pPr>
      <w:r>
        <w:t>2.</w:t>
      </w:r>
      <w:r>
        <w:tab/>
      </w:r>
      <w:r>
        <w:rPr>
          <w:noProof/>
        </w:rPr>
        <w:t xml:space="preserve">Soudní dvůr Evropské unie má pravomoc rozhodovat na základě </w:t>
      </w:r>
      <w:r>
        <w:rPr>
          <w:noProof/>
        </w:rPr>
        <w:t>jakékoli rozhodčí doložky obsažené ve smlouvě uzavřené agenturou.</w:t>
      </w:r>
    </w:p>
    <w:p w:rsidR="00557911" w:rsidRDefault="00623804">
      <w:pPr>
        <w:pStyle w:val="ManualNumPar1"/>
        <w:rPr>
          <w:noProof/>
        </w:rPr>
      </w:pPr>
      <w:r>
        <w:t>3.</w:t>
      </w:r>
      <w:r>
        <w:tab/>
      </w:r>
      <w:r>
        <w:rPr>
          <w:noProof/>
        </w:rPr>
        <w:t>V případě mimosmluvní odpovědnosti nahradí agentura v souladu s obecnými zásadami, které jsou společné právním řádům členských států, škodu, kterou způsobí ona nebo její zaměstnanci při v</w:t>
      </w:r>
      <w:r>
        <w:rPr>
          <w:noProof/>
        </w:rPr>
        <w:t>ýkonu svých povinností.</w:t>
      </w:r>
    </w:p>
    <w:p w:rsidR="00557911" w:rsidRDefault="00623804">
      <w:pPr>
        <w:pStyle w:val="ManualNumPar1"/>
        <w:rPr>
          <w:noProof/>
        </w:rPr>
      </w:pPr>
      <w:r>
        <w:t>4.</w:t>
      </w:r>
      <w:r>
        <w:tab/>
      </w:r>
      <w:r>
        <w:rPr>
          <w:noProof/>
        </w:rPr>
        <w:t>Soudní dvůr Evropské unie má pravomoc rozhodovat veškeré spory o náhradu této škody.</w:t>
      </w:r>
    </w:p>
    <w:p w:rsidR="00557911" w:rsidRDefault="00623804">
      <w:pPr>
        <w:pStyle w:val="ManualNumPar1"/>
        <w:rPr>
          <w:noProof/>
        </w:rPr>
      </w:pPr>
      <w:r>
        <w:t>5.</w:t>
      </w:r>
      <w:r>
        <w:tab/>
      </w:r>
      <w:r>
        <w:rPr>
          <w:noProof/>
        </w:rPr>
        <w:t>Osobní odpovědnost zaměstnanců vůči agentuře se řídí odpovídajícími předpisy vztahujícími se na zaměstnance agentury.</w:t>
      </w:r>
    </w:p>
    <w:p w:rsidR="00557911" w:rsidRDefault="00557911">
      <w:pPr>
        <w:rPr>
          <w:noProof/>
        </w:rPr>
      </w:pPr>
    </w:p>
    <w:p w:rsidR="00557911" w:rsidRDefault="00623804">
      <w:pPr>
        <w:pStyle w:val="Titrearticle"/>
        <w:spacing w:before="0" w:after="0"/>
        <w:rPr>
          <w:rFonts w:eastAsia="Times New Roman"/>
          <w:b/>
          <w:i w:val="0"/>
          <w:noProof/>
        </w:rPr>
      </w:pPr>
      <w:r>
        <w:rPr>
          <w:noProof/>
        </w:rPr>
        <w:t>Článek 37</w:t>
      </w:r>
      <w:r>
        <w:rPr>
          <w:noProof/>
        </w:rPr>
        <w:br/>
      </w:r>
      <w:r>
        <w:rPr>
          <w:b/>
          <w:noProof/>
        </w:rPr>
        <w:t>Jazykový rež</w:t>
      </w:r>
      <w:r>
        <w:rPr>
          <w:b/>
          <w:noProof/>
        </w:rPr>
        <w:t>im</w:t>
      </w:r>
    </w:p>
    <w:p w:rsidR="00557911" w:rsidRDefault="00623804">
      <w:pPr>
        <w:pStyle w:val="ManualNumPar1"/>
        <w:rPr>
          <w:noProof/>
        </w:rPr>
      </w:pPr>
      <w:r>
        <w:t>1.</w:t>
      </w:r>
      <w:r>
        <w:tab/>
      </w:r>
      <w:r>
        <w:rPr>
          <w:noProof/>
        </w:rPr>
        <w:t>Na agenturu se vztahuje nařízení Rady č. 1</w:t>
      </w:r>
      <w:r>
        <w:rPr>
          <w:rStyle w:val="FootnoteReference"/>
          <w:noProof/>
        </w:rPr>
        <w:footnoteReference w:id="42"/>
      </w:r>
      <w:r>
        <w:rPr>
          <w:noProof/>
        </w:rPr>
        <w:t>. Členské státy a ostatní jimi jmenované subjekty se mohou na agenturu obracet a přijímat odpovědi v libovolném úředním jazyce orgánů Unie.</w:t>
      </w:r>
    </w:p>
    <w:p w:rsidR="00557911" w:rsidRDefault="00623804">
      <w:pPr>
        <w:pStyle w:val="ManualNumPar1"/>
        <w:rPr>
          <w:noProof/>
        </w:rPr>
      </w:pPr>
      <w:r>
        <w:t>2.</w:t>
      </w:r>
      <w:r>
        <w:tab/>
      </w:r>
      <w:r>
        <w:rPr>
          <w:noProof/>
        </w:rPr>
        <w:t>Překladatelské služby potřebné pro činnost agentury poskytuje Př</w:t>
      </w:r>
      <w:r>
        <w:rPr>
          <w:noProof/>
        </w:rPr>
        <w:t>ekladatelské středisko pro instituce Evropské unie.</w:t>
      </w:r>
    </w:p>
    <w:p w:rsidR="00557911" w:rsidRDefault="00557911">
      <w:pPr>
        <w:rPr>
          <w:noProof/>
        </w:rPr>
      </w:pPr>
    </w:p>
    <w:p w:rsidR="00557911" w:rsidRDefault="00623804">
      <w:pPr>
        <w:pStyle w:val="Titrearticle"/>
        <w:spacing w:before="0" w:after="0"/>
        <w:rPr>
          <w:rFonts w:eastAsia="Times New Roman"/>
          <w:b/>
          <w:i w:val="0"/>
          <w:noProof/>
        </w:rPr>
      </w:pPr>
      <w:r>
        <w:rPr>
          <w:noProof/>
        </w:rPr>
        <w:t>Článek 38</w:t>
      </w:r>
      <w:r>
        <w:rPr>
          <w:noProof/>
        </w:rPr>
        <w:br/>
      </w:r>
      <w:r>
        <w:rPr>
          <w:b/>
          <w:noProof/>
        </w:rPr>
        <w:t>Ochrana osobních údajů</w:t>
      </w:r>
    </w:p>
    <w:p w:rsidR="00557911" w:rsidRDefault="00623804">
      <w:pPr>
        <w:pStyle w:val="ManualNumPar1"/>
        <w:rPr>
          <w:noProof/>
        </w:rPr>
      </w:pPr>
      <w:r>
        <w:t>1.</w:t>
      </w:r>
      <w:r>
        <w:tab/>
      </w:r>
      <w:r>
        <w:rPr>
          <w:noProof/>
        </w:rPr>
        <w:t>Zpracování osobních údajů agenturou se řídí nařízením Evropského parlamentu a Rady (ES) č. 45/2001</w:t>
      </w:r>
      <w:r>
        <w:rPr>
          <w:rStyle w:val="FootnoteReference"/>
          <w:noProof/>
        </w:rPr>
        <w:footnoteReference w:id="43"/>
      </w:r>
      <w:r>
        <w:rPr>
          <w:noProof/>
        </w:rPr>
        <w:t>.</w:t>
      </w:r>
    </w:p>
    <w:p w:rsidR="00557911" w:rsidRDefault="00623804">
      <w:pPr>
        <w:pStyle w:val="ManualNumPar1"/>
        <w:rPr>
          <w:noProof/>
        </w:rPr>
      </w:pPr>
      <w:r>
        <w:t>2.</w:t>
      </w:r>
      <w:r>
        <w:tab/>
      </w:r>
      <w:r>
        <w:rPr>
          <w:noProof/>
        </w:rPr>
        <w:t>Správní rada přijme prováděcí opatření uvedená v čl. 24 odst. 8</w:t>
      </w:r>
      <w:r>
        <w:rPr>
          <w:noProof/>
        </w:rPr>
        <w:t xml:space="preserve"> nařízení (ES) č. 45/2001. Správní rada může přijmout další opatření nezbytná pro uplatňování nařízení (ES) č. 45/2001 ze strany agentury.</w:t>
      </w:r>
    </w:p>
    <w:p w:rsidR="00557911" w:rsidRDefault="00623804">
      <w:pPr>
        <w:pStyle w:val="Titrearticle"/>
        <w:spacing w:before="0" w:after="0"/>
        <w:rPr>
          <w:rFonts w:eastAsia="Times New Roman"/>
          <w:b/>
          <w:i w:val="0"/>
          <w:noProof/>
        </w:rPr>
      </w:pPr>
      <w:r>
        <w:rPr>
          <w:noProof/>
        </w:rPr>
        <w:t>Článek 39</w:t>
      </w:r>
      <w:r>
        <w:rPr>
          <w:noProof/>
        </w:rPr>
        <w:br/>
      </w:r>
      <w:r>
        <w:rPr>
          <w:b/>
          <w:noProof/>
        </w:rPr>
        <w:t>Spolupráce s třetími zeměmi a mezinárodními organizacemi</w:t>
      </w:r>
    </w:p>
    <w:p w:rsidR="00557911" w:rsidRDefault="00623804">
      <w:pPr>
        <w:pStyle w:val="ManualNumPar1"/>
        <w:rPr>
          <w:noProof/>
        </w:rPr>
      </w:pPr>
      <w:r>
        <w:t>1.</w:t>
      </w:r>
      <w:r>
        <w:tab/>
      </w:r>
      <w:r>
        <w:rPr>
          <w:noProof/>
        </w:rPr>
        <w:t>Je-li to nezbytné pro dosažení cílů uvedených v</w:t>
      </w:r>
      <w:r>
        <w:rPr>
          <w:noProof/>
        </w:rPr>
        <w:t xml:space="preserve"> tomto nařízení, může agentura spolupracovat s příslušnými orgány třetích zemí, s mezinárodními organizacemi nebo s oběma. Za tímto účelem může agentura po předchozím schválení Komisí uzavřít s orgány třetích zemí a s mezinárodními organizacemi pracovní uj</w:t>
      </w:r>
      <w:r>
        <w:rPr>
          <w:noProof/>
        </w:rPr>
        <w:t>ednání. Z těchto ujednání nevyplývají pro Unii ani její členské státy žádné právní závazky.</w:t>
      </w:r>
    </w:p>
    <w:p w:rsidR="00557911" w:rsidRDefault="00623804">
      <w:pPr>
        <w:pStyle w:val="ManualNumPar1"/>
        <w:rPr>
          <w:noProof/>
        </w:rPr>
      </w:pPr>
      <w:r>
        <w:t>2.</w:t>
      </w:r>
      <w:r>
        <w:tab/>
      </w:r>
      <w:r>
        <w:rPr>
          <w:noProof/>
        </w:rPr>
        <w:t xml:space="preserve">Agentura je otevřena účasti třetích zemí, které za tímto účelem uzavřely dohody s Unií. Na základě příslušných ustanovení těchto dohod budou vytvořena ujednání, </w:t>
      </w:r>
      <w:r>
        <w:rPr>
          <w:noProof/>
        </w:rPr>
        <w:t>která určí zejména povahu, rozsah a způsob účasti těchto zemí na činnosti agentury, včetně ustanovení týkajících se účasti na iniciativách agentury, finančních příspěvků a zaměstnanců. Pokud jde o záležitosti týkající se zaměstnanců, musí být tato ujednání</w:t>
      </w:r>
      <w:r>
        <w:rPr>
          <w:noProof/>
        </w:rPr>
        <w:t xml:space="preserve"> v každém případě v souladu se služebním řádem.</w:t>
      </w:r>
    </w:p>
    <w:p w:rsidR="00557911" w:rsidRDefault="00623804">
      <w:pPr>
        <w:pStyle w:val="ManualNumPar1"/>
        <w:rPr>
          <w:noProof/>
        </w:rPr>
      </w:pPr>
      <w:r>
        <w:t>3.</w:t>
      </w:r>
      <w:r>
        <w:tab/>
      </w:r>
      <w:r>
        <w:rPr>
          <w:noProof/>
        </w:rPr>
        <w:t>Správní rada přijme strategii pro vztahy se třetími zeměmi nebo mezinárodními organizacemi v otázkách, které spadají do oblasti působnosti agentury. Komise zajistí, aby agentura působila v mezích svého man</w:t>
      </w:r>
      <w:r>
        <w:rPr>
          <w:noProof/>
        </w:rPr>
        <w:t>dátu a stávajícího institucionálního rámce tím, že s výkonným ředitelem agentury uzavře příslušné pracovní ujednání.</w:t>
      </w:r>
    </w:p>
    <w:p w:rsidR="00557911" w:rsidRDefault="00557911">
      <w:pPr>
        <w:rPr>
          <w:noProof/>
        </w:rPr>
      </w:pPr>
    </w:p>
    <w:p w:rsidR="00557911" w:rsidRDefault="00623804">
      <w:pPr>
        <w:pStyle w:val="Titrearticle"/>
        <w:spacing w:before="0" w:after="0"/>
        <w:rPr>
          <w:rFonts w:eastAsia="Times New Roman"/>
          <w:b/>
          <w:i w:val="0"/>
          <w:noProof/>
        </w:rPr>
      </w:pPr>
      <w:r>
        <w:rPr>
          <w:noProof/>
        </w:rPr>
        <w:t>Článek 40</w:t>
      </w:r>
      <w:r>
        <w:rPr>
          <w:noProof/>
        </w:rPr>
        <w:br/>
      </w:r>
      <w:r>
        <w:rPr>
          <w:b/>
          <w:noProof/>
        </w:rPr>
        <w:t>Bezpečnostní předpisy týkající se ochrany utajovaných informací a citlivých informací nepodléhajících utajení</w:t>
      </w:r>
    </w:p>
    <w:p w:rsidR="00557911" w:rsidRDefault="00623804">
      <w:pPr>
        <w:spacing w:after="0"/>
        <w:rPr>
          <w:rFonts w:eastAsia="Times New Roman"/>
          <w:noProof/>
          <w:szCs w:val="24"/>
        </w:rPr>
      </w:pPr>
      <w:r>
        <w:rPr>
          <w:noProof/>
        </w:rPr>
        <w:t>Po konzultaci s Ko</w:t>
      </w:r>
      <w:r>
        <w:rPr>
          <w:noProof/>
        </w:rPr>
        <w:t>misí agentura přijme své bezpečnostní předpisy uplatňující bezpečnostní zásady obsažené v bezpečnostních pravidlech Komise pro ochranu utajovaných informací Evropské unie (EUCI) a citlivých informací nepodléhajících utajení, která jsou stanovena v rozhodnu</w:t>
      </w:r>
      <w:r>
        <w:rPr>
          <w:noProof/>
        </w:rPr>
        <w:t>tích Komise (EU, Euratom) 2015/443 a 2015/444. To se kromě jiného vztahuje na ustanovení o výměně, zpracování a ukládání těchto informací.</w:t>
      </w:r>
    </w:p>
    <w:p w:rsidR="00557911" w:rsidRDefault="00557911">
      <w:pPr>
        <w:spacing w:after="0"/>
        <w:rPr>
          <w:rFonts w:eastAsia="Times New Roman"/>
          <w:strike/>
          <w:noProof/>
          <w:szCs w:val="24"/>
        </w:rPr>
      </w:pPr>
    </w:p>
    <w:p w:rsidR="00557911" w:rsidRDefault="00623804">
      <w:pPr>
        <w:pStyle w:val="Titrearticle"/>
        <w:spacing w:before="0" w:after="0"/>
        <w:rPr>
          <w:b/>
          <w:noProof/>
        </w:rPr>
      </w:pPr>
      <w:r>
        <w:rPr>
          <w:noProof/>
        </w:rPr>
        <w:t>Článek 41</w:t>
      </w:r>
      <w:r>
        <w:rPr>
          <w:noProof/>
        </w:rPr>
        <w:br/>
      </w:r>
      <w:r>
        <w:rPr>
          <w:b/>
          <w:noProof/>
        </w:rPr>
        <w:t>Dohoda o sídle a provozní podmínky</w:t>
      </w:r>
    </w:p>
    <w:p w:rsidR="00557911" w:rsidRDefault="00623804">
      <w:pPr>
        <w:pStyle w:val="ManualNumPar1"/>
        <w:rPr>
          <w:noProof/>
        </w:rPr>
      </w:pPr>
      <w:r>
        <w:t>1.</w:t>
      </w:r>
      <w:r>
        <w:tab/>
      </w:r>
      <w:r>
        <w:rPr>
          <w:noProof/>
        </w:rPr>
        <w:t>Nezbytná ujednání související s umístěním agentury v hostitelském čl</w:t>
      </w:r>
      <w:r>
        <w:rPr>
          <w:noProof/>
        </w:rPr>
        <w:t>enském státě a s prostory, které tento členský stát dává k dispozici, a zvláštní pravidla, která se v hostitelském členském státě vztahují na výkonného ředitele, členy správní rady, zaměstnance agentury a jejich rodinné příslušníky, se stanoví v dohodě o s</w:t>
      </w:r>
      <w:r>
        <w:rPr>
          <w:noProof/>
        </w:rPr>
        <w:t xml:space="preserve">ídle uzavřené mezi agenturou a členským státem, kde se sídlo nachází, poté, co k tomu správní rada dá souhlas, nejpozději však [dva roky po vstupu tohoto nařízení v platnost]. </w:t>
      </w:r>
    </w:p>
    <w:p w:rsidR="00557911" w:rsidRDefault="00623804">
      <w:pPr>
        <w:pStyle w:val="ManualNumPar1"/>
        <w:rPr>
          <w:noProof/>
        </w:rPr>
      </w:pPr>
      <w:r>
        <w:t>2.</w:t>
      </w:r>
      <w:r>
        <w:tab/>
      </w:r>
      <w:r>
        <w:rPr>
          <w:noProof/>
        </w:rPr>
        <w:t>Hostitelský členský stát agentury poskytne nejlepší možné podmínky pro zajiš</w:t>
      </w:r>
      <w:r>
        <w:rPr>
          <w:noProof/>
        </w:rPr>
        <w:t>tění řádného fungování agentury, včetně přístupnosti lokality, existence vhodných vzdělávacích zařízení pro děti zaměstnanců, patřičného přístupu na pracovní trh, sociálního zabezpečení a zdravotní péče pro děti i pro manžely a manželky zaměstnanců.</w:t>
      </w:r>
    </w:p>
    <w:p w:rsidR="00557911" w:rsidRDefault="00557911">
      <w:pPr>
        <w:rPr>
          <w:noProof/>
        </w:rPr>
      </w:pPr>
    </w:p>
    <w:p w:rsidR="00557911" w:rsidRDefault="00623804">
      <w:pPr>
        <w:pStyle w:val="Titrearticle"/>
        <w:spacing w:before="0" w:after="0"/>
        <w:rPr>
          <w:rFonts w:eastAsia="Times New Roman"/>
          <w:b/>
          <w:i w:val="0"/>
          <w:noProof/>
        </w:rPr>
      </w:pPr>
      <w:r>
        <w:rPr>
          <w:noProof/>
        </w:rPr>
        <w:t>Článek 42</w:t>
      </w:r>
      <w:r>
        <w:rPr>
          <w:noProof/>
        </w:rPr>
        <w:br/>
      </w:r>
      <w:r>
        <w:rPr>
          <w:b/>
          <w:noProof/>
        </w:rPr>
        <w:t>Správní kontrola</w:t>
      </w:r>
    </w:p>
    <w:p w:rsidR="00557911" w:rsidRDefault="00623804">
      <w:pPr>
        <w:spacing w:after="0"/>
        <w:rPr>
          <w:rFonts w:eastAsia="Times New Roman"/>
          <w:noProof/>
          <w:szCs w:val="24"/>
        </w:rPr>
      </w:pPr>
      <w:r>
        <w:rPr>
          <w:noProof/>
        </w:rPr>
        <w:t>Na činnost agentury dohlíží veřejný ochránce práv v souladu s článkem 228 Smlouvy o fungování EU.</w:t>
      </w:r>
    </w:p>
    <w:p w:rsidR="00557911" w:rsidRDefault="00557911">
      <w:pPr>
        <w:spacing w:after="0"/>
        <w:rPr>
          <w:rFonts w:eastAsia="Times New Roman"/>
          <w:noProof/>
          <w:szCs w:val="24"/>
        </w:rPr>
      </w:pPr>
    </w:p>
    <w:p w:rsidR="00557911" w:rsidRDefault="00557911">
      <w:pPr>
        <w:spacing w:after="0"/>
        <w:rPr>
          <w:rFonts w:eastAsia="Times New Roman"/>
          <w:noProof/>
          <w:szCs w:val="24"/>
        </w:rPr>
      </w:pPr>
    </w:p>
    <w:p w:rsidR="00557911" w:rsidRDefault="00623804">
      <w:pPr>
        <w:pStyle w:val="PartTitle"/>
        <w:rPr>
          <w:noProof/>
        </w:rPr>
      </w:pPr>
      <w:bookmarkStart w:id="36" w:name="_Toc492216478"/>
      <w:r>
        <w:rPr>
          <w:noProof/>
        </w:rPr>
        <w:t>HLAVA III</w:t>
      </w:r>
      <w:r>
        <w:rPr>
          <w:noProof/>
        </w:rPr>
        <w:br/>
        <w:t>RÁMEC PRO CERTIFIKACI KYBERNETICKÉ BEZPEČNOSTI</w:t>
      </w:r>
      <w:bookmarkEnd w:id="36"/>
    </w:p>
    <w:p w:rsidR="00557911" w:rsidRDefault="00557911">
      <w:pPr>
        <w:tabs>
          <w:tab w:val="left" w:pos="4252"/>
        </w:tabs>
        <w:spacing w:after="0"/>
        <w:rPr>
          <w:noProof/>
        </w:rPr>
      </w:pPr>
    </w:p>
    <w:p w:rsidR="00557911" w:rsidRDefault="00623804">
      <w:pPr>
        <w:pStyle w:val="Titrearticle"/>
        <w:spacing w:before="0" w:after="0"/>
        <w:rPr>
          <w:b/>
          <w:noProof/>
        </w:rPr>
      </w:pPr>
      <w:r>
        <w:rPr>
          <w:noProof/>
        </w:rPr>
        <w:t>Článek 43</w:t>
      </w:r>
      <w:r>
        <w:rPr>
          <w:noProof/>
        </w:rPr>
        <w:br/>
      </w:r>
      <w:r>
        <w:rPr>
          <w:b/>
          <w:noProof/>
        </w:rPr>
        <w:t>Evropské systémy certifikace kybernetické bezpečnosti</w:t>
      </w:r>
    </w:p>
    <w:p w:rsidR="00557911" w:rsidRDefault="00623804">
      <w:pPr>
        <w:rPr>
          <w:noProof/>
          <w:szCs w:val="24"/>
        </w:rPr>
      </w:pPr>
      <w:r>
        <w:rPr>
          <w:noProof/>
        </w:rPr>
        <w:t>Evropsk</w:t>
      </w:r>
      <w:r>
        <w:rPr>
          <w:noProof/>
        </w:rPr>
        <w:t>ý systém certifikace kybernetické bezpečnosti osvědčuje, že produkty a služby IKT, které byly v souladu s tímto systémem certifikovány, splňují specifikované požadavky na jejich schopnost odolávat s příslušnou úrovní záruky činnostem, které ohrožují přístu</w:t>
      </w:r>
      <w:r>
        <w:rPr>
          <w:noProof/>
        </w:rPr>
        <w:t>pnost, pravost, neporušenost nebo důvěrnost ukládaných, předávaných nebo zpracovávaných údajů nebo funkcí či služeb, jež jsou prostřednictvím těchto produktů, procesů, služeb a systémů nabízené nebo přístupné.</w:t>
      </w:r>
    </w:p>
    <w:p w:rsidR="00557911" w:rsidRDefault="00557911">
      <w:pPr>
        <w:jc w:val="center"/>
        <w:rPr>
          <w:i/>
          <w:noProof/>
          <w:szCs w:val="24"/>
        </w:rPr>
      </w:pPr>
    </w:p>
    <w:p w:rsidR="00557911" w:rsidRDefault="00623804">
      <w:pPr>
        <w:pStyle w:val="Titrearticle"/>
        <w:spacing w:before="0" w:after="0"/>
        <w:rPr>
          <w:b/>
          <w:i w:val="0"/>
          <w:noProof/>
        </w:rPr>
      </w:pPr>
      <w:r>
        <w:rPr>
          <w:noProof/>
        </w:rPr>
        <w:t>Článek 44</w:t>
      </w:r>
      <w:r>
        <w:rPr>
          <w:noProof/>
        </w:rPr>
        <w:br/>
      </w:r>
      <w:r>
        <w:rPr>
          <w:b/>
          <w:noProof/>
        </w:rPr>
        <w:t>Vypracování a přijetí evropského sy</w:t>
      </w:r>
      <w:r>
        <w:rPr>
          <w:b/>
          <w:noProof/>
        </w:rPr>
        <w:t>stému certifikace kybernetické bezpečnosti</w:t>
      </w:r>
    </w:p>
    <w:p w:rsidR="00557911" w:rsidRDefault="00623804">
      <w:pPr>
        <w:pStyle w:val="ManualNumPar1"/>
        <w:rPr>
          <w:noProof/>
        </w:rPr>
      </w:pPr>
      <w:r>
        <w:t>1.</w:t>
      </w:r>
      <w:r>
        <w:tab/>
      </w:r>
      <w:r>
        <w:rPr>
          <w:noProof/>
        </w:rPr>
        <w:t>Agentura ENISA na základě žádosti Komise vypracuje návrh evropského systému certifikace kybernetické bezpečnosti, který splňuje požadavky stanovené v článcích 45, 46 a 47 tohoto nařízení. Vypracování návrhu evropského systému certifikace kybernetické bezpe</w:t>
      </w:r>
      <w:r>
        <w:rPr>
          <w:noProof/>
        </w:rPr>
        <w:t xml:space="preserve">čnosti mohou Komisi navrhnout členské státy nebo Evropská skupina pro certifikaci kybernetické bezpečnosti (dále jen „skupina“), zřízená podle článku 53. </w:t>
      </w:r>
    </w:p>
    <w:p w:rsidR="00557911" w:rsidRDefault="00623804">
      <w:pPr>
        <w:pStyle w:val="ManualNumPar1"/>
        <w:rPr>
          <w:noProof/>
        </w:rPr>
      </w:pPr>
      <w:r>
        <w:t>2.</w:t>
      </w:r>
      <w:r>
        <w:tab/>
      </w:r>
      <w:r>
        <w:rPr>
          <w:noProof/>
        </w:rPr>
        <w:t>Při vypracovávání návrhu systému uvedeného v odstavci 1 tohoto článku agentura ENISA konzultuje vš</w:t>
      </w:r>
      <w:r>
        <w:rPr>
          <w:noProof/>
        </w:rPr>
        <w:t xml:space="preserve">echny příslušné zúčastněné strany a úzce spolupracuje se skupinou. Skupina poskytne agentuře ENISA pomoc a odborné poradenství, které si agentura ENISA v souvislosti s vypracováním návrhu systému vyžádá, mimo jiné případným poskytováním stanovisek. </w:t>
      </w:r>
    </w:p>
    <w:p w:rsidR="00557911" w:rsidRDefault="00623804">
      <w:pPr>
        <w:pStyle w:val="ManualNumPar1"/>
        <w:rPr>
          <w:noProof/>
        </w:rPr>
      </w:pPr>
      <w:r>
        <w:t>3.</w:t>
      </w:r>
      <w:r>
        <w:tab/>
      </w:r>
      <w:r>
        <w:rPr>
          <w:noProof/>
        </w:rPr>
        <w:t>Age</w:t>
      </w:r>
      <w:r>
        <w:rPr>
          <w:noProof/>
        </w:rPr>
        <w:t xml:space="preserve">ntura ENISA návrh evropského systému certifikace kybernetické bezpečnosti, vypracovaný v souladu s odstavcem 2 tohoto článku, předá Komisi. </w:t>
      </w:r>
    </w:p>
    <w:p w:rsidR="00557911" w:rsidRDefault="00623804">
      <w:pPr>
        <w:pStyle w:val="ManualNumPar1"/>
        <w:rPr>
          <w:noProof/>
        </w:rPr>
      </w:pPr>
      <w:r>
        <w:t>4.</w:t>
      </w:r>
      <w:r>
        <w:tab/>
      </w:r>
      <w:r>
        <w:rPr>
          <w:noProof/>
        </w:rPr>
        <w:t>V souladu s čl. 55 odst. 1 může Komise na základě návrhu systému vypracovaného agenturou ENISA přijímat prováděc</w:t>
      </w:r>
      <w:r>
        <w:rPr>
          <w:noProof/>
        </w:rPr>
        <w:t>í akty, kterými stanoví evropské systémy certifikace kybernetické bezpečnosti produktů a služeb IKT splňující požadavky článků 45, 46 a 47 tohoto nařízení.</w:t>
      </w:r>
    </w:p>
    <w:p w:rsidR="00557911" w:rsidRDefault="00623804">
      <w:pPr>
        <w:pStyle w:val="ManualNumPar1"/>
        <w:rPr>
          <w:noProof/>
        </w:rPr>
      </w:pPr>
      <w:r>
        <w:t>5.</w:t>
      </w:r>
      <w:r>
        <w:tab/>
      </w:r>
      <w:r>
        <w:rPr>
          <w:noProof/>
        </w:rPr>
        <w:t>Agentura ENISA spravuje zvláštní internetové stránky poskytující informace o evropských systémech</w:t>
      </w:r>
      <w:r>
        <w:rPr>
          <w:noProof/>
        </w:rPr>
        <w:t xml:space="preserve"> certifikace kybernetické bezpečnosti a zajišťující jejich propagaci.</w:t>
      </w:r>
    </w:p>
    <w:p w:rsidR="00557911" w:rsidRDefault="00557911">
      <w:pPr>
        <w:rPr>
          <w:i/>
          <w:noProof/>
          <w:szCs w:val="24"/>
        </w:rPr>
      </w:pPr>
    </w:p>
    <w:p w:rsidR="00557911" w:rsidRDefault="00623804">
      <w:pPr>
        <w:pStyle w:val="Titrearticle"/>
        <w:spacing w:before="0" w:after="0"/>
        <w:rPr>
          <w:b/>
          <w:i w:val="0"/>
          <w:noProof/>
        </w:rPr>
      </w:pPr>
      <w:r>
        <w:rPr>
          <w:noProof/>
        </w:rPr>
        <w:t>Článek 45</w:t>
      </w:r>
      <w:r>
        <w:rPr>
          <w:noProof/>
        </w:rPr>
        <w:br/>
      </w:r>
      <w:r>
        <w:rPr>
          <w:b/>
          <w:noProof/>
        </w:rPr>
        <w:t>Bezpečnostní cíle evropských systémů certifikace kybernetické bezpečnosti</w:t>
      </w:r>
    </w:p>
    <w:p w:rsidR="00557911" w:rsidRDefault="00623804">
      <w:pPr>
        <w:rPr>
          <w:noProof/>
          <w:szCs w:val="24"/>
        </w:rPr>
      </w:pPr>
      <w:r>
        <w:rPr>
          <w:noProof/>
        </w:rPr>
        <w:t>Evropský systém certifikace kybernetické bezpečnosti je navržen tak, aby zohledňoval tyto bezpečnostn</w:t>
      </w:r>
      <w:r>
        <w:rPr>
          <w:noProof/>
        </w:rPr>
        <w:t>í cíle:</w:t>
      </w:r>
    </w:p>
    <w:p w:rsidR="00557911" w:rsidRDefault="00623804">
      <w:pPr>
        <w:pStyle w:val="Point1"/>
        <w:rPr>
          <w:noProof/>
        </w:rPr>
      </w:pPr>
      <w:r>
        <w:rPr>
          <w:noProof/>
        </w:rPr>
        <w:t>a)</w:t>
      </w:r>
      <w:r>
        <w:rPr>
          <w:noProof/>
        </w:rPr>
        <w:tab/>
        <w:t>chránit ukládané, předávané nebo jinak zpracovávané údaje proti náhodnému nebo neoprávněnému ukládání, zpracování, přístupu nebo sdělování;</w:t>
      </w:r>
    </w:p>
    <w:p w:rsidR="00557911" w:rsidRDefault="00623804">
      <w:pPr>
        <w:pStyle w:val="Point1"/>
        <w:rPr>
          <w:noProof/>
        </w:rPr>
      </w:pPr>
      <w:r>
        <w:rPr>
          <w:noProof/>
        </w:rPr>
        <w:t>b)</w:t>
      </w:r>
      <w:r>
        <w:rPr>
          <w:noProof/>
        </w:rPr>
        <w:tab/>
        <w:t xml:space="preserve">chránit ukládané, předávané nebo jinak zpracovávané údaje proti náhodnému nebo neoprávněnému zničení, </w:t>
      </w:r>
      <w:r>
        <w:rPr>
          <w:noProof/>
        </w:rPr>
        <w:t>náhodné ztrátě nebo úpravám;</w:t>
      </w:r>
    </w:p>
    <w:p w:rsidR="00557911" w:rsidRDefault="00623804">
      <w:pPr>
        <w:pStyle w:val="Point1"/>
        <w:rPr>
          <w:noProof/>
        </w:rPr>
      </w:pPr>
      <w:r>
        <w:rPr>
          <w:noProof/>
        </w:rPr>
        <w:t>c)</w:t>
      </w:r>
      <w:r>
        <w:rPr>
          <w:noProof/>
        </w:rPr>
        <w:tab/>
        <w:t>zajistit, aby oprávněné osoby, programy nebo stroje měly přístup výhradně k údajům, službám nebo funkcím, jichž se týkají jejich přístupová práva;</w:t>
      </w:r>
    </w:p>
    <w:p w:rsidR="00557911" w:rsidRDefault="00623804">
      <w:pPr>
        <w:pStyle w:val="Point1"/>
        <w:rPr>
          <w:noProof/>
        </w:rPr>
      </w:pPr>
      <w:r>
        <w:rPr>
          <w:noProof/>
        </w:rPr>
        <w:t>d)</w:t>
      </w:r>
      <w:r>
        <w:rPr>
          <w:noProof/>
        </w:rPr>
        <w:tab/>
        <w:t>zaznamenat, které údaje, funkce nebo služby byly kdy a kým sděleny;</w:t>
      </w:r>
    </w:p>
    <w:p w:rsidR="00557911" w:rsidRDefault="00623804">
      <w:pPr>
        <w:pStyle w:val="Point1"/>
        <w:rPr>
          <w:noProof/>
        </w:rPr>
      </w:pPr>
      <w:r>
        <w:rPr>
          <w:noProof/>
        </w:rPr>
        <w:t>e)</w:t>
      </w:r>
      <w:r>
        <w:rPr>
          <w:noProof/>
        </w:rPr>
        <w:tab/>
        <w:t>zaj</w:t>
      </w:r>
      <w:r>
        <w:rPr>
          <w:noProof/>
        </w:rPr>
        <w:t>istit, aby bylo možné kontrolovat, ke kterým údajům, službám nebo funkcím kdy a kdo získal přístup nebo je použil;</w:t>
      </w:r>
    </w:p>
    <w:p w:rsidR="00557911" w:rsidRDefault="00623804">
      <w:pPr>
        <w:pStyle w:val="Point1"/>
        <w:rPr>
          <w:noProof/>
        </w:rPr>
      </w:pPr>
      <w:r>
        <w:rPr>
          <w:noProof/>
        </w:rPr>
        <w:t>f)</w:t>
      </w:r>
      <w:r>
        <w:rPr>
          <w:noProof/>
        </w:rPr>
        <w:tab/>
        <w:t>včas obnovit dostupnost údajů, služeb a funkcí a přístup k nim v případě fyzických nebo technických incidentů;</w:t>
      </w:r>
    </w:p>
    <w:p w:rsidR="00557911" w:rsidRDefault="00623804">
      <w:pPr>
        <w:pStyle w:val="Point1"/>
        <w:rPr>
          <w:noProof/>
          <w:szCs w:val="24"/>
        </w:rPr>
      </w:pPr>
      <w:r>
        <w:rPr>
          <w:noProof/>
        </w:rPr>
        <w:t>g)</w:t>
      </w:r>
      <w:r>
        <w:rPr>
          <w:noProof/>
        </w:rPr>
        <w:tab/>
        <w:t>zajistit, aby produkty a</w:t>
      </w:r>
      <w:r>
        <w:rPr>
          <w:noProof/>
        </w:rPr>
        <w:t xml:space="preserve"> služby IKT byly poskytovány s aktualizovaným softwarem, který neobsahuje známá slabá místa, a aby byly zavedeny mechanismy pro bezpečné aktualizace softwaru.</w:t>
      </w:r>
    </w:p>
    <w:p w:rsidR="00557911" w:rsidRDefault="00557911">
      <w:pPr>
        <w:rPr>
          <w:noProof/>
          <w:szCs w:val="24"/>
        </w:rPr>
      </w:pPr>
    </w:p>
    <w:p w:rsidR="00557911" w:rsidRDefault="00623804">
      <w:pPr>
        <w:pStyle w:val="Titrearticle"/>
        <w:spacing w:before="0" w:after="0"/>
        <w:rPr>
          <w:b/>
          <w:i w:val="0"/>
          <w:noProof/>
        </w:rPr>
      </w:pPr>
      <w:r>
        <w:rPr>
          <w:noProof/>
        </w:rPr>
        <w:t>Článek 46</w:t>
      </w:r>
      <w:r>
        <w:rPr>
          <w:noProof/>
        </w:rPr>
        <w:br/>
      </w:r>
      <w:r>
        <w:rPr>
          <w:b/>
          <w:noProof/>
        </w:rPr>
        <w:t>Úrovně záruky evropských systémů certifikace kybernetické bezpečnosti</w:t>
      </w:r>
    </w:p>
    <w:p w:rsidR="00557911" w:rsidRDefault="00623804">
      <w:pPr>
        <w:pStyle w:val="ManualNumPar1"/>
        <w:rPr>
          <w:noProof/>
        </w:rPr>
      </w:pPr>
      <w:r>
        <w:t>1.</w:t>
      </w:r>
      <w:r>
        <w:tab/>
      </w:r>
      <w:r>
        <w:rPr>
          <w:noProof/>
        </w:rPr>
        <w:t xml:space="preserve">Evropský </w:t>
      </w:r>
      <w:r>
        <w:rPr>
          <w:noProof/>
        </w:rPr>
        <w:t>systém certifikace kybernetické bezpečnosti může u produktů a služeb IKT, jež jsou v rámci daného systému vydány, určit jednu nebo více těchto úrovní záruky: základní, významnou a/nebo vysokou.</w:t>
      </w:r>
    </w:p>
    <w:p w:rsidR="00557911" w:rsidRDefault="00623804">
      <w:pPr>
        <w:pStyle w:val="ManualNumPar1"/>
        <w:rPr>
          <w:noProof/>
        </w:rPr>
      </w:pPr>
      <w:r>
        <w:t>2.</w:t>
      </w:r>
      <w:r>
        <w:tab/>
      </w:r>
      <w:r>
        <w:rPr>
          <w:noProof/>
        </w:rPr>
        <w:t>Úrovně záruky „základní“, „významná“ a „vysoká“ splňují tat</w:t>
      </w:r>
      <w:r>
        <w:rPr>
          <w:noProof/>
        </w:rPr>
        <w:t>o kritéria:</w:t>
      </w:r>
    </w:p>
    <w:p w:rsidR="00557911" w:rsidRDefault="00623804">
      <w:pPr>
        <w:pStyle w:val="Point1"/>
        <w:rPr>
          <w:noProof/>
        </w:rPr>
      </w:pPr>
      <w:r>
        <w:rPr>
          <w:noProof/>
        </w:rPr>
        <w:t>a)</w:t>
      </w:r>
      <w:r>
        <w:rPr>
          <w:noProof/>
        </w:rPr>
        <w:tab/>
        <w:t xml:space="preserve">základní úroveň záruky odkazuje na certifikát vydaný v rámci evropského systému certifikace kybernetické bezpečnosti, který poskytuje omezený stupeň důvěry v deklarované nebo uváděné kybernetickobezpečnostní kvality produktu nebo služby IKT </w:t>
      </w:r>
      <w:r>
        <w:rPr>
          <w:noProof/>
        </w:rPr>
        <w:t>a je charakterizován odkazem na související technické specifikace, normy a postupy, včetně technických kontrol, jejichž účelem je snížit riziko kybernetických bezpečnostních incidentů;</w:t>
      </w:r>
    </w:p>
    <w:p w:rsidR="00557911" w:rsidRDefault="00623804">
      <w:pPr>
        <w:pStyle w:val="Point1"/>
        <w:rPr>
          <w:noProof/>
        </w:rPr>
      </w:pPr>
      <w:r>
        <w:rPr>
          <w:noProof/>
        </w:rPr>
        <w:t>b)</w:t>
      </w:r>
      <w:r>
        <w:rPr>
          <w:noProof/>
        </w:rPr>
        <w:tab/>
        <w:t>významná úroveň záruky odkazuje na certifikát vydaný v rámci evropsk</w:t>
      </w:r>
      <w:r>
        <w:rPr>
          <w:noProof/>
        </w:rPr>
        <w:t>ého systému certifikace kybernetické bezpečnosti, který poskytuje významný stupeň důvěry v deklarované nebo uváděné kybernetickobezpečnostní kvality produktu nebo služby IKT a je charakterizován odkazem na související technické specifikace, normy a postupy</w:t>
      </w:r>
      <w:r>
        <w:rPr>
          <w:noProof/>
        </w:rPr>
        <w:t>, včetně technických kontrol, jejichž účelem je významně snížit riziko kybernetických bezpečnostních incidentů;</w:t>
      </w:r>
    </w:p>
    <w:p w:rsidR="00557911" w:rsidRDefault="00623804">
      <w:pPr>
        <w:pStyle w:val="Point1"/>
        <w:rPr>
          <w:noProof/>
          <w:szCs w:val="24"/>
        </w:rPr>
      </w:pPr>
      <w:r>
        <w:rPr>
          <w:noProof/>
        </w:rPr>
        <w:t>c)</w:t>
      </w:r>
      <w:r>
        <w:rPr>
          <w:noProof/>
        </w:rPr>
        <w:tab/>
        <w:t>vysoká úroveň záruky odkazuje na certifikát vydaný v rámci evropského systému certifikace kybernetické bezpečnosti, který poskytuje vyšší stu</w:t>
      </w:r>
      <w:r>
        <w:rPr>
          <w:noProof/>
        </w:rPr>
        <w:t>peň důvěry v deklarované nebo uváděné kybernetickobezpečnostní kvality produktu nebo služby IKT než certifikáty s významnou úrovní záruky a je charakterizován odkazem na související technické specifikace, normy a postupy, včetně technických kontrol, jejich</w:t>
      </w:r>
      <w:r>
        <w:rPr>
          <w:noProof/>
        </w:rPr>
        <w:t>ž účelem je předcházet kybernetickým bezpečnostním incidentům.</w:t>
      </w:r>
    </w:p>
    <w:p w:rsidR="00557911" w:rsidRDefault="00557911">
      <w:pPr>
        <w:rPr>
          <w:noProof/>
          <w:szCs w:val="24"/>
        </w:rPr>
      </w:pPr>
    </w:p>
    <w:p w:rsidR="00557911" w:rsidRDefault="00623804">
      <w:pPr>
        <w:pStyle w:val="Titrearticle"/>
        <w:spacing w:before="0" w:after="0"/>
        <w:rPr>
          <w:rFonts w:eastAsia="Times New Roman"/>
          <w:b/>
          <w:i w:val="0"/>
          <w:noProof/>
        </w:rPr>
      </w:pPr>
      <w:r>
        <w:rPr>
          <w:noProof/>
        </w:rPr>
        <w:t>Článek 47</w:t>
      </w:r>
      <w:r>
        <w:rPr>
          <w:noProof/>
        </w:rPr>
        <w:br/>
      </w:r>
      <w:r>
        <w:rPr>
          <w:b/>
          <w:noProof/>
        </w:rPr>
        <w:t>Prvky evropských systémů certifikace kybernetické bezpečnosti</w:t>
      </w:r>
    </w:p>
    <w:p w:rsidR="00557911" w:rsidRDefault="00623804">
      <w:pPr>
        <w:pStyle w:val="ManualNumPar1"/>
        <w:rPr>
          <w:noProof/>
        </w:rPr>
      </w:pPr>
      <w:r>
        <w:t>1.</w:t>
      </w:r>
      <w:r>
        <w:tab/>
      </w:r>
      <w:r>
        <w:rPr>
          <w:noProof/>
        </w:rPr>
        <w:t>Evropský systém certifikace kybernetické bezpečnosti zahrnuje tyto prvky:</w:t>
      </w:r>
    </w:p>
    <w:p w:rsidR="00557911" w:rsidRDefault="00623804">
      <w:pPr>
        <w:pStyle w:val="Point1"/>
        <w:rPr>
          <w:noProof/>
        </w:rPr>
      </w:pPr>
      <w:r>
        <w:rPr>
          <w:noProof/>
        </w:rPr>
        <w:t>a)</w:t>
      </w:r>
      <w:r>
        <w:rPr>
          <w:noProof/>
        </w:rPr>
        <w:tab/>
        <w:t>předmět a rozsah certifikace včetně druh</w:t>
      </w:r>
      <w:r>
        <w:rPr>
          <w:noProof/>
        </w:rPr>
        <w:t>u nebo kategorií zahrnutých produktů a služeb IKT;</w:t>
      </w:r>
    </w:p>
    <w:p w:rsidR="00557911" w:rsidRDefault="00623804">
      <w:pPr>
        <w:pStyle w:val="Point1"/>
        <w:rPr>
          <w:noProof/>
        </w:rPr>
      </w:pPr>
      <w:r>
        <w:rPr>
          <w:noProof/>
        </w:rPr>
        <w:t>b)</w:t>
      </w:r>
      <w:r>
        <w:rPr>
          <w:noProof/>
        </w:rPr>
        <w:tab/>
        <w:t>podrobnou specifikaci kybernetickobezpečnostních požadavků, na jejichž základě jsou konkrétní produkty a služby IKT hodnoceny, například prostřednictvím odkazu na unijní nebo mezinárodní normy nebo tech</w:t>
      </w:r>
      <w:r>
        <w:rPr>
          <w:noProof/>
        </w:rPr>
        <w:t>nické specifikace;</w:t>
      </w:r>
    </w:p>
    <w:p w:rsidR="00557911" w:rsidRDefault="00623804">
      <w:pPr>
        <w:pStyle w:val="Point1"/>
        <w:rPr>
          <w:noProof/>
        </w:rPr>
      </w:pPr>
      <w:r>
        <w:rPr>
          <w:noProof/>
        </w:rPr>
        <w:t>c)</w:t>
      </w:r>
      <w:r>
        <w:rPr>
          <w:noProof/>
        </w:rPr>
        <w:tab/>
        <w:t xml:space="preserve">případně jednu nebo více úrovní záruky;  </w:t>
      </w:r>
    </w:p>
    <w:p w:rsidR="00557911" w:rsidRDefault="00623804">
      <w:pPr>
        <w:pStyle w:val="Point1"/>
        <w:rPr>
          <w:noProof/>
        </w:rPr>
      </w:pPr>
      <w:r>
        <w:rPr>
          <w:noProof/>
        </w:rPr>
        <w:t>d)</w:t>
      </w:r>
      <w:r>
        <w:rPr>
          <w:noProof/>
        </w:rPr>
        <w:tab/>
        <w:t>konkrétní kritéria a metody hodnocení použité k prokázání toho, že bylo dosaženo konkrétních cílů uvedených v článku 45, včetně typů těchto hodnocení;</w:t>
      </w:r>
    </w:p>
    <w:p w:rsidR="00557911" w:rsidRDefault="00623804">
      <w:pPr>
        <w:pStyle w:val="Point1"/>
        <w:rPr>
          <w:noProof/>
        </w:rPr>
      </w:pPr>
      <w:r>
        <w:rPr>
          <w:noProof/>
        </w:rPr>
        <w:t>e)</w:t>
      </w:r>
      <w:r>
        <w:rPr>
          <w:noProof/>
        </w:rPr>
        <w:tab/>
        <w:t>informace nezbytné pro certifikaci,</w:t>
      </w:r>
      <w:r>
        <w:rPr>
          <w:noProof/>
        </w:rPr>
        <w:t xml:space="preserve"> které žadatel předkládá subjektům posuzování shody;</w:t>
      </w:r>
    </w:p>
    <w:p w:rsidR="00557911" w:rsidRDefault="00623804">
      <w:pPr>
        <w:pStyle w:val="Point1"/>
        <w:rPr>
          <w:noProof/>
        </w:rPr>
      </w:pPr>
      <w:r>
        <w:rPr>
          <w:noProof/>
        </w:rPr>
        <w:t>f)</w:t>
      </w:r>
      <w:r>
        <w:rPr>
          <w:noProof/>
        </w:rPr>
        <w:tab/>
        <w:t>stanoví-li systém známky nebo označení, podmínky používání těchto známek nebo označení;</w:t>
      </w:r>
    </w:p>
    <w:p w:rsidR="00557911" w:rsidRDefault="00623804">
      <w:pPr>
        <w:pStyle w:val="Point1"/>
        <w:rPr>
          <w:noProof/>
        </w:rPr>
      </w:pPr>
      <w:r>
        <w:rPr>
          <w:noProof/>
        </w:rPr>
        <w:t>g)</w:t>
      </w:r>
      <w:r>
        <w:rPr>
          <w:noProof/>
        </w:rPr>
        <w:tab/>
        <w:t>je-li součástí systému dozor, pravidla pro sledování souladu s požadavky uvedenými v certifikátech, včetně me</w:t>
      </w:r>
      <w:r>
        <w:rPr>
          <w:noProof/>
        </w:rPr>
        <w:t>chanismů pro prokázání trvalého souladu s uvedenými kybernetickobezpečnostními požadavky;</w:t>
      </w:r>
    </w:p>
    <w:p w:rsidR="00557911" w:rsidRDefault="00623804">
      <w:pPr>
        <w:pStyle w:val="Point1"/>
        <w:rPr>
          <w:noProof/>
        </w:rPr>
      </w:pPr>
      <w:r>
        <w:rPr>
          <w:noProof/>
        </w:rPr>
        <w:t>h)</w:t>
      </w:r>
      <w:r>
        <w:rPr>
          <w:noProof/>
        </w:rPr>
        <w:tab/>
        <w:t xml:space="preserve">podmínky pro udělení, zachování, prodloužení, rozšíření a omezení rozsahu certifikace; </w:t>
      </w:r>
    </w:p>
    <w:p w:rsidR="00557911" w:rsidRDefault="00623804">
      <w:pPr>
        <w:pStyle w:val="Point1"/>
        <w:rPr>
          <w:noProof/>
        </w:rPr>
      </w:pPr>
      <w:r>
        <w:rPr>
          <w:noProof/>
        </w:rPr>
        <w:t>i)</w:t>
      </w:r>
      <w:r>
        <w:rPr>
          <w:noProof/>
        </w:rPr>
        <w:tab/>
      </w:r>
      <w:r>
        <w:rPr>
          <w:noProof/>
        </w:rPr>
        <w:t xml:space="preserve">pravidla upravující důsledky nesouladu certifikovaných produktů a služeb IKT s požadavky certifikace; </w:t>
      </w:r>
    </w:p>
    <w:p w:rsidR="00557911" w:rsidRDefault="00623804">
      <w:pPr>
        <w:pStyle w:val="Point1"/>
        <w:rPr>
          <w:noProof/>
        </w:rPr>
      </w:pPr>
      <w:r>
        <w:rPr>
          <w:noProof/>
        </w:rPr>
        <w:t>j)</w:t>
      </w:r>
      <w:r>
        <w:rPr>
          <w:noProof/>
        </w:rPr>
        <w:tab/>
        <w:t>pravidla upravující způsob oznamování a řešení dříve nezjištěných slabých míst v kybernetické bezpečnosti produktů a služeb IKT;</w:t>
      </w:r>
    </w:p>
    <w:p w:rsidR="00557911" w:rsidRDefault="00623804">
      <w:pPr>
        <w:pStyle w:val="Point1"/>
        <w:rPr>
          <w:noProof/>
        </w:rPr>
      </w:pPr>
      <w:r>
        <w:rPr>
          <w:noProof/>
        </w:rPr>
        <w:t>k)</w:t>
      </w:r>
      <w:r>
        <w:rPr>
          <w:noProof/>
        </w:rPr>
        <w:tab/>
        <w:t>pravidla upravujíc</w:t>
      </w:r>
      <w:r>
        <w:rPr>
          <w:noProof/>
        </w:rPr>
        <w:t>í uchovávání záznamů subjekty posuzování shody;</w:t>
      </w:r>
    </w:p>
    <w:p w:rsidR="00557911" w:rsidRDefault="00623804">
      <w:pPr>
        <w:pStyle w:val="Point1"/>
        <w:rPr>
          <w:noProof/>
          <w:szCs w:val="24"/>
        </w:rPr>
      </w:pPr>
      <w:r>
        <w:rPr>
          <w:noProof/>
        </w:rPr>
        <w:t>l)</w:t>
      </w:r>
      <w:r>
        <w:rPr>
          <w:noProof/>
        </w:rPr>
        <w:tab/>
        <w:t>označení vnitrostátních systémů certifikace kybernetické bezpečnosti pokrývajících stejný druh nebo kategorie produktů a služeb IKT;</w:t>
      </w:r>
    </w:p>
    <w:p w:rsidR="00557911" w:rsidRDefault="00623804">
      <w:pPr>
        <w:pStyle w:val="Point1"/>
        <w:rPr>
          <w:noProof/>
          <w:szCs w:val="24"/>
        </w:rPr>
      </w:pPr>
      <w:r>
        <w:rPr>
          <w:noProof/>
        </w:rPr>
        <w:t>m)</w:t>
      </w:r>
      <w:r>
        <w:rPr>
          <w:noProof/>
        </w:rPr>
        <w:tab/>
        <w:t xml:space="preserve">obsah vydaného certifikátu. </w:t>
      </w:r>
    </w:p>
    <w:p w:rsidR="00557911" w:rsidRDefault="00623804">
      <w:pPr>
        <w:pStyle w:val="ManualNumPar1"/>
        <w:rPr>
          <w:noProof/>
        </w:rPr>
      </w:pPr>
      <w:r>
        <w:t>2.</w:t>
      </w:r>
      <w:r>
        <w:tab/>
      </w:r>
      <w:r>
        <w:rPr>
          <w:noProof/>
        </w:rPr>
        <w:t>Specifikované požadavky systému nesmí</w:t>
      </w:r>
      <w:r>
        <w:rPr>
          <w:noProof/>
        </w:rPr>
        <w:t xml:space="preserve"> být v rozporu s příslušnými právními požadavky, zejména s požadavky plynoucími z harmonizovaných právních předpisů Unie.</w:t>
      </w:r>
    </w:p>
    <w:p w:rsidR="00557911" w:rsidRDefault="00623804">
      <w:pPr>
        <w:pStyle w:val="ManualNumPar1"/>
        <w:rPr>
          <w:noProof/>
        </w:rPr>
      </w:pPr>
      <w:r>
        <w:t>3.</w:t>
      </w:r>
      <w:r>
        <w:tab/>
      </w:r>
      <w:r>
        <w:rPr>
          <w:noProof/>
        </w:rPr>
        <w:t>Pokud tak konkrétní akt Unie stanoví, lze certifikaci podle evropského systému certifikace kybernetické bezpečnosti použít k prokáz</w:t>
      </w:r>
      <w:r>
        <w:rPr>
          <w:noProof/>
        </w:rPr>
        <w:t>ání předpokladu shody s požadavky daného aktu.</w:t>
      </w:r>
    </w:p>
    <w:p w:rsidR="00557911" w:rsidRDefault="00623804">
      <w:pPr>
        <w:pStyle w:val="ManualNumPar1"/>
        <w:rPr>
          <w:noProof/>
        </w:rPr>
      </w:pPr>
      <w:r>
        <w:t>4.</w:t>
      </w:r>
      <w:r>
        <w:tab/>
      </w:r>
      <w:r>
        <w:rPr>
          <w:noProof/>
        </w:rPr>
        <w:t>Pokud harmonizované právní předpisy Unie neexistují, může skutečnost, že evropský systém certifikace kybernetické bezpečnosti lze použít k vyslovení předpokladu shody s právními požadavky, stanovit právo čl</w:t>
      </w:r>
      <w:r>
        <w:rPr>
          <w:noProof/>
        </w:rPr>
        <w:t>enského státu.</w:t>
      </w:r>
    </w:p>
    <w:p w:rsidR="00557911" w:rsidRDefault="00557911">
      <w:pPr>
        <w:rPr>
          <w:noProof/>
        </w:rPr>
      </w:pPr>
    </w:p>
    <w:p w:rsidR="00557911" w:rsidRDefault="00623804">
      <w:pPr>
        <w:pStyle w:val="Titrearticle"/>
        <w:spacing w:before="0" w:after="0"/>
        <w:rPr>
          <w:noProof/>
        </w:rPr>
      </w:pPr>
      <w:r>
        <w:rPr>
          <w:noProof/>
        </w:rPr>
        <w:t>Článek 48</w:t>
      </w:r>
      <w:r>
        <w:rPr>
          <w:noProof/>
        </w:rPr>
        <w:br/>
      </w:r>
      <w:r>
        <w:rPr>
          <w:b/>
          <w:noProof/>
        </w:rPr>
        <w:t>Certifikace kybernetické bezpečnosti</w:t>
      </w:r>
    </w:p>
    <w:p w:rsidR="00557911" w:rsidRDefault="00623804">
      <w:pPr>
        <w:pStyle w:val="ManualNumPar1"/>
        <w:rPr>
          <w:noProof/>
        </w:rPr>
      </w:pPr>
      <w:r>
        <w:t>1.</w:t>
      </w:r>
      <w:r>
        <w:tab/>
      </w:r>
      <w:r>
        <w:rPr>
          <w:noProof/>
        </w:rPr>
        <w:t xml:space="preserve">U produktů a služeb IKT, které byly certifikovány podle evropského systému certifikace kybernetické bezpečnosti přijatého podle článku 44, se předpokládá, že splňují požadavky daného </w:t>
      </w:r>
      <w:r>
        <w:rPr>
          <w:noProof/>
        </w:rPr>
        <w:t>systému.</w:t>
      </w:r>
    </w:p>
    <w:p w:rsidR="00557911" w:rsidRDefault="00623804">
      <w:pPr>
        <w:pStyle w:val="ManualNumPar1"/>
        <w:rPr>
          <w:noProof/>
        </w:rPr>
      </w:pPr>
      <w:r>
        <w:t>2.</w:t>
      </w:r>
      <w:r>
        <w:tab/>
      </w:r>
      <w:r>
        <w:rPr>
          <w:noProof/>
        </w:rPr>
        <w:t>Certifikace je dobrovolná, nestanoví-li právo Unie jinak.</w:t>
      </w:r>
    </w:p>
    <w:p w:rsidR="00557911" w:rsidRDefault="00623804">
      <w:pPr>
        <w:pStyle w:val="ManualNumPar1"/>
        <w:rPr>
          <w:noProof/>
        </w:rPr>
      </w:pPr>
      <w:r>
        <w:t>3.</w:t>
      </w:r>
      <w:r>
        <w:tab/>
      </w:r>
      <w:r>
        <w:rPr>
          <w:noProof/>
        </w:rPr>
        <w:t xml:space="preserve">Evropský certifikát kybernetické bezpečnosti podle tohoto článku vydávají subjekty posuzování shody uvedené v článku 51 na základě kritérií obsažených v evropském systému certifikace </w:t>
      </w:r>
      <w:r>
        <w:rPr>
          <w:noProof/>
        </w:rPr>
        <w:t>kybernetické bezpečnosti přijatém podle článku 44.</w:t>
      </w:r>
    </w:p>
    <w:p w:rsidR="00557911" w:rsidRDefault="00623804">
      <w:pPr>
        <w:pStyle w:val="ManualNumPar1"/>
        <w:rPr>
          <w:noProof/>
        </w:rPr>
      </w:pPr>
      <w:r>
        <w:t>4.</w:t>
      </w:r>
      <w:r>
        <w:tab/>
      </w:r>
      <w:r>
        <w:rPr>
          <w:noProof/>
        </w:rPr>
        <w:t>Odchylně od odstavce 3 může konkrétní evropský systém certifikace kybernetické bezpečnosti v řádně odůvodněných případech stanovit, že evropský certifikát kybernetické bezpečnosti vyplývající z daného s</w:t>
      </w:r>
      <w:r>
        <w:rPr>
          <w:noProof/>
        </w:rPr>
        <w:t>ystému může být vydán pouze veřejným subjektem. Tímto veřejným subjektem je:</w:t>
      </w:r>
    </w:p>
    <w:p w:rsidR="00557911" w:rsidRDefault="00623804">
      <w:pPr>
        <w:pStyle w:val="Point1"/>
        <w:rPr>
          <w:noProof/>
        </w:rPr>
      </w:pPr>
      <w:r>
        <w:rPr>
          <w:noProof/>
        </w:rPr>
        <w:t>a)</w:t>
      </w:r>
      <w:r>
        <w:rPr>
          <w:noProof/>
        </w:rPr>
        <w:tab/>
        <w:t>vnitrostátní orgán dozoru nad certifikací uvedený v čl. 50 odst. 1;</w:t>
      </w:r>
    </w:p>
    <w:p w:rsidR="00557911" w:rsidRDefault="00623804">
      <w:pPr>
        <w:pStyle w:val="Point1"/>
        <w:rPr>
          <w:noProof/>
        </w:rPr>
      </w:pPr>
      <w:r>
        <w:rPr>
          <w:noProof/>
        </w:rPr>
        <w:t>b)</w:t>
      </w:r>
      <w:r>
        <w:rPr>
          <w:noProof/>
        </w:rPr>
        <w:tab/>
        <w:t xml:space="preserve">subjekt, který je akreditován jako subjekt posuzování shody podle čl. 51 odst. 1, nebo </w:t>
      </w:r>
    </w:p>
    <w:p w:rsidR="00557911" w:rsidRDefault="00623804">
      <w:pPr>
        <w:pStyle w:val="Point1"/>
        <w:rPr>
          <w:noProof/>
        </w:rPr>
      </w:pPr>
      <w:r>
        <w:rPr>
          <w:noProof/>
        </w:rPr>
        <w:t>c)</w:t>
      </w:r>
      <w:r>
        <w:rPr>
          <w:noProof/>
        </w:rPr>
        <w:tab/>
        <w:t>subjekt zřízen</w:t>
      </w:r>
      <w:r>
        <w:rPr>
          <w:noProof/>
        </w:rPr>
        <w:t>ý podle zákonů, právních předpisů nebo jiných oficiálních správních postupů dotčeného členského státu, který splňuje požadavky na orgány certifikující produkty, procesy a služby podle normy ISO/IEC 17065:2012.</w:t>
      </w:r>
    </w:p>
    <w:p w:rsidR="00557911" w:rsidRDefault="00623804">
      <w:pPr>
        <w:pStyle w:val="ManualNumPar1"/>
        <w:rPr>
          <w:noProof/>
        </w:rPr>
      </w:pPr>
      <w:r>
        <w:t>5.</w:t>
      </w:r>
      <w:r>
        <w:tab/>
      </w:r>
      <w:r>
        <w:rPr>
          <w:noProof/>
        </w:rPr>
        <w:t>Fyzická nebo právnická osoba, která předklá</w:t>
      </w:r>
      <w:r>
        <w:rPr>
          <w:noProof/>
        </w:rPr>
        <w:t>dá své produkty nebo služby IKT certifikačnímu mechanismu, poskytne subjektu posuzování shody uvedenému v článku 51 veškeré informace nezbytné k provedení certifikačního postupu.</w:t>
      </w:r>
    </w:p>
    <w:p w:rsidR="00557911" w:rsidRDefault="00623804">
      <w:pPr>
        <w:pStyle w:val="ManualNumPar1"/>
        <w:rPr>
          <w:noProof/>
        </w:rPr>
      </w:pPr>
      <w:r>
        <w:t>6.</w:t>
      </w:r>
      <w:r>
        <w:tab/>
      </w:r>
      <w:r>
        <w:rPr>
          <w:noProof/>
        </w:rPr>
        <w:t>Certifikáty se vydávají na období nejvýše tří let a lze je obnovit za stej</w:t>
      </w:r>
      <w:r>
        <w:rPr>
          <w:noProof/>
        </w:rPr>
        <w:t xml:space="preserve">ných podmínek, pokud jsou nadále splněny příslušné požadavky. </w:t>
      </w:r>
    </w:p>
    <w:p w:rsidR="00557911" w:rsidRDefault="00623804">
      <w:pPr>
        <w:pStyle w:val="ManualNumPar1"/>
        <w:rPr>
          <w:noProof/>
        </w:rPr>
      </w:pPr>
      <w:r>
        <w:t>7.</w:t>
      </w:r>
      <w:r>
        <w:tab/>
      </w:r>
      <w:r>
        <w:rPr>
          <w:noProof/>
        </w:rPr>
        <w:t xml:space="preserve">Evropský certifikát kybernetické bezpečnosti vydaný podle tohoto článku je uznáván ve všech členských státech. </w:t>
      </w:r>
    </w:p>
    <w:p w:rsidR="00557911" w:rsidRDefault="00557911">
      <w:pPr>
        <w:rPr>
          <w:noProof/>
        </w:rPr>
      </w:pPr>
    </w:p>
    <w:p w:rsidR="00557911" w:rsidRDefault="00623804">
      <w:pPr>
        <w:pStyle w:val="Titrearticle"/>
        <w:spacing w:before="0" w:after="0"/>
        <w:rPr>
          <w:b/>
          <w:noProof/>
        </w:rPr>
      </w:pPr>
      <w:r>
        <w:rPr>
          <w:noProof/>
        </w:rPr>
        <w:t>Článek 49</w:t>
      </w:r>
      <w:r>
        <w:rPr>
          <w:noProof/>
        </w:rPr>
        <w:br/>
      </w:r>
      <w:r>
        <w:rPr>
          <w:b/>
          <w:noProof/>
        </w:rPr>
        <w:t>Vnitrostátní systémy certifikace kybernetické bezpečnosti a certifi</w:t>
      </w:r>
      <w:r>
        <w:rPr>
          <w:b/>
          <w:noProof/>
        </w:rPr>
        <w:t>káty</w:t>
      </w:r>
    </w:p>
    <w:p w:rsidR="00557911" w:rsidRDefault="00623804">
      <w:pPr>
        <w:pStyle w:val="ManualNumPar1"/>
        <w:rPr>
          <w:noProof/>
        </w:rPr>
      </w:pPr>
      <w:r>
        <w:t>1.</w:t>
      </w:r>
      <w:r>
        <w:tab/>
      </w:r>
      <w:r>
        <w:rPr>
          <w:noProof/>
        </w:rPr>
        <w:t>Aniž je dotčen odstavec 3, vnitrostátní systémy certifikace kybernetické bezpečnosti a související postupy pro produkty a služby IKT zahrnuté do evropského systému certifikace kybernetické bezpečnosti ztrácejí svou účinnost od data uvedeného v prov</w:t>
      </w:r>
      <w:r>
        <w:rPr>
          <w:noProof/>
        </w:rPr>
        <w:t>áděcím aktu přijatém podle čl. 44 odst. 4. Stávající vnitrostátní systémy certifikace kybernetické bezpečnosti a související postupy pro produkty a služby IKT, na něž se evropský systém certifikace kybernetické bezpečnosti nevztahuje, zůstávají v platnosti</w:t>
      </w:r>
      <w:r>
        <w:rPr>
          <w:noProof/>
        </w:rPr>
        <w:t>.</w:t>
      </w:r>
    </w:p>
    <w:p w:rsidR="00557911" w:rsidRDefault="00623804">
      <w:pPr>
        <w:pStyle w:val="ManualNumPar1"/>
        <w:rPr>
          <w:noProof/>
        </w:rPr>
      </w:pPr>
      <w:r>
        <w:t>2.</w:t>
      </w:r>
      <w:r>
        <w:tab/>
      </w:r>
      <w:r>
        <w:rPr>
          <w:noProof/>
        </w:rPr>
        <w:t>Členské státy nesmějí zavádět nové vnitrostátní systémy certifikace kybernetické bezpečnosti pro produkty a služby IKT zahrnuté do platného evropského systému certifikace kybernetické bezpečnosti.</w:t>
      </w:r>
    </w:p>
    <w:p w:rsidR="00557911" w:rsidRDefault="00623804">
      <w:pPr>
        <w:pStyle w:val="ManualNumPar1"/>
        <w:rPr>
          <w:noProof/>
        </w:rPr>
      </w:pPr>
      <w:r>
        <w:t>3.</w:t>
      </w:r>
      <w:r>
        <w:tab/>
      </w:r>
      <w:r>
        <w:rPr>
          <w:noProof/>
        </w:rPr>
        <w:t>Stávající certifikáty vydané v rámci vnitrostátních</w:t>
      </w:r>
      <w:r>
        <w:rPr>
          <w:noProof/>
        </w:rPr>
        <w:t xml:space="preserve"> systémů certifikace kybernetické bezpečnosti zůstávají platné až do data skončení své platnosti.</w:t>
      </w:r>
    </w:p>
    <w:p w:rsidR="00557911" w:rsidRDefault="00557911">
      <w:pPr>
        <w:rPr>
          <w:noProof/>
        </w:rPr>
      </w:pPr>
    </w:p>
    <w:p w:rsidR="00557911" w:rsidRDefault="00623804">
      <w:pPr>
        <w:pStyle w:val="Titrearticle"/>
        <w:spacing w:before="0" w:after="0"/>
        <w:rPr>
          <w:rFonts w:eastAsia="Times New Roman"/>
          <w:b/>
          <w:noProof/>
        </w:rPr>
      </w:pPr>
      <w:r>
        <w:rPr>
          <w:noProof/>
        </w:rPr>
        <w:t>Článek 50</w:t>
      </w:r>
      <w:r>
        <w:rPr>
          <w:noProof/>
        </w:rPr>
        <w:br/>
      </w:r>
      <w:r>
        <w:rPr>
          <w:b/>
          <w:noProof/>
        </w:rPr>
        <w:t>Vnitrostátní orgány dozoru nad certifikací</w:t>
      </w:r>
    </w:p>
    <w:p w:rsidR="00557911" w:rsidRDefault="00623804">
      <w:pPr>
        <w:pStyle w:val="ManualNumPar1"/>
        <w:rPr>
          <w:noProof/>
        </w:rPr>
      </w:pPr>
      <w:r>
        <w:t>1.</w:t>
      </w:r>
      <w:r>
        <w:tab/>
      </w:r>
      <w:r>
        <w:rPr>
          <w:noProof/>
        </w:rPr>
        <w:t xml:space="preserve">Každý členský stát jmenuje vnitrostátní orgán dozoru nad certifikací.  </w:t>
      </w:r>
    </w:p>
    <w:p w:rsidR="00557911" w:rsidRDefault="00623804">
      <w:pPr>
        <w:pStyle w:val="ManualNumPar1"/>
        <w:rPr>
          <w:noProof/>
        </w:rPr>
      </w:pPr>
      <w:r>
        <w:t>2.</w:t>
      </w:r>
      <w:r>
        <w:tab/>
      </w:r>
      <w:r>
        <w:rPr>
          <w:noProof/>
        </w:rPr>
        <w:t xml:space="preserve">Každý členský stát Komisi </w:t>
      </w:r>
      <w:r>
        <w:rPr>
          <w:noProof/>
        </w:rPr>
        <w:t>sdělí totožnost jmenovaného orgánu.</w:t>
      </w:r>
    </w:p>
    <w:p w:rsidR="00557911" w:rsidRDefault="00623804">
      <w:pPr>
        <w:pStyle w:val="ManualNumPar1"/>
        <w:rPr>
          <w:noProof/>
        </w:rPr>
      </w:pPr>
      <w:r>
        <w:t>3.</w:t>
      </w:r>
      <w:r>
        <w:tab/>
      </w:r>
      <w:r>
        <w:rPr>
          <w:noProof/>
        </w:rPr>
        <w:t xml:space="preserve">Každý vnitrostátní orgán dozoru nad certifikací je z hlediska své organizace, finančních rozhodnutí, právní struktury a rozhodování nezávislý na subjektech, nad nimiž vykonává dozor. </w:t>
      </w:r>
    </w:p>
    <w:p w:rsidR="00557911" w:rsidRDefault="00623804">
      <w:pPr>
        <w:pStyle w:val="ManualNumPar1"/>
        <w:rPr>
          <w:noProof/>
        </w:rPr>
      </w:pPr>
      <w:r>
        <w:t>4.</w:t>
      </w:r>
      <w:r>
        <w:tab/>
      </w:r>
      <w:r>
        <w:rPr>
          <w:noProof/>
        </w:rPr>
        <w:t>Členské státy zajistí, aby vni</w:t>
      </w:r>
      <w:r>
        <w:rPr>
          <w:noProof/>
        </w:rPr>
        <w:t xml:space="preserve">trostátní orgány dozoru nad certifikací měly odpovídající zdroje pro výkon svých pravomocí a pro efektivní a účinné provádění úkolů, které jim byly svěřeny. </w:t>
      </w:r>
    </w:p>
    <w:p w:rsidR="00557911" w:rsidRDefault="00623804">
      <w:pPr>
        <w:pStyle w:val="ManualNumPar1"/>
        <w:rPr>
          <w:noProof/>
        </w:rPr>
      </w:pPr>
      <w:r>
        <w:t>5.</w:t>
      </w:r>
      <w:r>
        <w:tab/>
      </w:r>
      <w:r>
        <w:rPr>
          <w:noProof/>
        </w:rPr>
        <w:t>Za účelem efektivního provádění tohoto nařízení je vhodné, aby se tyto orgány aktivním, efektiv</w:t>
      </w:r>
      <w:r>
        <w:rPr>
          <w:noProof/>
        </w:rPr>
        <w:t>ním, účinným a bezpečným způsobem podílely na činnosti Evropské skupiny pro certifikaci kybernetické bezpečnosti zřízené podle článku 53.</w:t>
      </w:r>
    </w:p>
    <w:p w:rsidR="00557911" w:rsidRDefault="00623804">
      <w:pPr>
        <w:pStyle w:val="ManualNumPar1"/>
        <w:rPr>
          <w:noProof/>
        </w:rPr>
      </w:pPr>
      <w:r>
        <w:t>6.</w:t>
      </w:r>
      <w:r>
        <w:tab/>
      </w:r>
      <w:r>
        <w:rPr>
          <w:noProof/>
        </w:rPr>
        <w:t>Vnitrostátní orgány dozoru nad certifikací:</w:t>
      </w:r>
    </w:p>
    <w:p w:rsidR="00557911" w:rsidRDefault="00623804">
      <w:pPr>
        <w:pStyle w:val="Point1"/>
        <w:rPr>
          <w:noProof/>
          <w:szCs w:val="24"/>
        </w:rPr>
      </w:pPr>
      <w:r>
        <w:rPr>
          <w:noProof/>
        </w:rPr>
        <w:t>a)</w:t>
      </w:r>
      <w:r>
        <w:rPr>
          <w:noProof/>
        </w:rPr>
        <w:tab/>
        <w:t xml:space="preserve">sledují a vymáhají uplatňování ustanovení podle této hlavy na </w:t>
      </w:r>
      <w:r>
        <w:rPr>
          <w:noProof/>
        </w:rPr>
        <w:t>vnitrostátní úrovni a dohlížejí na to, aby certifikáty vydané subjekty posuzování shody usazenými na jejich území splňovaly požadavky stanovené v této hlavě a v odpovídajícím evropském systému certifikace kybernetické bezpečnosti;</w:t>
      </w:r>
    </w:p>
    <w:p w:rsidR="00557911" w:rsidRDefault="00623804">
      <w:pPr>
        <w:pStyle w:val="Point1"/>
        <w:rPr>
          <w:noProof/>
          <w:szCs w:val="24"/>
        </w:rPr>
      </w:pPr>
      <w:r>
        <w:rPr>
          <w:noProof/>
        </w:rPr>
        <w:t>b)</w:t>
      </w:r>
      <w:r>
        <w:rPr>
          <w:noProof/>
        </w:rPr>
        <w:tab/>
        <w:t>sledují a dohlížejí na</w:t>
      </w:r>
      <w:r>
        <w:rPr>
          <w:noProof/>
        </w:rPr>
        <w:t xml:space="preserve"> činnosti subjektů posuzování shody pro účely tohoto nařízení, mimo jiné ve vztahu k oznámením subjektů posuzování shody a k souvisejícím úkolům stanoveným v článku 52 tohoto nařízení;</w:t>
      </w:r>
    </w:p>
    <w:p w:rsidR="00557911" w:rsidRDefault="00623804">
      <w:pPr>
        <w:pStyle w:val="Point1"/>
        <w:rPr>
          <w:noProof/>
          <w:szCs w:val="24"/>
        </w:rPr>
      </w:pPr>
      <w:r>
        <w:rPr>
          <w:noProof/>
        </w:rPr>
        <w:t>c)</w:t>
      </w:r>
      <w:r>
        <w:rPr>
          <w:noProof/>
        </w:rPr>
        <w:tab/>
        <w:t>řeší stížnosti podané fyzickými nebo právnickými osobami v souvislos</w:t>
      </w:r>
      <w:r>
        <w:rPr>
          <w:noProof/>
        </w:rPr>
        <w:t>ti s certifikáty vydanými subjekty posuzování shody usazenými na jejich území, v přiměřeném rozsahu šetří předmět stížnosti a v přiměřené lhůtě informují stěžovatele o průběhu a výsledku šetření;</w:t>
      </w:r>
    </w:p>
    <w:p w:rsidR="00557911" w:rsidRDefault="00623804">
      <w:pPr>
        <w:pStyle w:val="Point1"/>
        <w:rPr>
          <w:noProof/>
          <w:szCs w:val="24"/>
        </w:rPr>
      </w:pPr>
      <w:r>
        <w:rPr>
          <w:noProof/>
        </w:rPr>
        <w:t>d)</w:t>
      </w:r>
      <w:r>
        <w:rPr>
          <w:noProof/>
        </w:rPr>
        <w:tab/>
        <w:t>spolupracují s dalšími vnitrostátními orgány dozoru nad c</w:t>
      </w:r>
      <w:r>
        <w:rPr>
          <w:noProof/>
        </w:rPr>
        <w:t>ertifikací nebo jinými veřejnými orgány, mimo jiné prostřednictvím sdílení informací o možných případech nesouladu produktů a služeb IKT s požadavky tohoto nařízení nebo konkrétních evropských systémů certifikace kybernetické bezpečnosti;</w:t>
      </w:r>
    </w:p>
    <w:p w:rsidR="00557911" w:rsidRDefault="00623804">
      <w:pPr>
        <w:pStyle w:val="Point1"/>
        <w:rPr>
          <w:noProof/>
          <w:szCs w:val="24"/>
        </w:rPr>
      </w:pPr>
      <w:r>
        <w:rPr>
          <w:noProof/>
        </w:rPr>
        <w:t>e)</w:t>
      </w:r>
      <w:r>
        <w:rPr>
          <w:noProof/>
        </w:rPr>
        <w:tab/>
        <w:t>sledují příslu</w:t>
      </w:r>
      <w:r>
        <w:rPr>
          <w:noProof/>
        </w:rPr>
        <w:t>šný vývoj v oblasti certifikace kybernetické bezpečnosti.</w:t>
      </w:r>
    </w:p>
    <w:p w:rsidR="00557911" w:rsidRDefault="00623804">
      <w:pPr>
        <w:pStyle w:val="ManualNumPar1"/>
        <w:rPr>
          <w:noProof/>
        </w:rPr>
      </w:pPr>
      <w:r>
        <w:t>7.</w:t>
      </w:r>
      <w:r>
        <w:tab/>
      </w:r>
      <w:r>
        <w:rPr>
          <w:noProof/>
        </w:rPr>
        <w:t>Každý vnitrostátní orgán dozoru nad certifikací má alespoň tyto pravomoci:</w:t>
      </w:r>
    </w:p>
    <w:p w:rsidR="00557911" w:rsidRDefault="00623804">
      <w:pPr>
        <w:pStyle w:val="Point1"/>
        <w:rPr>
          <w:noProof/>
          <w:szCs w:val="24"/>
        </w:rPr>
      </w:pPr>
      <w:r>
        <w:rPr>
          <w:noProof/>
        </w:rPr>
        <w:t>a)</w:t>
      </w:r>
      <w:r>
        <w:rPr>
          <w:noProof/>
        </w:rPr>
        <w:tab/>
        <w:t xml:space="preserve">žádat subjekty posuzování shody a držitele evropského certifikátu kybernetické bezpečnosti o poskytnutí veškerých </w:t>
      </w:r>
      <w:r>
        <w:rPr>
          <w:noProof/>
        </w:rPr>
        <w:t>informací nezbytných pro plnění jeho úkolů;</w:t>
      </w:r>
    </w:p>
    <w:p w:rsidR="00557911" w:rsidRDefault="00623804">
      <w:pPr>
        <w:pStyle w:val="Point1"/>
        <w:rPr>
          <w:noProof/>
          <w:szCs w:val="24"/>
        </w:rPr>
      </w:pPr>
      <w:r>
        <w:rPr>
          <w:noProof/>
        </w:rPr>
        <w:t>b)</w:t>
      </w:r>
      <w:r>
        <w:rPr>
          <w:noProof/>
        </w:rPr>
        <w:tab/>
        <w:t>za účelem ověření souladu s ustanoveními podle hlavy III provádět šetření v podobě auditů u subjektů posuzování shody a držitelů evropských certifikátů kybernetické bezpečnosti;</w:t>
      </w:r>
    </w:p>
    <w:p w:rsidR="00557911" w:rsidRDefault="00623804">
      <w:pPr>
        <w:pStyle w:val="Point1"/>
        <w:rPr>
          <w:noProof/>
          <w:szCs w:val="24"/>
        </w:rPr>
      </w:pPr>
      <w:r>
        <w:rPr>
          <w:noProof/>
        </w:rPr>
        <w:t>c)</w:t>
      </w:r>
      <w:r>
        <w:rPr>
          <w:noProof/>
        </w:rPr>
        <w:tab/>
        <w:t>v souladu s vnitrostátním pr</w:t>
      </w:r>
      <w:r>
        <w:rPr>
          <w:noProof/>
        </w:rPr>
        <w:t>ávem přijímat vhodná opatření za účelem zajištění toho, aby subjekty posuzování shody nebo držitelé certifikátů dodržovali toto nařízení nebo evropský systém certifikace kybernetické bezpečnosti;</w:t>
      </w:r>
    </w:p>
    <w:p w:rsidR="00557911" w:rsidRDefault="00623804">
      <w:pPr>
        <w:pStyle w:val="Point1"/>
        <w:rPr>
          <w:noProof/>
          <w:szCs w:val="24"/>
        </w:rPr>
      </w:pPr>
      <w:r>
        <w:rPr>
          <w:noProof/>
        </w:rPr>
        <w:t>d)</w:t>
      </w:r>
      <w:r>
        <w:rPr>
          <w:noProof/>
        </w:rPr>
        <w:tab/>
        <w:t>získat přístup do všech prostor subjektů posuzování shody</w:t>
      </w:r>
      <w:r>
        <w:rPr>
          <w:noProof/>
        </w:rPr>
        <w:t xml:space="preserve"> a držitelů evropských certifikátů kybernetické bezpečnosti za účelem provádění šetření v souladu s procesním právem Unie nebo členských států;</w:t>
      </w:r>
    </w:p>
    <w:p w:rsidR="00557911" w:rsidRDefault="00623804">
      <w:pPr>
        <w:pStyle w:val="Point1"/>
        <w:rPr>
          <w:noProof/>
          <w:szCs w:val="24"/>
        </w:rPr>
      </w:pPr>
      <w:r>
        <w:rPr>
          <w:noProof/>
        </w:rPr>
        <w:t>e)</w:t>
      </w:r>
      <w:r>
        <w:rPr>
          <w:noProof/>
        </w:rPr>
        <w:tab/>
        <w:t>v souladu s vnitrostátním právem odnímat certifikáty, které nejsou v souladu s tímto nařízením nebo evropským</w:t>
      </w:r>
      <w:r>
        <w:rPr>
          <w:noProof/>
        </w:rPr>
        <w:t xml:space="preserve"> systémem certifikace kybernetické bezpečnosti;</w:t>
      </w:r>
    </w:p>
    <w:p w:rsidR="00557911" w:rsidRDefault="00623804">
      <w:pPr>
        <w:pStyle w:val="Point1"/>
        <w:rPr>
          <w:noProof/>
          <w:szCs w:val="24"/>
        </w:rPr>
      </w:pPr>
      <w:r>
        <w:rPr>
          <w:noProof/>
        </w:rPr>
        <w:t>f)</w:t>
      </w:r>
      <w:r>
        <w:rPr>
          <w:noProof/>
        </w:rPr>
        <w:tab/>
        <w:t>v souladu s vnitrostátním právem ukládat sankce stanovené v článku 54 a požadovat okamžité zastavení porušování povinností stanovených v tomto nařízení.</w:t>
      </w:r>
    </w:p>
    <w:p w:rsidR="00557911" w:rsidRDefault="00623804">
      <w:pPr>
        <w:pStyle w:val="ManualNumPar1"/>
        <w:rPr>
          <w:noProof/>
        </w:rPr>
      </w:pPr>
      <w:r>
        <w:t>8.</w:t>
      </w:r>
      <w:r>
        <w:tab/>
      </w:r>
      <w:r>
        <w:rPr>
          <w:noProof/>
        </w:rPr>
        <w:t>Vnitrostátní orgány dozoru nad certifikací spolup</w:t>
      </w:r>
      <w:r>
        <w:rPr>
          <w:noProof/>
        </w:rPr>
        <w:t>racují mezi sebou a s Komisí, a zejména si vyměňují informace, zkušenosti a osvědčené postupy týkající se certifikace kybernetické bezpečnosti a technických otázek týkajících se kybernetické bezpečnosti produktů a služeb IKT.</w:t>
      </w:r>
    </w:p>
    <w:p w:rsidR="00557911" w:rsidRDefault="00557911">
      <w:pPr>
        <w:rPr>
          <w:noProof/>
        </w:rPr>
      </w:pPr>
    </w:p>
    <w:p w:rsidR="00557911" w:rsidRDefault="00623804">
      <w:pPr>
        <w:pStyle w:val="Titrearticle"/>
        <w:spacing w:before="0" w:after="0"/>
        <w:rPr>
          <w:b/>
          <w:i w:val="0"/>
          <w:noProof/>
        </w:rPr>
      </w:pPr>
      <w:r>
        <w:rPr>
          <w:noProof/>
        </w:rPr>
        <w:t>Článek 51</w:t>
      </w:r>
      <w:r>
        <w:rPr>
          <w:noProof/>
        </w:rPr>
        <w:br/>
      </w:r>
      <w:r>
        <w:rPr>
          <w:b/>
          <w:noProof/>
        </w:rPr>
        <w:t>Subjekty posuzování</w:t>
      </w:r>
      <w:r>
        <w:rPr>
          <w:b/>
          <w:noProof/>
        </w:rPr>
        <w:t xml:space="preserve"> shody</w:t>
      </w:r>
    </w:p>
    <w:p w:rsidR="00557911" w:rsidRDefault="00623804">
      <w:pPr>
        <w:pStyle w:val="ManualNumPar1"/>
        <w:rPr>
          <w:noProof/>
        </w:rPr>
      </w:pPr>
      <w:r>
        <w:t>1.</w:t>
      </w:r>
      <w:r>
        <w:tab/>
      </w:r>
      <w:r>
        <w:rPr>
          <w:noProof/>
        </w:rPr>
        <w:t>Subjekty posuzování shody jsou akreditovány vnitrostátním akreditačním orgánem jmenovaným podle nařízení (ES) č. 765/2008, pouze pokud splňují požadavky stanovené v příloze tohoto nařízení.</w:t>
      </w:r>
    </w:p>
    <w:p w:rsidR="00557911" w:rsidRDefault="00623804">
      <w:pPr>
        <w:pStyle w:val="ManualNumPar1"/>
        <w:rPr>
          <w:noProof/>
        </w:rPr>
      </w:pPr>
      <w:r>
        <w:t>2.</w:t>
      </w:r>
      <w:r>
        <w:tab/>
      </w:r>
      <w:r>
        <w:rPr>
          <w:noProof/>
        </w:rPr>
        <w:t>Akreditace se vydává na období nejvýše pěti let a lze</w:t>
      </w:r>
      <w:r>
        <w:rPr>
          <w:noProof/>
        </w:rPr>
        <w:t xml:space="preserve"> ji za stejných podmínek obnovit, pokud daný subjekt posuzování shody splňuje požadavky stanovené v tomto článku. Akreditační orgány akreditaci subjektu posuzování shody podle odstavce 1 tohoto článku zruší, pokud podmínky pro udělení akreditace nejsou spl</w:t>
      </w:r>
      <w:r>
        <w:rPr>
          <w:noProof/>
        </w:rPr>
        <w:t>něny nebo přestanou být plněny nebo pokud opatření přijatá subjektem posuzování shody porušují toto nařízení.</w:t>
      </w:r>
    </w:p>
    <w:p w:rsidR="00557911" w:rsidRDefault="00557911">
      <w:pPr>
        <w:rPr>
          <w:noProof/>
        </w:rPr>
      </w:pPr>
    </w:p>
    <w:p w:rsidR="00557911" w:rsidRDefault="00623804">
      <w:pPr>
        <w:pStyle w:val="Titrearticle"/>
        <w:rPr>
          <w:b/>
          <w:noProof/>
        </w:rPr>
      </w:pPr>
      <w:r>
        <w:rPr>
          <w:noProof/>
        </w:rPr>
        <w:t>Článek 52</w:t>
      </w:r>
      <w:r>
        <w:rPr>
          <w:noProof/>
        </w:rPr>
        <w:br/>
      </w:r>
      <w:r>
        <w:rPr>
          <w:b/>
          <w:noProof/>
        </w:rPr>
        <w:t>Oznámení</w:t>
      </w:r>
    </w:p>
    <w:p w:rsidR="00557911" w:rsidRDefault="00623804">
      <w:pPr>
        <w:pStyle w:val="ManualNumPar1"/>
        <w:rPr>
          <w:noProof/>
        </w:rPr>
      </w:pPr>
      <w:r>
        <w:t>1.</w:t>
      </w:r>
      <w:r>
        <w:tab/>
      </w:r>
      <w:r>
        <w:rPr>
          <w:noProof/>
        </w:rPr>
        <w:t>Ke každému evropskému systému certifikace kybernetické bezpečnosti přijatému podle článku 44 vnitrostátní orgány dozoru nad</w:t>
      </w:r>
      <w:r>
        <w:rPr>
          <w:noProof/>
        </w:rPr>
        <w:t xml:space="preserve"> certifikací oznámí Komisi akreditované subjekty posuzování shody oprávněné k vydávání certifikátů s určenými úrovněmi záruky podle článku 46 a bez zbytečného odkladu i jakékoliv jejich následné změny.</w:t>
      </w:r>
    </w:p>
    <w:p w:rsidR="00557911" w:rsidRDefault="00623804">
      <w:pPr>
        <w:pStyle w:val="ManualNumPar1"/>
        <w:rPr>
          <w:noProof/>
        </w:rPr>
      </w:pPr>
      <w:r>
        <w:t>2.</w:t>
      </w:r>
      <w:r>
        <w:tab/>
      </w:r>
      <w:r>
        <w:rPr>
          <w:noProof/>
        </w:rPr>
        <w:t>Komise zveřejní seznam oznámených subjektů posuzová</w:t>
      </w:r>
      <w:r>
        <w:rPr>
          <w:noProof/>
        </w:rPr>
        <w:t>ní shody jeden rok po vstupu evropského systému certifikace kybernetické bezpečnosti v platnost v </w:t>
      </w:r>
      <w:r>
        <w:rPr>
          <w:i/>
          <w:noProof/>
        </w:rPr>
        <w:t>Úředním věstníku</w:t>
      </w:r>
      <w:r>
        <w:rPr>
          <w:noProof/>
        </w:rPr>
        <w:t>.</w:t>
      </w:r>
    </w:p>
    <w:p w:rsidR="00557911" w:rsidRDefault="00623804">
      <w:pPr>
        <w:pStyle w:val="ManualNumPar1"/>
        <w:rPr>
          <w:noProof/>
        </w:rPr>
      </w:pPr>
      <w:r>
        <w:t>3.</w:t>
      </w:r>
      <w:r>
        <w:tab/>
      </w:r>
      <w:r>
        <w:rPr>
          <w:noProof/>
        </w:rPr>
        <w:t>Obdrží-li Komise oznámení po uplynutí lhůty uvedené v odstavci 2, zveřejní změny v seznamu podle odstavce 2 do dvou měsíců ode dne přijet</w:t>
      </w:r>
      <w:r>
        <w:rPr>
          <w:noProof/>
        </w:rPr>
        <w:t>í tohoto oznámení v </w:t>
      </w:r>
      <w:r>
        <w:rPr>
          <w:i/>
          <w:noProof/>
        </w:rPr>
        <w:t>Úředním věstníku Evropské unie</w:t>
      </w:r>
      <w:r>
        <w:rPr>
          <w:noProof/>
        </w:rPr>
        <w:t>.</w:t>
      </w:r>
    </w:p>
    <w:p w:rsidR="00557911" w:rsidRDefault="00623804">
      <w:pPr>
        <w:pStyle w:val="ManualNumPar1"/>
        <w:rPr>
          <w:noProof/>
        </w:rPr>
      </w:pPr>
      <w:r>
        <w:t>4.</w:t>
      </w:r>
      <w:r>
        <w:tab/>
      </w:r>
      <w:r>
        <w:rPr>
          <w:noProof/>
        </w:rPr>
        <w:t>Vnitrostátní orgán dozoru nad certifikací může Komisi předložit žádost o odstranění subjektu posuzování shody oznámeného daným vnitrostátním orgánem dozoru nad certifikací ze seznamu uvedeného v odstav</w:t>
      </w:r>
      <w:r>
        <w:rPr>
          <w:noProof/>
        </w:rPr>
        <w:t xml:space="preserve">ci 2 tohoto článku. Komise odpovídající změny seznamu zveřejní do jednoho měsíce ode dne přijetí žádosti vnitrostátního orgánu dozoru nad certifikací v </w:t>
      </w:r>
      <w:r>
        <w:rPr>
          <w:i/>
          <w:noProof/>
        </w:rPr>
        <w:t>Úředním věstníku Evropské unie</w:t>
      </w:r>
      <w:r>
        <w:rPr>
          <w:noProof/>
        </w:rPr>
        <w:t>.</w:t>
      </w:r>
    </w:p>
    <w:p w:rsidR="00557911" w:rsidRDefault="00623804">
      <w:pPr>
        <w:pStyle w:val="ManualNumPar1"/>
        <w:rPr>
          <w:noProof/>
        </w:rPr>
      </w:pPr>
      <w:r>
        <w:t>5.</w:t>
      </w:r>
      <w:r>
        <w:tab/>
      </w:r>
      <w:r>
        <w:rPr>
          <w:noProof/>
        </w:rPr>
        <w:t>Komise může stanovit prostřednictvím prováděcích aktů okolnosti, form</w:t>
      </w:r>
      <w:r>
        <w:rPr>
          <w:noProof/>
        </w:rPr>
        <w:t xml:space="preserve">áty a postupy oznámení uvedených v odstavci 1 tohoto článku. Tyto prováděcí akty se přijímají přezkumným postupem podle čl. 55 odst. 2. </w:t>
      </w:r>
    </w:p>
    <w:p w:rsidR="00557911" w:rsidRDefault="00557911">
      <w:pPr>
        <w:rPr>
          <w:noProof/>
          <w:szCs w:val="24"/>
        </w:rPr>
      </w:pPr>
    </w:p>
    <w:p w:rsidR="00557911" w:rsidRDefault="00623804">
      <w:pPr>
        <w:jc w:val="center"/>
        <w:rPr>
          <w:rFonts w:eastAsia="Times New Roman"/>
          <w:b/>
          <w:bCs/>
          <w:i/>
          <w:noProof/>
          <w:szCs w:val="24"/>
        </w:rPr>
      </w:pPr>
      <w:r>
        <w:rPr>
          <w:i/>
          <w:noProof/>
        </w:rPr>
        <w:t>Článek 53</w:t>
      </w:r>
      <w:r>
        <w:rPr>
          <w:rFonts w:eastAsia="Times New Roman"/>
          <w:b/>
          <w:bCs/>
          <w:i/>
          <w:noProof/>
          <w:szCs w:val="24"/>
        </w:rPr>
        <w:br/>
      </w:r>
      <w:r>
        <w:rPr>
          <w:b/>
          <w:i/>
          <w:noProof/>
        </w:rPr>
        <w:t>Evropská skupina pro certifikaci kybernetické bezpečnosti</w:t>
      </w:r>
    </w:p>
    <w:p w:rsidR="00557911" w:rsidRDefault="00623804">
      <w:pPr>
        <w:pStyle w:val="ManualNumPar1"/>
        <w:rPr>
          <w:noProof/>
        </w:rPr>
      </w:pPr>
      <w:r>
        <w:t>1.</w:t>
      </w:r>
      <w:r>
        <w:tab/>
      </w:r>
      <w:r>
        <w:rPr>
          <w:noProof/>
        </w:rPr>
        <w:t xml:space="preserve">Zřizuje se Evropská skupina pro certifikaci </w:t>
      </w:r>
      <w:r>
        <w:rPr>
          <w:noProof/>
        </w:rPr>
        <w:t>kybernetické bezpečnosti (dále jen „skupina“).</w:t>
      </w:r>
    </w:p>
    <w:p w:rsidR="00557911" w:rsidRDefault="00623804">
      <w:pPr>
        <w:pStyle w:val="ManualNumPar1"/>
        <w:rPr>
          <w:noProof/>
        </w:rPr>
      </w:pPr>
      <w:r>
        <w:t>2.</w:t>
      </w:r>
      <w:r>
        <w:tab/>
      </w:r>
      <w:r>
        <w:rPr>
          <w:noProof/>
        </w:rPr>
        <w:t>Skupina je složena z vnitrostátních orgánů dozoru nad certifikací. Orgány jsou zastoupeny řediteli nebo jinými vysokými představiteli vnitrostátních orgánů dozoru nad certifikací.</w:t>
      </w:r>
    </w:p>
    <w:p w:rsidR="00557911" w:rsidRDefault="00623804">
      <w:pPr>
        <w:pStyle w:val="ManualNumPar1"/>
        <w:rPr>
          <w:noProof/>
        </w:rPr>
      </w:pPr>
      <w:r>
        <w:t>3.</w:t>
      </w:r>
      <w:r>
        <w:tab/>
      </w:r>
      <w:r>
        <w:rPr>
          <w:noProof/>
        </w:rPr>
        <w:t>Skupina má tyto úkoly:</w:t>
      </w:r>
    </w:p>
    <w:p w:rsidR="00557911" w:rsidRDefault="00623804">
      <w:pPr>
        <w:pStyle w:val="Point1"/>
        <w:rPr>
          <w:noProof/>
          <w:szCs w:val="24"/>
        </w:rPr>
      </w:pPr>
      <w:r>
        <w:rPr>
          <w:noProof/>
        </w:rPr>
        <w:t>a)</w:t>
      </w:r>
      <w:r>
        <w:rPr>
          <w:noProof/>
        </w:rPr>
        <w:tab/>
        <w:t>poskytovat poradenství a pomoc Komisi v její činnosti spojené se zajištěním soudržného provádění a uplatňování této hlavy, zejména pokud jde o záležitosti politiky v oblasti certifikace kybernetické bezpečnosti, koordinaci politických přístupů a vypraco</w:t>
      </w:r>
      <w:r>
        <w:rPr>
          <w:noProof/>
        </w:rPr>
        <w:t>vání evropských systémů certifikace kybernetické bezpečnosti;</w:t>
      </w:r>
    </w:p>
    <w:p w:rsidR="00557911" w:rsidRDefault="00623804">
      <w:pPr>
        <w:pStyle w:val="Point1"/>
        <w:rPr>
          <w:noProof/>
          <w:szCs w:val="24"/>
        </w:rPr>
      </w:pPr>
      <w:r>
        <w:rPr>
          <w:noProof/>
        </w:rPr>
        <w:t>b)</w:t>
      </w:r>
      <w:r>
        <w:rPr>
          <w:noProof/>
        </w:rPr>
        <w:tab/>
        <w:t>poskytovat poradenství a pomoc agentuře ENISA a spolupracovat s ní v souvislosti s vypracováním návrhu systému v souladu s článkem 44 tohoto nařízení;</w:t>
      </w:r>
    </w:p>
    <w:p w:rsidR="00557911" w:rsidRDefault="00623804">
      <w:pPr>
        <w:pStyle w:val="Point1"/>
        <w:rPr>
          <w:noProof/>
          <w:szCs w:val="24"/>
        </w:rPr>
      </w:pPr>
      <w:r>
        <w:rPr>
          <w:noProof/>
        </w:rPr>
        <w:t>c)</w:t>
      </w:r>
      <w:r>
        <w:rPr>
          <w:noProof/>
        </w:rPr>
        <w:tab/>
        <w:t>navrhovat Komisi, aby agenturu požáda</w:t>
      </w:r>
      <w:r>
        <w:rPr>
          <w:noProof/>
        </w:rPr>
        <w:t>la o vypracování návrhu evropského systému certifikace kybernetické bezpečnosti v souladu s článkem 44 tohoto nařízení;</w:t>
      </w:r>
    </w:p>
    <w:p w:rsidR="00557911" w:rsidRDefault="00623804">
      <w:pPr>
        <w:pStyle w:val="Point1"/>
        <w:rPr>
          <w:noProof/>
          <w:szCs w:val="24"/>
        </w:rPr>
      </w:pPr>
      <w:r>
        <w:rPr>
          <w:noProof/>
        </w:rPr>
        <w:t>d)</w:t>
      </w:r>
      <w:r>
        <w:rPr>
          <w:noProof/>
        </w:rPr>
        <w:tab/>
        <w:t xml:space="preserve">přijímat stanoviska určená Komisi v souvislosti se zachováním a přezkumem stávajících evropských systémů certifikace kybernetické </w:t>
      </w:r>
      <w:r>
        <w:rPr>
          <w:noProof/>
        </w:rPr>
        <w:t>bezpečnosti;</w:t>
      </w:r>
    </w:p>
    <w:p w:rsidR="00557911" w:rsidRDefault="00623804">
      <w:pPr>
        <w:pStyle w:val="Point1"/>
        <w:rPr>
          <w:noProof/>
          <w:szCs w:val="24"/>
        </w:rPr>
      </w:pPr>
      <w:r>
        <w:rPr>
          <w:noProof/>
        </w:rPr>
        <w:t>e)</w:t>
      </w:r>
      <w:r>
        <w:rPr>
          <w:noProof/>
        </w:rPr>
        <w:tab/>
        <w:t>zkoumat relevantní vývoj v oblasti certifikace kybernetické bezpečnosti a vyměňovat osvědčené postupy týkající se systémů certifikace kybernetické bezpečnosti;</w:t>
      </w:r>
    </w:p>
    <w:p w:rsidR="00557911" w:rsidRDefault="00623804">
      <w:pPr>
        <w:pStyle w:val="Point1"/>
        <w:rPr>
          <w:noProof/>
          <w:szCs w:val="24"/>
        </w:rPr>
      </w:pPr>
      <w:r>
        <w:rPr>
          <w:noProof/>
        </w:rPr>
        <w:t>f)</w:t>
      </w:r>
      <w:r>
        <w:rPr>
          <w:noProof/>
        </w:rPr>
        <w:tab/>
        <w:t>usnadňovat prostřednictvím výměny informací spolupráci mezi vnitrostátními or</w:t>
      </w:r>
      <w:r>
        <w:rPr>
          <w:noProof/>
        </w:rPr>
        <w:t>gány dozoru nad certifikací podle této hlavy, zejména stanovením metod pro účinnou výměnu informací o veškerých otázkách týkajících se certifikace kybernetické bezpečnosti.</w:t>
      </w:r>
    </w:p>
    <w:p w:rsidR="00557911" w:rsidRDefault="00623804">
      <w:pPr>
        <w:pStyle w:val="ManualNumPar1"/>
        <w:rPr>
          <w:noProof/>
        </w:rPr>
      </w:pPr>
      <w:r>
        <w:t>4.</w:t>
      </w:r>
      <w:r>
        <w:tab/>
      </w:r>
      <w:r>
        <w:rPr>
          <w:noProof/>
        </w:rPr>
        <w:t>Skupině předsedá Komise a s pomocí agentury ENISA jí podle čl. 8 písm. a) zajišť</w:t>
      </w:r>
      <w:r>
        <w:rPr>
          <w:noProof/>
        </w:rPr>
        <w:t xml:space="preserve">uje služby sekretariátu. </w:t>
      </w:r>
    </w:p>
    <w:p w:rsidR="00557911" w:rsidRDefault="00557911">
      <w:pPr>
        <w:rPr>
          <w:noProof/>
          <w:szCs w:val="24"/>
        </w:rPr>
      </w:pPr>
    </w:p>
    <w:p w:rsidR="00557911" w:rsidRDefault="00623804">
      <w:pPr>
        <w:pStyle w:val="Titrearticle"/>
        <w:rPr>
          <w:rFonts w:eastAsia="Times New Roman"/>
          <w:b/>
          <w:noProof/>
        </w:rPr>
      </w:pPr>
      <w:r>
        <w:rPr>
          <w:noProof/>
        </w:rPr>
        <w:t>Článek 54</w:t>
      </w:r>
      <w:r>
        <w:rPr>
          <w:rFonts w:eastAsia="Times New Roman"/>
          <w:b/>
          <w:i w:val="0"/>
          <w:noProof/>
        </w:rPr>
        <w:br/>
      </w:r>
      <w:r>
        <w:rPr>
          <w:b/>
          <w:noProof/>
        </w:rPr>
        <w:t>Sankce</w:t>
      </w:r>
    </w:p>
    <w:p w:rsidR="00557911" w:rsidRDefault="00623804">
      <w:pPr>
        <w:rPr>
          <w:noProof/>
          <w:szCs w:val="24"/>
        </w:rPr>
      </w:pPr>
      <w:r>
        <w:rPr>
          <w:noProof/>
        </w:rPr>
        <w:t>Členské státy stanoví pravidla upravující sankce za porušení této hlavy a evropských systémů certifikace kybernetické bezpečnosti a přijmou veškerá nezbytná opatření pro zajištění jejich provádění. Stanovené sank</w:t>
      </w:r>
      <w:r>
        <w:rPr>
          <w:noProof/>
        </w:rPr>
        <w:t xml:space="preserve">ce musí být účinné, přiměřené a odrazující. Členské státy [do …/neprodleně] uvědomí o těchto pravidlech a o těchto opatřeních Komisi a informují ji o veškerých jejich pozdějších změnách. </w:t>
      </w:r>
    </w:p>
    <w:p w:rsidR="00557911" w:rsidRDefault="00557911">
      <w:pPr>
        <w:spacing w:before="75"/>
        <w:rPr>
          <w:rFonts w:eastAsia="Times New Roman"/>
          <w:b/>
          <w:bCs/>
          <w:noProof/>
          <w:szCs w:val="24"/>
        </w:rPr>
      </w:pPr>
    </w:p>
    <w:p w:rsidR="00557911" w:rsidRDefault="00623804">
      <w:pPr>
        <w:pStyle w:val="PartTitle"/>
        <w:rPr>
          <w:bCs/>
          <w:noProof/>
        </w:rPr>
      </w:pPr>
      <w:bookmarkStart w:id="37" w:name="_Toc492216479"/>
      <w:r>
        <w:rPr>
          <w:noProof/>
        </w:rPr>
        <w:t>HLAVA IV</w:t>
      </w:r>
      <w:r>
        <w:rPr>
          <w:noProof/>
        </w:rPr>
        <w:br/>
        <w:t>ZÁVĚREČNÁ USTANOVENÍ</w:t>
      </w:r>
      <w:bookmarkEnd w:id="37"/>
    </w:p>
    <w:p w:rsidR="00557911" w:rsidRDefault="00557911">
      <w:pPr>
        <w:jc w:val="center"/>
        <w:rPr>
          <w:i/>
          <w:noProof/>
          <w:szCs w:val="24"/>
        </w:rPr>
      </w:pPr>
    </w:p>
    <w:p w:rsidR="00557911" w:rsidRDefault="00623804">
      <w:pPr>
        <w:pStyle w:val="Titrearticle"/>
        <w:rPr>
          <w:noProof/>
        </w:rPr>
      </w:pPr>
      <w:r>
        <w:rPr>
          <w:noProof/>
        </w:rPr>
        <w:t>Článek 55</w:t>
      </w:r>
      <w:r>
        <w:rPr>
          <w:i w:val="0"/>
          <w:noProof/>
        </w:rPr>
        <w:br/>
      </w:r>
      <w:r>
        <w:rPr>
          <w:b/>
          <w:noProof/>
        </w:rPr>
        <w:t>Postup projednávání ve výb</w:t>
      </w:r>
      <w:r>
        <w:rPr>
          <w:b/>
          <w:noProof/>
        </w:rPr>
        <w:t>oru</w:t>
      </w:r>
    </w:p>
    <w:p w:rsidR="00557911" w:rsidRDefault="00623804">
      <w:pPr>
        <w:pStyle w:val="ManualNumPar1"/>
        <w:rPr>
          <w:noProof/>
        </w:rPr>
      </w:pPr>
      <w:r>
        <w:t>1.</w:t>
      </w:r>
      <w:r>
        <w:tab/>
      </w:r>
      <w:r>
        <w:rPr>
          <w:noProof/>
        </w:rPr>
        <w:t>Komisi je nápomocen výbor. Tento výbor je výborem ve smyslu nařízení (EU) č. 182/2011.</w:t>
      </w:r>
    </w:p>
    <w:p w:rsidR="00557911" w:rsidRDefault="00623804">
      <w:pPr>
        <w:pStyle w:val="ManualNumPar1"/>
        <w:rPr>
          <w:noProof/>
        </w:rPr>
      </w:pPr>
      <w:r>
        <w:t>2.</w:t>
      </w:r>
      <w:r>
        <w:tab/>
      </w:r>
      <w:r>
        <w:rPr>
          <w:noProof/>
        </w:rPr>
        <w:t>Odkazuje-li se na tento odstavec, použije se článek 4 nařízení (EU) č. 182/2011.</w:t>
      </w:r>
    </w:p>
    <w:p w:rsidR="00557911" w:rsidRDefault="00557911">
      <w:pPr>
        <w:rPr>
          <w:noProof/>
        </w:rPr>
      </w:pPr>
    </w:p>
    <w:p w:rsidR="00557911" w:rsidRDefault="00623804">
      <w:pPr>
        <w:pStyle w:val="Titrearticle"/>
        <w:rPr>
          <w:b/>
          <w:noProof/>
        </w:rPr>
      </w:pPr>
      <w:r>
        <w:rPr>
          <w:noProof/>
        </w:rPr>
        <w:t>Článek 56</w:t>
      </w:r>
      <w:r>
        <w:rPr>
          <w:noProof/>
        </w:rPr>
        <w:br/>
      </w:r>
      <w:r>
        <w:rPr>
          <w:b/>
          <w:noProof/>
        </w:rPr>
        <w:t>Hodnocení a přezkum</w:t>
      </w:r>
    </w:p>
    <w:p w:rsidR="00557911" w:rsidRDefault="00623804">
      <w:pPr>
        <w:pStyle w:val="ManualNumPar1"/>
        <w:rPr>
          <w:noProof/>
        </w:rPr>
      </w:pPr>
      <w:r>
        <w:t>1.</w:t>
      </w:r>
      <w:r>
        <w:tab/>
      </w:r>
      <w:r>
        <w:rPr>
          <w:noProof/>
        </w:rPr>
        <w:t>Nejpozději pět let po dni uvedeném v článku </w:t>
      </w:r>
      <w:r>
        <w:rPr>
          <w:noProof/>
        </w:rPr>
        <w:t>58 a poté každých pět let Komise posoudí dopad, efektivitu a účinnost agentury a jejích pracovních postupů, jakož i případnou potřebu změnit mandát agentury a finanční důsledky této změny. Hodnocení zohledňuje veškerou zpětnou vazbu, kterou agentura v reak</w:t>
      </w:r>
      <w:r>
        <w:rPr>
          <w:noProof/>
        </w:rPr>
        <w:t>ci na svou činnost zaznamenala. Pokud se Komise domnívá, že zachování agentury již není s ohledem na cíle, mandát a úkoly, které jí byly svěřeny, odůvodněné, může navrhnout, aby byla ustanovení tohoto nařízení týkající se agentury změněna.</w:t>
      </w:r>
    </w:p>
    <w:p w:rsidR="00557911" w:rsidRDefault="00623804">
      <w:pPr>
        <w:pStyle w:val="ManualNumPar1"/>
        <w:rPr>
          <w:noProof/>
        </w:rPr>
      </w:pPr>
      <w:r>
        <w:t>2.</w:t>
      </w:r>
      <w:r>
        <w:tab/>
      </w:r>
      <w:r>
        <w:rPr>
          <w:noProof/>
        </w:rPr>
        <w:t xml:space="preserve">Hodnocení </w:t>
      </w:r>
      <w:r>
        <w:rPr>
          <w:noProof/>
        </w:rPr>
        <w:t>rovněž posoudí dopad, efektivnost a účinnost ustanovení hlavy III s ohledem na cíle zajištění odpovídající úrovně kybernetické bezpečnosti produktů a služeb IKT v Unii a zlepšení fungování vnitřního trhu.</w:t>
      </w:r>
    </w:p>
    <w:p w:rsidR="00557911" w:rsidRDefault="00623804">
      <w:pPr>
        <w:pStyle w:val="ManualNumPar1"/>
        <w:rPr>
          <w:noProof/>
        </w:rPr>
      </w:pPr>
      <w:r>
        <w:t>3.</w:t>
      </w:r>
      <w:r>
        <w:tab/>
      </w:r>
      <w:r>
        <w:rPr>
          <w:noProof/>
        </w:rPr>
        <w:t xml:space="preserve">Komise předá hodnotící zprávu společně se svými </w:t>
      </w:r>
      <w:r>
        <w:rPr>
          <w:noProof/>
        </w:rPr>
        <w:t>závěry Evropskému parlamentu, Radě a správní radě. Zjištění hodnotící zprávy se zveřejní.</w:t>
      </w:r>
    </w:p>
    <w:p w:rsidR="00557911" w:rsidRDefault="00557911">
      <w:pPr>
        <w:spacing w:after="0"/>
        <w:rPr>
          <w:rFonts w:eastAsia="Times New Roman"/>
          <w:noProof/>
          <w:szCs w:val="24"/>
        </w:rPr>
      </w:pPr>
    </w:p>
    <w:p w:rsidR="00557911" w:rsidRDefault="00623804">
      <w:pPr>
        <w:pStyle w:val="Titrearticle"/>
        <w:rPr>
          <w:b/>
          <w:noProof/>
        </w:rPr>
      </w:pPr>
      <w:r>
        <w:rPr>
          <w:noProof/>
        </w:rPr>
        <w:t>Článek 57</w:t>
      </w:r>
      <w:r>
        <w:rPr>
          <w:noProof/>
        </w:rPr>
        <w:br/>
      </w:r>
      <w:r>
        <w:rPr>
          <w:b/>
          <w:noProof/>
        </w:rPr>
        <w:t>Zrušení a nástupnictví</w:t>
      </w:r>
    </w:p>
    <w:p w:rsidR="00557911" w:rsidRDefault="00623804">
      <w:pPr>
        <w:pStyle w:val="ManualNumPar1"/>
        <w:rPr>
          <w:noProof/>
        </w:rPr>
      </w:pPr>
      <w:r>
        <w:t>1.</w:t>
      </w:r>
      <w:r>
        <w:tab/>
      </w:r>
      <w:r>
        <w:rPr>
          <w:noProof/>
        </w:rPr>
        <w:t>Nařízení (EU) č. 526/2013 se zrušuje s účinkem od […].</w:t>
      </w:r>
    </w:p>
    <w:p w:rsidR="00557911" w:rsidRDefault="00623804">
      <w:pPr>
        <w:pStyle w:val="ManualNumPar1"/>
        <w:rPr>
          <w:noProof/>
        </w:rPr>
      </w:pPr>
      <w:r>
        <w:t>2.</w:t>
      </w:r>
      <w:r>
        <w:tab/>
      </w:r>
      <w:r>
        <w:rPr>
          <w:noProof/>
        </w:rPr>
        <w:t xml:space="preserve">Odkazy na nařízení (EU) č. 526/2013 a na agenturu ENISA se považují za </w:t>
      </w:r>
      <w:r>
        <w:rPr>
          <w:noProof/>
        </w:rPr>
        <w:t>odkazy na toto nařízení a na agenturu.</w:t>
      </w:r>
    </w:p>
    <w:p w:rsidR="00557911" w:rsidRDefault="00623804">
      <w:pPr>
        <w:pStyle w:val="ManualNumPar1"/>
        <w:rPr>
          <w:noProof/>
        </w:rPr>
      </w:pPr>
      <w:r>
        <w:t>3.</w:t>
      </w:r>
      <w:r>
        <w:tab/>
      </w:r>
      <w:r>
        <w:rPr>
          <w:noProof/>
        </w:rPr>
        <w:t xml:space="preserve">Agentura je nástupkyní agentury zřízené nařízením (EU) č. 526/2013, pokud jde o veškeré vlastnictví, dohody, právní závazky, pracovní smlouvy, finanční závazky a odpovědnost. Všechna stávající rozhodnutí správní a </w:t>
      </w:r>
      <w:r>
        <w:rPr>
          <w:noProof/>
        </w:rPr>
        <w:t xml:space="preserve">výkonné rady zůstávají v platnosti, nejsou-li v rozporu s ustanoveními tohoto nařízení. </w:t>
      </w:r>
    </w:p>
    <w:p w:rsidR="00557911" w:rsidRDefault="00623804">
      <w:pPr>
        <w:pStyle w:val="ManualNumPar1"/>
        <w:rPr>
          <w:noProof/>
        </w:rPr>
      </w:pPr>
      <w:r>
        <w:t>4.</w:t>
      </w:r>
      <w:r>
        <w:tab/>
      </w:r>
      <w:r>
        <w:rPr>
          <w:noProof/>
        </w:rPr>
        <w:t>Agentura se zřizuje na neomezené období počínaje […].</w:t>
      </w:r>
    </w:p>
    <w:p w:rsidR="00557911" w:rsidRDefault="00623804">
      <w:pPr>
        <w:pStyle w:val="ManualNumPar1"/>
        <w:rPr>
          <w:noProof/>
        </w:rPr>
      </w:pPr>
      <w:r>
        <w:t>5.</w:t>
      </w:r>
      <w:r>
        <w:tab/>
      </w:r>
      <w:r>
        <w:rPr>
          <w:noProof/>
        </w:rPr>
        <w:t xml:space="preserve">Výkonný ředitel jmenovaný podle čl. 24 odst. 4 nařízení (EU) č. 526/2013 je výkonným ředitelem agentury po </w:t>
      </w:r>
      <w:r>
        <w:rPr>
          <w:noProof/>
        </w:rPr>
        <w:t>zbývající část svého funkčního období.</w:t>
      </w:r>
    </w:p>
    <w:p w:rsidR="00557911" w:rsidRDefault="00623804">
      <w:pPr>
        <w:pStyle w:val="ManualNumPar1"/>
        <w:rPr>
          <w:noProof/>
        </w:rPr>
      </w:pPr>
      <w:r>
        <w:t>6.</w:t>
      </w:r>
      <w:r>
        <w:tab/>
      </w:r>
      <w:r>
        <w:rPr>
          <w:noProof/>
        </w:rPr>
        <w:t>Členové správní rady a jejich náhradníci jmenovaní podle článku 6 nařízení (EU) č. 526/213 jsou členy a náhradníky správní rady agentury po zbývající část svého funkčního období.</w:t>
      </w:r>
    </w:p>
    <w:p w:rsidR="00557911" w:rsidRDefault="00623804">
      <w:pPr>
        <w:pStyle w:val="Titrearticle"/>
        <w:rPr>
          <w:noProof/>
        </w:rPr>
      </w:pPr>
      <w:r>
        <w:rPr>
          <w:noProof/>
        </w:rPr>
        <w:t>Článek 58</w:t>
      </w:r>
    </w:p>
    <w:p w:rsidR="00557911" w:rsidRDefault="00623804">
      <w:pPr>
        <w:pStyle w:val="ManualNumPar1"/>
        <w:rPr>
          <w:noProof/>
        </w:rPr>
      </w:pPr>
      <w:r>
        <w:t>1.</w:t>
      </w:r>
      <w:r>
        <w:tab/>
      </w:r>
      <w:r>
        <w:rPr>
          <w:noProof/>
        </w:rPr>
        <w:t xml:space="preserve">Toto nařízení vstupuje v platnost dvacátým dnem po vyhlášení v </w:t>
      </w:r>
      <w:r>
        <w:rPr>
          <w:i/>
          <w:noProof/>
        </w:rPr>
        <w:t>Úředním věstníku Evropské unie</w:t>
      </w:r>
      <w:r>
        <w:rPr>
          <w:noProof/>
        </w:rPr>
        <w:t>.</w:t>
      </w:r>
    </w:p>
    <w:p w:rsidR="00557911" w:rsidRDefault="00623804">
      <w:pPr>
        <w:pStyle w:val="ManualNumPar1"/>
        <w:rPr>
          <w:noProof/>
        </w:rPr>
      </w:pPr>
      <w:r>
        <w:t>2.</w:t>
      </w:r>
      <w:r>
        <w:tab/>
      </w:r>
      <w:r>
        <w:rPr>
          <w:noProof/>
        </w:rPr>
        <w:t>Toto nařízení je závazné v celém rozsahu a přímo použitelné ve všech členských státech.</w:t>
      </w:r>
    </w:p>
    <w:p w:rsidR="00557911" w:rsidRDefault="00623804" w:rsidP="00623804">
      <w:pPr>
        <w:pStyle w:val="Fait"/>
        <w:rPr>
          <w:noProof/>
        </w:rPr>
      </w:pPr>
      <w:r w:rsidRPr="00623804">
        <w:t>V Bruselu dne</w:t>
      </w:r>
    </w:p>
    <w:p w:rsidR="00557911" w:rsidRDefault="00623804">
      <w:pPr>
        <w:pStyle w:val="Institutionquisigne"/>
        <w:rPr>
          <w:noProof/>
        </w:rPr>
      </w:pPr>
      <w:r>
        <w:rPr>
          <w:noProof/>
        </w:rPr>
        <w:t>Za Evropský parlament</w:t>
      </w:r>
      <w:r>
        <w:rPr>
          <w:noProof/>
        </w:rPr>
        <w:tab/>
        <w:t>Za Radu</w:t>
      </w:r>
    </w:p>
    <w:p w:rsidR="00557911" w:rsidRDefault="00623804">
      <w:pPr>
        <w:pStyle w:val="Personnequisigne"/>
        <w:rPr>
          <w:noProof/>
        </w:rPr>
      </w:pPr>
      <w:r>
        <w:rPr>
          <w:noProof/>
        </w:rPr>
        <w:t>předseda</w:t>
      </w:r>
      <w:r>
        <w:rPr>
          <w:noProof/>
        </w:rPr>
        <w:tab/>
        <w:t>předseda/předsedk</w:t>
      </w:r>
      <w:r>
        <w:rPr>
          <w:noProof/>
        </w:rPr>
        <w:t>yně</w:t>
      </w:r>
    </w:p>
    <w:p w:rsidR="00557911" w:rsidRDefault="00557911">
      <w:pPr>
        <w:rPr>
          <w:noProof/>
        </w:rPr>
        <w:sectPr w:rsidR="00557911" w:rsidSect="00623804">
          <w:footerReference w:type="default" r:id="rId20"/>
          <w:footerReference w:type="first" r:id="rId21"/>
          <w:pgSz w:w="11907" w:h="16839"/>
          <w:pgMar w:top="1134" w:right="1417" w:bottom="1134" w:left="1417" w:header="709" w:footer="709" w:gutter="0"/>
          <w:cols w:space="708"/>
          <w:docGrid w:linePitch="360"/>
        </w:sectPr>
      </w:pPr>
    </w:p>
    <w:p w:rsidR="00557911" w:rsidRDefault="00623804">
      <w:pPr>
        <w:pStyle w:val="Fichefinanciretitre"/>
        <w:rPr>
          <w:noProof/>
        </w:rPr>
      </w:pPr>
      <w:bookmarkStart w:id="38" w:name="_Toc492216480"/>
      <w:r>
        <w:rPr>
          <w:noProof/>
        </w:rPr>
        <w:t>LEGISLATIVNÍ FINANČNÍ VÝKAZ</w:t>
      </w:r>
      <w:bookmarkEnd w:id="38"/>
      <w:r>
        <w:rPr>
          <w:noProof/>
        </w:rPr>
        <w:t xml:space="preserve"> </w:t>
      </w:r>
    </w:p>
    <w:p w:rsidR="00557911" w:rsidRDefault="00623804">
      <w:pPr>
        <w:pStyle w:val="ManualHeading1"/>
        <w:rPr>
          <w:bCs/>
          <w:noProof/>
          <w:szCs w:val="24"/>
        </w:rPr>
      </w:pPr>
      <w:bookmarkStart w:id="39" w:name="_Toc492216481"/>
      <w:r>
        <w:t>1.</w:t>
      </w:r>
      <w:r>
        <w:tab/>
      </w:r>
      <w:r>
        <w:rPr>
          <w:noProof/>
        </w:rPr>
        <w:t>RÁMEC NÁVRHU/PODNĚTU</w:t>
      </w:r>
      <w:bookmarkEnd w:id="39"/>
      <w:r>
        <w:rPr>
          <w:noProof/>
        </w:rPr>
        <w:t xml:space="preserve"> </w:t>
      </w:r>
    </w:p>
    <w:p w:rsidR="00557911" w:rsidRDefault="00623804">
      <w:pPr>
        <w:pStyle w:val="ManualHeading2"/>
        <w:rPr>
          <w:bCs/>
          <w:noProof/>
          <w:szCs w:val="24"/>
        </w:rPr>
      </w:pPr>
      <w:bookmarkStart w:id="40" w:name="_Toc492216482"/>
      <w:r>
        <w:t>1.1.</w:t>
      </w:r>
      <w:r>
        <w:tab/>
      </w:r>
      <w:r>
        <w:rPr>
          <w:noProof/>
        </w:rPr>
        <w:t>Název návrhu/podnětu</w:t>
      </w:r>
      <w:bookmarkEnd w:id="40"/>
      <w:r>
        <w:rPr>
          <w:noProof/>
        </w:rPr>
        <w:t xml:space="preserve"> </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o agentuře ENISA, „Agentu</w:t>
      </w:r>
      <w:r>
        <w:rPr>
          <w:noProof/>
        </w:rPr>
        <w:t>ře EU pro kybernetickou bezpečnost“, a zrušení nařízení (EU) č. 526/2013 a o certifikaci kybernetické bezpečnosti informačních a komunikačních technologií („akt/nařízení o kybernetické bezpečnosti“)</w:t>
      </w:r>
    </w:p>
    <w:p w:rsidR="00557911" w:rsidRDefault="00623804">
      <w:pPr>
        <w:pStyle w:val="ManualHeading2"/>
        <w:rPr>
          <w:bCs/>
          <w:noProof/>
          <w:szCs w:val="24"/>
        </w:rPr>
      </w:pPr>
      <w:bookmarkStart w:id="41" w:name="_Toc492216483"/>
      <w:r>
        <w:t>1.2.</w:t>
      </w:r>
      <w:r>
        <w:tab/>
      </w:r>
      <w:r>
        <w:rPr>
          <w:noProof/>
        </w:rPr>
        <w:t>Příslušné oblasti politik</w:t>
      </w:r>
      <w:bookmarkEnd w:id="41"/>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 xml:space="preserve">Oblast politiky: 09 – </w:t>
      </w:r>
      <w:r>
        <w:rPr>
          <w:noProof/>
        </w:rPr>
        <w:t>Komunikační sítě, obsah a technologie</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Činnost: 09.02 Jednotný digitální trh</w:t>
      </w:r>
    </w:p>
    <w:p w:rsidR="00557911" w:rsidRDefault="00623804">
      <w:pPr>
        <w:pStyle w:val="ManualHeading2"/>
        <w:rPr>
          <w:bCs/>
          <w:noProof/>
          <w:szCs w:val="24"/>
        </w:rPr>
      </w:pPr>
      <w:bookmarkStart w:id="42" w:name="_Toc492216484"/>
      <w:r>
        <w:t>1.3.</w:t>
      </w:r>
      <w:r>
        <w:tab/>
      </w:r>
      <w:r>
        <w:rPr>
          <w:noProof/>
        </w:rPr>
        <w:t>Povaha návrhu/podnětu</w:t>
      </w:r>
      <w:bookmarkEnd w:id="42"/>
      <w:r>
        <w:rPr>
          <w:noProof/>
        </w:rPr>
        <w:t xml:space="preserve"> </w:t>
      </w:r>
    </w:p>
    <w:p w:rsidR="00557911" w:rsidRDefault="00623804">
      <w:pPr>
        <w:pStyle w:val="Text1"/>
        <w:rPr>
          <w:b/>
          <w:noProof/>
        </w:rPr>
      </w:pPr>
      <w:r>
        <w:rPr>
          <w:noProof/>
        </w:rPr>
        <w:sym w:font="Wingdings" w:char="F078"/>
      </w:r>
      <w:r>
        <w:rPr>
          <w:b/>
          <w:i/>
          <w:noProof/>
        </w:rPr>
        <w:t xml:space="preserve"> </w:t>
      </w:r>
      <w:r>
        <w:rPr>
          <w:noProof/>
        </w:rPr>
        <w:t xml:space="preserve">Návrh/podnět se týká </w:t>
      </w:r>
      <w:r>
        <w:rPr>
          <w:b/>
          <w:noProof/>
        </w:rPr>
        <w:t>nové akce (Hlava III – Certifikace)</w:t>
      </w:r>
    </w:p>
    <w:p w:rsidR="00557911" w:rsidRDefault="00623804">
      <w:pPr>
        <w:pStyle w:val="Text1"/>
        <w:rPr>
          <w:noProof/>
          <w:sz w:val="22"/>
        </w:rPr>
      </w:pPr>
      <w:r>
        <w:rPr>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FootnoteReference"/>
          <w:noProof/>
        </w:rPr>
        <w:footnoteReference w:id="44"/>
      </w:r>
      <w:r>
        <w:rPr>
          <w:noProof/>
          <w:sz w:val="22"/>
        </w:rPr>
        <w:t xml:space="preserve"> </w:t>
      </w:r>
    </w:p>
    <w:p w:rsidR="00557911" w:rsidRDefault="00623804">
      <w:pPr>
        <w:pStyle w:val="Text1"/>
        <w:rPr>
          <w:b/>
          <w:noProof/>
        </w:rPr>
      </w:pPr>
      <w:r>
        <w:rPr>
          <w:noProof/>
        </w:rPr>
        <w:sym w:font="Wingdings" w:char="F078"/>
      </w:r>
      <w:r>
        <w:rPr>
          <w:noProof/>
        </w:rPr>
        <w:t>Návrh/p</w:t>
      </w:r>
      <w:r>
        <w:rPr>
          <w:noProof/>
        </w:rPr>
        <w:t xml:space="preserve">odnět se týká </w:t>
      </w:r>
      <w:r>
        <w:rPr>
          <w:b/>
          <w:noProof/>
        </w:rPr>
        <w:t>prodloužení stávající akce (Hlava II – Mandát agentury ENISA)</w:t>
      </w:r>
    </w:p>
    <w:p w:rsidR="00557911" w:rsidRDefault="00623804">
      <w:pPr>
        <w:pStyle w:val="Text1"/>
        <w:rPr>
          <w:noProof/>
        </w:rPr>
      </w:pPr>
      <w:r>
        <w:rPr>
          <w:noProof/>
        </w:rPr>
        <w:sym w:font="Wingdings" w:char="F0A8"/>
      </w:r>
      <w:r>
        <w:rPr>
          <w:i/>
          <w:noProof/>
        </w:rPr>
        <w:t xml:space="preserve"> </w:t>
      </w:r>
      <w:r>
        <w:rPr>
          <w:noProof/>
        </w:rPr>
        <w:t xml:space="preserve">Návrh/podnět se týká </w:t>
      </w:r>
      <w:r>
        <w:rPr>
          <w:b/>
          <w:noProof/>
        </w:rPr>
        <w:t>akce přesměrované na jinou akci</w:t>
      </w:r>
      <w:r>
        <w:rPr>
          <w:noProof/>
        </w:rPr>
        <w:t xml:space="preserve"> </w:t>
      </w:r>
    </w:p>
    <w:p w:rsidR="00557911" w:rsidRDefault="00623804">
      <w:pPr>
        <w:pStyle w:val="ManualHeading2"/>
        <w:rPr>
          <w:bCs/>
          <w:noProof/>
          <w:szCs w:val="24"/>
        </w:rPr>
      </w:pPr>
      <w:bookmarkStart w:id="43" w:name="_Toc492216485"/>
      <w:r>
        <w:t>1.4.</w:t>
      </w:r>
      <w:r>
        <w:tab/>
      </w:r>
      <w:r>
        <w:rPr>
          <w:noProof/>
        </w:rPr>
        <w:t>Cíle</w:t>
      </w:r>
      <w:bookmarkEnd w:id="43"/>
    </w:p>
    <w:p w:rsidR="00557911" w:rsidRDefault="00623804">
      <w:pPr>
        <w:pStyle w:val="ManualHeading3"/>
        <w:rPr>
          <w:bCs/>
          <w:noProof/>
          <w:szCs w:val="24"/>
        </w:rPr>
      </w:pPr>
      <w:bookmarkStart w:id="44" w:name="_Toc492216486"/>
      <w:r>
        <w:t>1.4.1.</w:t>
      </w:r>
      <w:r>
        <w:tab/>
      </w:r>
      <w:r>
        <w:rPr>
          <w:noProof/>
        </w:rPr>
        <w:t>Víceleté strategické cíle Komise sledované návrhem/podnětem</w:t>
      </w:r>
      <w:bookmarkEnd w:id="44"/>
      <w:r>
        <w:rPr>
          <w:noProof/>
        </w:rPr>
        <w:t xml:space="preserve"> </w:t>
      </w:r>
    </w:p>
    <w:p w:rsidR="00557911" w:rsidRDefault="00623804">
      <w:pPr>
        <w:pStyle w:val="Text1"/>
        <w:pBdr>
          <w:top w:val="single" w:sz="4" w:space="0" w:color="auto"/>
          <w:left w:val="single" w:sz="4" w:space="4" w:color="auto"/>
          <w:bottom w:val="single" w:sz="4" w:space="1" w:color="auto"/>
          <w:right w:val="single" w:sz="4" w:space="4" w:color="auto"/>
        </w:pBdr>
        <w:rPr>
          <w:noProof/>
        </w:rPr>
      </w:pPr>
      <w:r>
        <w:rPr>
          <w:noProof/>
        </w:rPr>
        <w:t xml:space="preserve">1. Zvýšení odolnosti členských států, podniků a EU jako celku </w:t>
      </w:r>
    </w:p>
    <w:p w:rsidR="00557911" w:rsidRDefault="00623804">
      <w:pPr>
        <w:pStyle w:val="Text1"/>
        <w:pBdr>
          <w:top w:val="single" w:sz="4" w:space="0" w:color="auto"/>
          <w:left w:val="single" w:sz="4" w:space="4" w:color="auto"/>
          <w:bottom w:val="single" w:sz="4" w:space="1" w:color="auto"/>
          <w:right w:val="single" w:sz="4" w:space="4" w:color="auto"/>
        </w:pBdr>
        <w:rPr>
          <w:noProof/>
        </w:rPr>
      </w:pPr>
      <w:r>
        <w:rPr>
          <w:noProof/>
        </w:rPr>
        <w:t>2. Zajištění řádného fungování vnitřního trhu EU s produkty a službami IKT</w:t>
      </w:r>
    </w:p>
    <w:p w:rsidR="00557911" w:rsidRDefault="00623804">
      <w:pPr>
        <w:pStyle w:val="Text1"/>
        <w:pBdr>
          <w:top w:val="single" w:sz="4" w:space="0" w:color="auto"/>
          <w:left w:val="single" w:sz="4" w:space="4" w:color="auto"/>
          <w:bottom w:val="single" w:sz="4" w:space="1" w:color="auto"/>
          <w:right w:val="single" w:sz="4" w:space="4" w:color="auto"/>
        </w:pBdr>
        <w:rPr>
          <w:noProof/>
        </w:rPr>
      </w:pPr>
      <w:r>
        <w:rPr>
          <w:noProof/>
        </w:rPr>
        <w:t>3. Zvýšení globální konkurenceschopnosti společností EU působících v oblasti IKT</w:t>
      </w:r>
    </w:p>
    <w:p w:rsidR="00557911" w:rsidRDefault="00623804">
      <w:pPr>
        <w:pStyle w:val="Text1"/>
        <w:pBdr>
          <w:top w:val="single" w:sz="4" w:space="0" w:color="auto"/>
          <w:left w:val="single" w:sz="4" w:space="4" w:color="auto"/>
          <w:bottom w:val="single" w:sz="4" w:space="1" w:color="auto"/>
          <w:right w:val="single" w:sz="4" w:space="4" w:color="auto"/>
        </w:pBdr>
        <w:rPr>
          <w:noProof/>
        </w:rPr>
      </w:pPr>
      <w:r>
        <w:rPr>
          <w:noProof/>
        </w:rPr>
        <w:t>4. Sbližování právních a správních př</w:t>
      </w:r>
      <w:r>
        <w:rPr>
          <w:noProof/>
        </w:rPr>
        <w:t>edpisů členských států vyžadujících kybernetickou bezpečnost</w:t>
      </w:r>
    </w:p>
    <w:p w:rsidR="00557911" w:rsidRDefault="00623804">
      <w:pPr>
        <w:pStyle w:val="ManualHeading3"/>
        <w:rPr>
          <w:noProof/>
        </w:rPr>
      </w:pPr>
      <w:bookmarkStart w:id="45" w:name="_Toc492216487"/>
      <w:r>
        <w:t>1.4.2.</w:t>
      </w:r>
      <w:r>
        <w:tab/>
      </w:r>
      <w:r>
        <w:rPr>
          <w:noProof/>
        </w:rPr>
        <w:t>Specifické cíle</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557911">
        <w:tc>
          <w:tcPr>
            <w:tcW w:w="9855" w:type="dxa"/>
          </w:tcPr>
          <w:p w:rsidR="00557911" w:rsidRDefault="00623804">
            <w:pPr>
              <w:ind w:right="-29"/>
              <w:rPr>
                <w:noProof/>
              </w:rPr>
            </w:pPr>
            <w:r>
              <w:rPr>
                <w:noProof/>
              </w:rPr>
              <w:t>S ohledem na obecné cíle a v širších souvislostech revidované strategie kybernetické bezpečnosti nástroj vymezením oblasti působnosti a mandátu agentury ENISA a zřízením e</w:t>
            </w:r>
            <w:r>
              <w:rPr>
                <w:noProof/>
              </w:rPr>
              <w:t>vropského rámce pro certifikaci produktů a služeb IKT hodlá dosáhnout těchto cílů:</w:t>
            </w:r>
          </w:p>
          <w:p w:rsidR="00557911" w:rsidRDefault="00623804">
            <w:pPr>
              <w:numPr>
                <w:ilvl w:val="0"/>
                <w:numId w:val="14"/>
              </w:numPr>
              <w:ind w:left="720" w:right="-29"/>
              <w:rPr>
                <w:noProof/>
              </w:rPr>
            </w:pPr>
            <w:r>
              <w:rPr>
                <w:noProof/>
              </w:rPr>
              <w:t xml:space="preserve">Zvýšit </w:t>
            </w:r>
            <w:r>
              <w:rPr>
                <w:b/>
                <w:noProof/>
              </w:rPr>
              <w:t>schopnosti a připravenost</w:t>
            </w:r>
            <w:r>
              <w:rPr>
                <w:noProof/>
              </w:rPr>
              <w:t xml:space="preserve"> členských států a podniků.</w:t>
            </w:r>
          </w:p>
          <w:p w:rsidR="00557911" w:rsidRDefault="00623804">
            <w:pPr>
              <w:numPr>
                <w:ilvl w:val="0"/>
                <w:numId w:val="14"/>
              </w:numPr>
              <w:ind w:left="720" w:right="-29"/>
              <w:rPr>
                <w:noProof/>
              </w:rPr>
            </w:pPr>
            <w:r>
              <w:rPr>
                <w:noProof/>
              </w:rPr>
              <w:t xml:space="preserve">Zlepšit </w:t>
            </w:r>
            <w:r>
              <w:rPr>
                <w:b/>
                <w:noProof/>
              </w:rPr>
              <w:t>spolupráci a koordinaci</w:t>
            </w:r>
            <w:r>
              <w:rPr>
                <w:noProof/>
              </w:rPr>
              <w:t xml:space="preserve"> napříč členskými státy a orgány, agenturami a institucemi EU.</w:t>
            </w:r>
          </w:p>
          <w:p w:rsidR="00557911" w:rsidRDefault="00623804">
            <w:pPr>
              <w:numPr>
                <w:ilvl w:val="0"/>
                <w:numId w:val="14"/>
              </w:numPr>
              <w:ind w:left="720" w:right="-29"/>
              <w:rPr>
                <w:noProof/>
              </w:rPr>
            </w:pPr>
            <w:r>
              <w:rPr>
                <w:noProof/>
              </w:rPr>
              <w:t xml:space="preserve">Zvýšit </w:t>
            </w:r>
            <w:r>
              <w:rPr>
                <w:b/>
                <w:noProof/>
              </w:rPr>
              <w:t>schopnost na</w:t>
            </w:r>
            <w:r>
              <w:rPr>
                <w:b/>
                <w:noProof/>
              </w:rPr>
              <w:t xml:space="preserve"> úrovni EU doplňovat opatření členských států</w:t>
            </w:r>
            <w:r>
              <w:rPr>
                <w:noProof/>
              </w:rPr>
              <w:t>, zejména v případě přeshraničních kybernetických krizí.</w:t>
            </w:r>
          </w:p>
          <w:p w:rsidR="00557911" w:rsidRDefault="00623804">
            <w:pPr>
              <w:numPr>
                <w:ilvl w:val="0"/>
                <w:numId w:val="14"/>
              </w:numPr>
              <w:ind w:left="720" w:right="-29"/>
              <w:rPr>
                <w:noProof/>
              </w:rPr>
            </w:pPr>
            <w:r>
              <w:rPr>
                <w:noProof/>
              </w:rPr>
              <w:t xml:space="preserve">Zvýšit </w:t>
            </w:r>
            <w:r>
              <w:rPr>
                <w:b/>
                <w:noProof/>
              </w:rPr>
              <w:t xml:space="preserve">informovanost </w:t>
            </w:r>
            <w:r>
              <w:rPr>
                <w:noProof/>
              </w:rPr>
              <w:t xml:space="preserve">občanů a podniků o otázkách týkajících se kybernetické bezpečnosti. </w:t>
            </w:r>
          </w:p>
          <w:p w:rsidR="00557911" w:rsidRDefault="00623804">
            <w:pPr>
              <w:numPr>
                <w:ilvl w:val="0"/>
                <w:numId w:val="14"/>
              </w:numPr>
              <w:ind w:left="720" w:right="-29"/>
              <w:rPr>
                <w:noProof/>
              </w:rPr>
            </w:pPr>
            <w:r>
              <w:rPr>
                <w:noProof/>
              </w:rPr>
              <w:t>Posílit důvěru v jednotný digitální trh a digitální inovace zvýš</w:t>
            </w:r>
            <w:r>
              <w:rPr>
                <w:noProof/>
              </w:rPr>
              <w:t xml:space="preserve">ením celkové </w:t>
            </w:r>
            <w:r>
              <w:rPr>
                <w:b/>
                <w:noProof/>
              </w:rPr>
              <w:t>transparentnosti záruky kybernetické bezpečnosti</w:t>
            </w:r>
            <w:r>
              <w:rPr>
                <w:rStyle w:val="FootnoteReference"/>
                <w:noProof/>
              </w:rPr>
              <w:footnoteReference w:id="45"/>
            </w:r>
            <w:r>
              <w:rPr>
                <w:noProof/>
              </w:rPr>
              <w:t xml:space="preserve"> produktů a služeb IKT.</w:t>
            </w:r>
          </w:p>
        </w:tc>
      </w:tr>
    </w:tbl>
    <w:p w:rsidR="00557911" w:rsidRDefault="00623804">
      <w:pPr>
        <w:pStyle w:val="Text1"/>
        <w:pBdr>
          <w:top w:val="single" w:sz="4" w:space="1" w:color="auto"/>
          <w:left w:val="single" w:sz="4" w:space="4" w:color="auto"/>
          <w:bottom w:val="single" w:sz="4" w:space="1" w:color="auto"/>
          <w:right w:val="single" w:sz="4" w:space="4" w:color="auto"/>
        </w:pBdr>
        <w:rPr>
          <w:b/>
          <w:noProof/>
        </w:rPr>
      </w:pPr>
      <w:r>
        <w:rPr>
          <w:b/>
          <w:noProof/>
        </w:rPr>
        <w:t xml:space="preserve">Agentura ENISA přispěje k dosažení výše uvedených cílů: </w:t>
      </w:r>
    </w:p>
    <w:p w:rsidR="00557911" w:rsidRDefault="00623804">
      <w:pPr>
        <w:pStyle w:val="Text1"/>
        <w:pBdr>
          <w:top w:val="single" w:sz="4" w:space="1" w:color="auto"/>
          <w:left w:val="single" w:sz="4" w:space="4" w:color="auto"/>
          <w:bottom w:val="single" w:sz="4" w:space="1" w:color="auto"/>
          <w:right w:val="single" w:sz="4" w:space="1" w:color="auto"/>
        </w:pBdr>
        <w:rPr>
          <w:noProof/>
        </w:rPr>
      </w:pPr>
      <w:r>
        <w:rPr>
          <w:b/>
          <w:noProof/>
        </w:rPr>
        <w:t>Větší podporou tvorby politik</w:t>
      </w:r>
      <w:r>
        <w:rPr>
          <w:noProof/>
        </w:rPr>
        <w:t xml:space="preserve"> – poskytování pokynů a poradenství Komisi a členským státům za účelem aktualizace a rozvoje uceleného právního rámce v oblasti kybernetické bezpečnosti, jakož i odvětvových politik a iniciativ v oblasti právních předpisů zahrnujících otázky kybernetické b</w:t>
      </w:r>
      <w:r>
        <w:rPr>
          <w:noProof/>
        </w:rPr>
        <w:t>ezpečnosti; přispívání k činnosti skupiny pro spolupráci (článek 11 směrnice (EU) 2016/1148) poskytováním odborných poznatků a pomoci; podpora rozvoje a provádění politik v oblasti elektronické totožnosti a služeb vytvářejících důvěru; prosazování výměny o</w:t>
      </w:r>
      <w:r>
        <w:rPr>
          <w:noProof/>
        </w:rPr>
        <w:t xml:space="preserve">svědčených postupů mezi příslušnými orgány.  </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Větší podporou budování kapacit</w:t>
      </w:r>
      <w:r>
        <w:rPr>
          <w:noProof/>
        </w:rPr>
        <w:t xml:space="preserve"> – poskytování podpory členským státům a orgánům, institucím a jiným subjektům Unie za účelem rozvoje a zdokonalování prevence, odhalování a analýzy kybernetických bezpečnostních </w:t>
      </w:r>
      <w:r>
        <w:rPr>
          <w:noProof/>
        </w:rPr>
        <w:t>problémů a incidentů a schopnosti reagovat na ně; pomoc členským státům na jejich žádost při tvorbě vnitrostátních týmů CSIRT a národních strategií kybernetické bezpečnosti; pomoc orgánům Unie při vypracovávání a přezkumu strategií Unie týkajících se kyber</w:t>
      </w:r>
      <w:r>
        <w:rPr>
          <w:noProof/>
        </w:rPr>
        <w:t>netické bezpečnosti; zajišťování školení týkajících se kybernetické bezpečnosti; pomoc členským státům při výměně osvědčených postupů prostřednictvím skupiny pro spolupráci; usnadňování vytváření odvětvových středisek pro sdílení a analýzu informací (ISAC)</w:t>
      </w:r>
      <w:r>
        <w:rPr>
          <w:noProof/>
        </w:rPr>
        <w:t xml:space="preserve">. </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Podporou operativní spolupráce a řešení krizí</w:t>
      </w:r>
      <w:r>
        <w:rPr>
          <w:noProof/>
        </w:rPr>
        <w:t xml:space="preserve"> – podpora spolupráce mezi příslušnými veřejnými orgány a mezi zúčastněnými stranami zaváděním systematické spolupráce s orgány, institucemi a jinými subjekty Unie zabývajícími se kybernetickou bezpečností, k</w:t>
      </w:r>
      <w:r>
        <w:rPr>
          <w:noProof/>
        </w:rPr>
        <w:t>yberkriminalitou a ochranou soukromí a osobních údajů; zajišťování služeb sekretariátu pro síť CSIRT (čl. 12 odst. 2 směrnice (EU) 2016/1148), jakož i přispívání k operativní spolupráci v rámci sítě poskytováním podpory ve spolupráci s týmem CERT-EU člensk</w:t>
      </w:r>
      <w:r>
        <w:rPr>
          <w:noProof/>
        </w:rPr>
        <w:t xml:space="preserve">ým státům na jejich žádost; organizování pravidelných cvičení v oblasti kybernetické bezpečnosti; přispívání k vytváření společné reakce na rozsáhlé přeshraniční kybernetické bezpečnostní incidenty a krize; provádění technických šetření </w:t>
      </w:r>
      <w:r>
        <w:rPr>
          <w:i/>
          <w:noProof/>
        </w:rPr>
        <w:t>ex post</w:t>
      </w:r>
      <w:r>
        <w:rPr>
          <w:noProof/>
        </w:rPr>
        <w:t xml:space="preserve"> ve spoluprá</w:t>
      </w:r>
      <w:r>
        <w:rPr>
          <w:noProof/>
        </w:rPr>
        <w:t xml:space="preserve">ci se sítí CSIRT, která se týkají významných incidentů, a vydávání navazujících doporučení. </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Úkoly souvisejícími s trhem (normalizace, certifikace)</w:t>
      </w:r>
      <w:r>
        <w:rPr>
          <w:noProof/>
        </w:rPr>
        <w:t xml:space="preserve"> – vykonávání řady funkcí konkrétně podporujících vnitřní trh: „středisko pro sledování trhu“ kybernetické be</w:t>
      </w:r>
      <w:r>
        <w:rPr>
          <w:noProof/>
        </w:rPr>
        <w:t>zpečnosti, analyzování příslušných trendů na trhu kybernetické bezpečnosti za účelem lepšího sladění poptávky a nabídky; podpora a prosazování rozvoje a provádění politiky Unie v oblasti certifikace kybernetické bezpečnosti produktů a služeb IKT vypracováv</w:t>
      </w:r>
      <w:r>
        <w:rPr>
          <w:noProof/>
        </w:rPr>
        <w:t>áním návrhů evropských systémů certifikace kybernetické bezpečnosti produktů a služeb IKT, zajišťování služeb sekretariátu unijní skupině pro certifikaci kybernetické bezpečnosti, poskytování pokynů a osvědčených postupů týkajících se bezpečnostních požada</w:t>
      </w:r>
      <w:r>
        <w:rPr>
          <w:noProof/>
        </w:rPr>
        <w:t xml:space="preserve">vků na produkty a služby IKT ve spolupráci s vnitrostátními orgány dozoru nad certifikací a odvětvím. </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 xml:space="preserve">Větší podporou znalostí, informací a zvyšování informovanosti </w:t>
      </w:r>
      <w:r>
        <w:rPr>
          <w:noProof/>
        </w:rPr>
        <w:t>– poskytování pomoci a poradenství Komisi a členským státům za účelem dosažení vysoké úrovn</w:t>
      </w:r>
      <w:r>
        <w:rPr>
          <w:noProof/>
        </w:rPr>
        <w:t>ě znalostí v celé Unii o otázkách týkajících se bezpečnosti sítí a informací a jejich uplatňování na zúčastněné strany z odvětví. To předpokládá rovněž shromažďování a uspořádávání  informací o bezpečnosti sítí a informačních systémů [nebo o kybernetické b</w:t>
      </w:r>
      <w:r>
        <w:rPr>
          <w:noProof/>
        </w:rPr>
        <w:t>ezpečnosti] a jejich zpřístupňování veřejnosti prostřednictvím specializovaného portálu. Dalším důležitým prvkem jsou činnosti na zvyšování informovanosti a informační kampaně o rizicích kybernetické bezpečnosti zaměřené na širokou veřejnost.</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Větší podporo</w:t>
      </w:r>
      <w:r>
        <w:rPr>
          <w:b/>
          <w:noProof/>
        </w:rPr>
        <w:t>u</w:t>
      </w:r>
      <w:r>
        <w:rPr>
          <w:noProof/>
        </w:rPr>
        <w:t xml:space="preserve"> </w:t>
      </w:r>
      <w:r>
        <w:rPr>
          <w:b/>
          <w:noProof/>
        </w:rPr>
        <w:t>výzkumu a inovací</w:t>
      </w:r>
      <w:r>
        <w:rPr>
          <w:noProof/>
        </w:rPr>
        <w:t xml:space="preserve"> – poskytování poradenství ohledně potřeb výzkumu a stanovování priorit v oblasti kybernetické bezpečnosti. </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Podporou mezinárodní spolupráce</w:t>
      </w:r>
      <w:r>
        <w:rPr>
          <w:noProof/>
        </w:rPr>
        <w:t xml:space="preserve"> – podpora úsilí Unie zaměřeného na spolupráci s třetími zeměmi a s mezinárodními organizacemi v </w:t>
      </w:r>
      <w:r>
        <w:rPr>
          <w:noProof/>
        </w:rPr>
        <w:t>zájmu prosazení mezinárodní spolupráce v oblasti kybernetické bezpečnosti.</w:t>
      </w:r>
    </w:p>
    <w:p w:rsidR="00557911" w:rsidRDefault="00623804">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CERTIFIKACE</w:t>
      </w:r>
    </w:p>
    <w:p w:rsidR="00557911" w:rsidRDefault="00623804">
      <w:pPr>
        <w:pStyle w:val="Text1"/>
        <w:pBdr>
          <w:top w:val="single" w:sz="4" w:space="1" w:color="auto"/>
          <w:left w:val="single" w:sz="4" w:space="1" w:color="auto"/>
          <w:bottom w:val="single" w:sz="4" w:space="1" w:color="auto"/>
          <w:right w:val="single" w:sz="4" w:space="1" w:color="auto"/>
        </w:pBdr>
        <w:rPr>
          <w:noProof/>
        </w:rPr>
      </w:pPr>
      <w:r>
        <w:rPr>
          <w:b/>
          <w:noProof/>
        </w:rPr>
        <w:t xml:space="preserve">Rámec pro certifikaci přispěje k dosažení cílů tím, že </w:t>
      </w:r>
      <w:r>
        <w:rPr>
          <w:noProof/>
        </w:rPr>
        <w:t>zvýší celkovou transparentnost záruky kybernetické bezpečnosti</w:t>
      </w:r>
      <w:r>
        <w:rPr>
          <w:rStyle w:val="FootnoteReference"/>
          <w:noProof/>
        </w:rPr>
        <w:footnoteReference w:id="46"/>
      </w:r>
      <w:r>
        <w:rPr>
          <w:noProof/>
        </w:rPr>
        <w:t xml:space="preserve"> produktů a služeb IKT, čímž dojde k posílení důvěr</w:t>
      </w:r>
      <w:r>
        <w:rPr>
          <w:noProof/>
        </w:rPr>
        <w:t>y v jednotný digitální trh a digitální inovace. Rovněž by měl pomoci zabránit roztříštěnosti systémů certifikace v EU a souvisejících bezpečnostních požadavků a hodnoticích kritérií v různých členských státech a odvětvích.</w:t>
      </w:r>
    </w:p>
    <w:p w:rsidR="00557911" w:rsidRDefault="00557911">
      <w:pPr>
        <w:rPr>
          <w:bCs/>
          <w:noProof/>
          <w:szCs w:val="24"/>
        </w:rPr>
      </w:pPr>
    </w:p>
    <w:p w:rsidR="00557911" w:rsidRDefault="00623804">
      <w:pPr>
        <w:pStyle w:val="ManualHeading3"/>
        <w:rPr>
          <w:bCs/>
          <w:noProof/>
          <w:szCs w:val="24"/>
        </w:rPr>
      </w:pPr>
      <w:bookmarkStart w:id="46" w:name="_Toc492216488"/>
      <w:r>
        <w:t>1.4.3.</w:t>
      </w:r>
      <w:r>
        <w:tab/>
      </w:r>
      <w:r>
        <w:rPr>
          <w:noProof/>
        </w:rPr>
        <w:t>Očekávané výsledky a dopa</w:t>
      </w:r>
      <w:r>
        <w:rPr>
          <w:noProof/>
        </w:rPr>
        <w:t>dy</w:t>
      </w:r>
      <w:bookmarkEnd w:id="46"/>
    </w:p>
    <w:p w:rsidR="00557911" w:rsidRDefault="00623804">
      <w:pPr>
        <w:pStyle w:val="Text1"/>
        <w:rPr>
          <w:i/>
          <w:noProof/>
          <w:sz w:val="20"/>
        </w:rPr>
      </w:pPr>
      <w:r>
        <w:rPr>
          <w:i/>
          <w:noProof/>
          <w:sz w:val="20"/>
        </w:rPr>
        <w:t>Upřesněte účinky, které by návrh/podnět měl mít na příjemce / cílové skupiny.</w:t>
      </w:r>
    </w:p>
    <w:p w:rsidR="00557911" w:rsidRDefault="00557911">
      <w:pPr>
        <w:pStyle w:val="Text1"/>
        <w:rPr>
          <w:i/>
          <w:noProof/>
          <w:sz w:val="20"/>
        </w:rPr>
      </w:pP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Očekává se, že posílená agentura ENISA (podporující schopnosti, prevenci, spolupráci a informovanost na úrovni EU, a tedy navržená za účelem zvýšení celkové kybernetické </w:t>
      </w:r>
      <w:r>
        <w:rPr>
          <w:noProof/>
        </w:rPr>
        <w:t>odolnosti EU), jakož i podpora rámce EU pro certifikaci produktů a služeb IKT budou mít tyto dopady (neúplný seznam):</w:t>
      </w:r>
    </w:p>
    <w:p w:rsidR="00557911" w:rsidRDefault="00623804">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Celkový dopad: </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Celkový pozitivní dopad na vnitřní trh díky snížené roztříštěnosti trhu a budování důvěry v digitální technologie prostř</w:t>
      </w:r>
      <w:r>
        <w:rPr>
          <w:noProof/>
        </w:rPr>
        <w:t>ednictvím lepší spolupráce, harmonizovanějších přístupů k politikám EU v oblasti kybernetické bezpečnosti a zvýšeným schopnostem na úrovni EU. To by mělo vést k pozitivnímu hospodářskému dopadu, jelikož to pomůže snížit náklady na kybernetické bezpečnostní</w:t>
      </w:r>
      <w:r>
        <w:rPr>
          <w:noProof/>
        </w:rPr>
        <w:t xml:space="preserve"> incidenty / incidenty kyberkriminality, jejichž odhadovaný hospodářský dopad v Unii činí 0,41 % HDP EU (tj. přibližně 55 miliard EUR).</w:t>
      </w:r>
    </w:p>
    <w:p w:rsidR="00557911" w:rsidRDefault="00623804">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Konkrétní výsledky: </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Zvýšené schopnosti a připravenost členských států a podniků v oblasti kybernetické bezpečnosti </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Z</w:t>
      </w:r>
      <w:r>
        <w:rPr>
          <w:noProof/>
        </w:rPr>
        <w:t>výšené schopnosti a připravenost členských států v oblasti kybernetické bezpečnosti (díky dlouhodobé strategické analýze kybernetických hrozeb a incidentů, pokynům a zprávám, zprostředkování odborných poznatků a osvědčených postupů, dostupnosti školení a š</w:t>
      </w:r>
      <w:r>
        <w:rPr>
          <w:noProof/>
        </w:rPr>
        <w:t>kolicích materiálů a posíleným cvičením CyberEurope).</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Zlepšené schopnosti soukromých subjektů díky podpoře zřizování středisek pro sdílení a analýzu informací (ISAC) v různých odvětvích. </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Větší připravenost EU a členských států v oblasti kybernetické bezpečnosti díky dostupnosti nacvičených a dohodnutých plánů pro případ rozsáhlého přeshraničního kybernetického bezpečnostního incidentu, které byly otestovány v rámci cvičení CyberEurope. </w:t>
      </w:r>
    </w:p>
    <w:p w:rsidR="00557911" w:rsidRDefault="00623804">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Zlepšená spolupráce a koordinace napříč členskými státy a orgány, institucemi a jinými subjekty EU: </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Zlepšená spolupráce v rámci veřejného a soukromého sektoru i mezi veřejným a soukromým sektorem.</w:t>
      </w:r>
    </w:p>
    <w:p w:rsidR="00557911" w:rsidRDefault="00623804">
      <w:pPr>
        <w:pStyle w:val="Text1"/>
        <w:pBdr>
          <w:top w:val="single" w:sz="4" w:space="0" w:color="auto"/>
          <w:left w:val="single" w:sz="4" w:space="4" w:color="auto"/>
          <w:bottom w:val="single" w:sz="4" w:space="1" w:color="auto"/>
          <w:right w:val="single" w:sz="4" w:space="4" w:color="auto"/>
        </w:pBdr>
        <w:rPr>
          <w:noProof/>
          <w:szCs w:val="24"/>
        </w:rPr>
      </w:pPr>
      <w:r>
        <w:rPr>
          <w:noProof/>
        </w:rPr>
        <w:t>– Větší jednotnost přístupu k provádění směrnice o bezpe</w:t>
      </w:r>
      <w:r>
        <w:rPr>
          <w:noProof/>
        </w:rPr>
        <w:t>čnosti sítí a informací v přeshraničním rozměru a v různých odvětvích.</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Zlepšená spolupráce v oblasti certifikace díky institucionálnímu rámci umožňujícímu vypracování evropských systémů certifikace kybernetické bezpečnosti a tvorbu společné politiky v té</w:t>
      </w:r>
      <w:r>
        <w:rPr>
          <w:noProof/>
        </w:rPr>
        <w:t>to oblasti.</w:t>
      </w:r>
    </w:p>
    <w:p w:rsidR="00557911" w:rsidRDefault="00623804">
      <w:pPr>
        <w:pStyle w:val="Text1"/>
        <w:pBdr>
          <w:top w:val="single" w:sz="4" w:space="0" w:color="auto"/>
          <w:left w:val="single" w:sz="4" w:space="0" w:color="auto"/>
          <w:bottom w:val="single" w:sz="4" w:space="1" w:color="auto"/>
          <w:right w:val="single" w:sz="4" w:space="4" w:color="auto"/>
        </w:pBdr>
        <w:rPr>
          <w:b/>
          <w:i/>
          <w:noProof/>
          <w:szCs w:val="24"/>
        </w:rPr>
      </w:pPr>
      <w:r>
        <w:rPr>
          <w:b/>
          <w:i/>
          <w:noProof/>
        </w:rPr>
        <w:t>Zvýšená schopnost na úrovni EU doplňovat opatření členských států</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Větší „operativní kapacita EU“ doplňovat opatření členských států a na jejich žádost je podporovat ve vztahu k omezeným a předem identifikovaným službám. Očekává se, že to bude</w:t>
      </w:r>
      <w:r>
        <w:rPr>
          <w:noProof/>
        </w:rPr>
        <w:t xml:space="preserve"> mít pozitivní dopad na úspěšnou prevenci a odhalování incidentů a reakce na ně jak na úrovni členských států, tak na úrovni Unie. </w:t>
      </w:r>
    </w:p>
    <w:p w:rsidR="00557911" w:rsidRDefault="00623804">
      <w:pPr>
        <w:pStyle w:val="Text1"/>
        <w:pBdr>
          <w:top w:val="single" w:sz="4" w:space="0" w:color="auto"/>
          <w:left w:val="single" w:sz="4" w:space="0" w:color="auto"/>
          <w:bottom w:val="single" w:sz="4" w:space="1" w:color="auto"/>
          <w:right w:val="single" w:sz="4" w:space="4" w:color="auto"/>
        </w:pBdr>
        <w:rPr>
          <w:b/>
          <w:i/>
          <w:noProof/>
          <w:szCs w:val="24"/>
        </w:rPr>
      </w:pPr>
      <w:r>
        <w:rPr>
          <w:b/>
          <w:i/>
          <w:noProof/>
        </w:rPr>
        <w:t>Zvýšená informovanost občanů a podniků o otázkách týkajících se kybernetické bezpečnosti</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Zvýšená obecná informovanost obč</w:t>
      </w:r>
      <w:r>
        <w:rPr>
          <w:noProof/>
        </w:rPr>
        <w:t xml:space="preserve">anů a podniků o otázkách týkajících se kybernetické bezpečnosti. </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Větší schopnost přijímat informovaná rozhodnutí ohledně nákupu produktů a služeb IKT díky certifikaci kybernetické bezpečnosti.</w:t>
      </w:r>
    </w:p>
    <w:p w:rsidR="00557911" w:rsidRDefault="00623804">
      <w:pPr>
        <w:pStyle w:val="Text1"/>
        <w:pBdr>
          <w:top w:val="single" w:sz="4" w:space="0" w:color="auto"/>
          <w:left w:val="single" w:sz="4" w:space="0" w:color="auto"/>
          <w:bottom w:val="single" w:sz="4" w:space="1" w:color="auto"/>
          <w:right w:val="single" w:sz="4" w:space="4" w:color="auto"/>
        </w:pBdr>
        <w:rPr>
          <w:b/>
          <w:i/>
          <w:noProof/>
          <w:szCs w:val="24"/>
        </w:rPr>
      </w:pPr>
      <w:r>
        <w:rPr>
          <w:b/>
          <w:i/>
          <w:noProof/>
        </w:rPr>
        <w:t>Posílená důvěra v jednotný digitální trh a digitální inovac</w:t>
      </w:r>
      <w:r>
        <w:rPr>
          <w:b/>
          <w:i/>
          <w:noProof/>
        </w:rPr>
        <w:t xml:space="preserve">e prostřednictvím větší transparentnosti záruky kybernetické bezpečnosti produktů a služeb IKT </w:t>
      </w:r>
    </w:p>
    <w:p w:rsidR="00557911" w:rsidRDefault="00623804">
      <w:pPr>
        <w:pStyle w:val="Text1"/>
        <w:pBdr>
          <w:top w:val="single" w:sz="4" w:space="0" w:color="auto"/>
          <w:left w:val="single" w:sz="4" w:space="0" w:color="auto"/>
          <w:bottom w:val="single" w:sz="4" w:space="1" w:color="auto"/>
          <w:right w:val="single" w:sz="4" w:space="4" w:color="auto"/>
        </w:pBdr>
        <w:rPr>
          <w:b/>
          <w:i/>
          <w:noProof/>
          <w:szCs w:val="24"/>
        </w:rPr>
      </w:pPr>
      <w:r>
        <w:rPr>
          <w:noProof/>
        </w:rPr>
        <w:t>– Větší transparentnost záruky kybernetické bezpečnosti</w:t>
      </w:r>
      <w:r>
        <w:rPr>
          <w:rStyle w:val="FootnoteReference"/>
          <w:noProof/>
        </w:rPr>
        <w:footnoteReference w:id="47"/>
      </w:r>
      <w:r>
        <w:rPr>
          <w:noProof/>
        </w:rPr>
        <w:t xml:space="preserve"> produktů a služeb IKT díky zjednodušení postupů pro bezpečnostní certifikaci prostřednictvím celounijní</w:t>
      </w:r>
      <w:r>
        <w:rPr>
          <w:noProof/>
        </w:rPr>
        <w:t xml:space="preserve">ho rámce. </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Vyšší úroveň záruky bezpečnostních vlastností produktů a služeb IKT. </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Větší zavádění bezpečnostní certifikace díky zjednodušeným postupům, nižším nákladům a předpokladu, že celounijní podnikatelské příležitosti nebudou omezovány roztříštěnos</w:t>
      </w:r>
      <w:r>
        <w:rPr>
          <w:noProof/>
        </w:rPr>
        <w:t>tí trhu.</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Větší konkurenceschopnost na unijním trhu kybernetické bezpečnosti v důsledku snížení nákladů a administrativní zátěže pro malé a střední podniky a odstranění potenciálních překážek vstupu na trh způsobených velkým počtem vnitrostátních systémů certifika</w:t>
      </w:r>
      <w:r>
        <w:rPr>
          <w:noProof/>
        </w:rPr>
        <w:t xml:space="preserve">ce. </w:t>
      </w:r>
    </w:p>
    <w:p w:rsidR="00557911" w:rsidRDefault="00623804">
      <w:pPr>
        <w:pStyle w:val="Text1"/>
        <w:pBdr>
          <w:top w:val="single" w:sz="4" w:space="0" w:color="auto"/>
          <w:left w:val="single" w:sz="4" w:space="0" w:color="auto"/>
          <w:bottom w:val="single" w:sz="4" w:space="1" w:color="auto"/>
          <w:right w:val="single" w:sz="4" w:space="4" w:color="auto"/>
        </w:pBdr>
        <w:rPr>
          <w:b/>
          <w:i/>
          <w:noProof/>
          <w:szCs w:val="24"/>
        </w:rPr>
      </w:pPr>
      <w:r>
        <w:rPr>
          <w:b/>
          <w:i/>
          <w:noProof/>
        </w:rPr>
        <w:t>Ostatní</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U žádného z cílů se neočekává významný dopad na životní prostředí.</w:t>
      </w:r>
    </w:p>
    <w:p w:rsidR="00557911" w:rsidRDefault="00623804">
      <w:pPr>
        <w:pStyle w:val="Text1"/>
        <w:pBdr>
          <w:top w:val="single" w:sz="4" w:space="0" w:color="auto"/>
          <w:left w:val="single" w:sz="4" w:space="0" w:color="auto"/>
          <w:bottom w:val="single" w:sz="4" w:space="1" w:color="auto"/>
          <w:right w:val="single" w:sz="4" w:space="4" w:color="auto"/>
        </w:pBdr>
        <w:rPr>
          <w:noProof/>
          <w:szCs w:val="24"/>
        </w:rPr>
      </w:pPr>
      <w:r>
        <w:rPr>
          <w:noProof/>
        </w:rPr>
        <w:t>– Pokud jde o rozpočet EU, lze očekávat úspory z důvodu větší efektivity v důsledku zvýšené spolupráce a koordinace činností mezi orgány, institucemi a jinými subjekty EU.</w:t>
      </w:r>
    </w:p>
    <w:p w:rsidR="00557911" w:rsidRDefault="00557911">
      <w:pPr>
        <w:pStyle w:val="Text1"/>
        <w:pBdr>
          <w:top w:val="single" w:sz="4" w:space="0" w:color="auto"/>
          <w:left w:val="single" w:sz="4" w:space="0" w:color="auto"/>
          <w:bottom w:val="single" w:sz="4" w:space="1" w:color="auto"/>
          <w:right w:val="single" w:sz="4" w:space="4" w:color="auto"/>
        </w:pBdr>
        <w:rPr>
          <w:noProof/>
          <w:szCs w:val="24"/>
        </w:rPr>
      </w:pPr>
    </w:p>
    <w:p w:rsidR="00557911" w:rsidRDefault="00557911">
      <w:pPr>
        <w:spacing w:after="0"/>
        <w:rPr>
          <w:noProof/>
          <w:sz w:val="22"/>
        </w:rPr>
      </w:pPr>
    </w:p>
    <w:p w:rsidR="00557911" w:rsidRDefault="00623804">
      <w:pPr>
        <w:pStyle w:val="ManualHeading3"/>
        <w:rPr>
          <w:bCs/>
          <w:noProof/>
          <w:szCs w:val="24"/>
        </w:rPr>
      </w:pPr>
      <w:bookmarkStart w:id="47" w:name="_Toc492216489"/>
      <w:r>
        <w:t>1.4.4.</w:t>
      </w:r>
      <w:r>
        <w:tab/>
      </w:r>
      <w:r>
        <w:rPr>
          <w:noProof/>
        </w:rPr>
        <w:t>Ukazatele výsledků a dopadů</w:t>
      </w:r>
      <w:bookmarkEnd w:id="47"/>
      <w:r>
        <w:rPr>
          <w:noProof/>
        </w:rPr>
        <w:t xml:space="preserve"> </w:t>
      </w:r>
    </w:p>
    <w:p w:rsidR="00557911" w:rsidRDefault="00623804">
      <w:pPr>
        <w:pStyle w:val="Text1"/>
        <w:rPr>
          <w:i/>
          <w:noProof/>
          <w:sz w:val="20"/>
        </w:rPr>
      </w:pPr>
      <w:r>
        <w:rPr>
          <w:i/>
          <w:noProof/>
          <w:sz w:val="20"/>
        </w:rPr>
        <w:t>Upřesněte ukazatele, podle kterých je možno uskutečňování návrhu/podnětu sledovat.</w:t>
      </w:r>
    </w:p>
    <w:p w:rsidR="00557911" w:rsidRDefault="00623804">
      <w:pPr>
        <w:pStyle w:val="Point1"/>
        <w:ind w:left="0" w:firstLine="720"/>
        <w:rPr>
          <w:noProof/>
        </w:rPr>
      </w:pPr>
      <w:r>
        <w:rPr>
          <w:noProof/>
        </w:rPr>
        <w:t>a)</w:t>
      </w:r>
    </w:p>
    <w:tbl>
      <w:tblPr>
        <w:tblStyle w:val="TableGrid"/>
        <w:tblW w:w="0" w:type="auto"/>
        <w:tblInd w:w="959" w:type="dxa"/>
        <w:tblLook w:val="04A0" w:firstRow="1" w:lastRow="0" w:firstColumn="1" w:lastColumn="0" w:noHBand="0" w:noVBand="1"/>
      </w:tblPr>
      <w:tblGrid>
        <w:gridCol w:w="8896"/>
      </w:tblGrid>
      <w:tr w:rsidR="00557911">
        <w:tc>
          <w:tcPr>
            <w:tcW w:w="8896" w:type="dxa"/>
          </w:tcPr>
          <w:p w:rsidR="00557911" w:rsidRDefault="00623804">
            <w:pPr>
              <w:ind w:right="-29"/>
              <w:rPr>
                <w:b/>
                <w:noProof/>
              </w:rPr>
            </w:pPr>
            <w:r>
              <w:rPr>
                <w:b/>
                <w:noProof/>
              </w:rPr>
              <w:t>Cíl: Zvýšení schopností a připravenosti členských států a podniků:</w:t>
            </w:r>
          </w:p>
          <w:p w:rsidR="00557911" w:rsidRDefault="00623804">
            <w:pPr>
              <w:numPr>
                <w:ilvl w:val="0"/>
                <w:numId w:val="17"/>
              </w:numPr>
              <w:autoSpaceDE w:val="0"/>
              <w:autoSpaceDN w:val="0"/>
              <w:adjustRightInd w:val="0"/>
              <w:spacing w:after="0"/>
              <w:rPr>
                <w:noProof/>
                <w:szCs w:val="20"/>
              </w:rPr>
            </w:pPr>
            <w:r>
              <w:rPr>
                <w:noProof/>
              </w:rPr>
              <w:t>Počet školení organizovaných agenturou ENISA</w:t>
            </w:r>
          </w:p>
          <w:p w:rsidR="00557911" w:rsidRDefault="00623804">
            <w:pPr>
              <w:numPr>
                <w:ilvl w:val="0"/>
                <w:numId w:val="17"/>
              </w:numPr>
              <w:autoSpaceDE w:val="0"/>
              <w:autoSpaceDN w:val="0"/>
              <w:adjustRightInd w:val="0"/>
              <w:spacing w:after="0"/>
              <w:rPr>
                <w:noProof/>
                <w:szCs w:val="20"/>
              </w:rPr>
            </w:pPr>
            <w:r>
              <w:rPr>
                <w:noProof/>
              </w:rPr>
              <w:t xml:space="preserve">Zeměpisné pokrytí </w:t>
            </w:r>
            <w:r>
              <w:rPr>
                <w:noProof/>
              </w:rPr>
              <w:t>(počet zemí a oblastí) přímé pomoci poskytované agenturou ENISA</w:t>
            </w:r>
          </w:p>
          <w:p w:rsidR="00557911" w:rsidRDefault="00623804">
            <w:pPr>
              <w:numPr>
                <w:ilvl w:val="0"/>
                <w:numId w:val="17"/>
              </w:numPr>
              <w:spacing w:after="0"/>
              <w:ind w:right="-29"/>
              <w:rPr>
                <w:noProof/>
                <w:szCs w:val="20"/>
              </w:rPr>
            </w:pPr>
            <w:r>
              <w:rPr>
                <w:noProof/>
              </w:rPr>
              <w:t>Úroveň připravenosti dosažená členskými státy z hlediska vyzrálosti týmů CSIRT a dohledu nad regulačními opatřeními souvisejícími s kybernetickou bezpečností</w:t>
            </w:r>
          </w:p>
          <w:p w:rsidR="00557911" w:rsidRDefault="00623804">
            <w:pPr>
              <w:numPr>
                <w:ilvl w:val="0"/>
                <w:numId w:val="17"/>
              </w:numPr>
              <w:spacing w:after="0"/>
              <w:ind w:right="-29"/>
              <w:rPr>
                <w:noProof/>
                <w:szCs w:val="20"/>
              </w:rPr>
            </w:pPr>
            <w:r>
              <w:rPr>
                <w:noProof/>
              </w:rPr>
              <w:t>Počet celounijních osvědčených pos</w:t>
            </w:r>
            <w:r>
              <w:rPr>
                <w:noProof/>
              </w:rPr>
              <w:t>tupů pro kritické infrastruktury poskytnutých agenturou ENISA</w:t>
            </w:r>
          </w:p>
          <w:p w:rsidR="00557911" w:rsidRDefault="00623804">
            <w:pPr>
              <w:numPr>
                <w:ilvl w:val="0"/>
                <w:numId w:val="17"/>
              </w:numPr>
              <w:spacing w:after="0"/>
              <w:ind w:right="-29"/>
              <w:rPr>
                <w:noProof/>
                <w:szCs w:val="20"/>
              </w:rPr>
            </w:pPr>
            <w:r>
              <w:rPr>
                <w:noProof/>
              </w:rPr>
              <w:t>Počet celounijních osvědčených postupů pro malé a střední podniky poskytnutých agenturou ENISA</w:t>
            </w:r>
          </w:p>
          <w:p w:rsidR="00557911" w:rsidRDefault="00623804">
            <w:pPr>
              <w:numPr>
                <w:ilvl w:val="0"/>
                <w:numId w:val="17"/>
              </w:numPr>
              <w:spacing w:after="0"/>
              <w:ind w:right="-29"/>
              <w:rPr>
                <w:noProof/>
                <w:szCs w:val="20"/>
              </w:rPr>
            </w:pPr>
            <w:r>
              <w:rPr>
                <w:noProof/>
              </w:rPr>
              <w:t>Zveřejňování každoročních strategických analýz kybernetických hrozeb a incidentů za účelem zjišťová</w:t>
            </w:r>
            <w:r>
              <w:rPr>
                <w:noProof/>
              </w:rPr>
              <w:t>ní nových trendů agenturou ENISA</w:t>
            </w:r>
          </w:p>
          <w:p w:rsidR="00557911" w:rsidRDefault="00623804">
            <w:pPr>
              <w:numPr>
                <w:ilvl w:val="0"/>
                <w:numId w:val="17"/>
              </w:numPr>
              <w:spacing w:after="0"/>
              <w:ind w:right="-29"/>
              <w:rPr>
                <w:noProof/>
                <w:szCs w:val="20"/>
              </w:rPr>
            </w:pPr>
            <w:r>
              <w:rPr>
                <w:noProof/>
              </w:rPr>
              <w:t>Pravidelné příspěvky agentury ENISA k činnosti pracovních skupin pro kybernetickou bezpečnost v rámci evropských normalizačních organizací.</w:t>
            </w:r>
          </w:p>
          <w:p w:rsidR="00557911" w:rsidRDefault="00623804">
            <w:pPr>
              <w:ind w:right="-29"/>
              <w:rPr>
                <w:b/>
                <w:noProof/>
              </w:rPr>
            </w:pPr>
            <w:r>
              <w:rPr>
                <w:b/>
                <w:noProof/>
              </w:rPr>
              <w:t xml:space="preserve">Cíl: Zlepšení spolupráce a koordinace napříč členskými státy a orgány, institucemi </w:t>
            </w:r>
            <w:r>
              <w:rPr>
                <w:b/>
                <w:noProof/>
              </w:rPr>
              <w:t>a jinými subjekty EU:</w:t>
            </w:r>
          </w:p>
          <w:p w:rsidR="00557911" w:rsidRDefault="00623804">
            <w:pPr>
              <w:numPr>
                <w:ilvl w:val="0"/>
                <w:numId w:val="17"/>
              </w:numPr>
              <w:spacing w:after="0"/>
              <w:ind w:right="-29"/>
              <w:rPr>
                <w:noProof/>
                <w:szCs w:val="20"/>
              </w:rPr>
            </w:pPr>
            <w:r>
              <w:rPr>
                <w:noProof/>
              </w:rPr>
              <w:t xml:space="preserve">Počet členských států, které v procesu tvorby svých politik využily doporučení a stanoviska agentury ENISA </w:t>
            </w:r>
          </w:p>
          <w:p w:rsidR="00557911" w:rsidRDefault="00623804">
            <w:pPr>
              <w:numPr>
                <w:ilvl w:val="0"/>
                <w:numId w:val="17"/>
              </w:numPr>
              <w:spacing w:after="0"/>
              <w:ind w:right="-29"/>
              <w:rPr>
                <w:noProof/>
                <w:szCs w:val="20"/>
              </w:rPr>
            </w:pPr>
            <w:r>
              <w:rPr>
                <w:noProof/>
              </w:rPr>
              <w:t>Počet orgánů, institucí a jiných subjektů EU, které v procesu tvorby svých politik využily doporučení a stanoviska agentury EN</w:t>
            </w:r>
            <w:r>
              <w:rPr>
                <w:noProof/>
              </w:rPr>
              <w:t>ISA</w:t>
            </w:r>
          </w:p>
          <w:p w:rsidR="00557911" w:rsidRDefault="00623804">
            <w:pPr>
              <w:numPr>
                <w:ilvl w:val="0"/>
                <w:numId w:val="17"/>
              </w:numPr>
              <w:spacing w:after="0"/>
              <w:ind w:right="-29"/>
              <w:rPr>
                <w:noProof/>
                <w:szCs w:val="20"/>
              </w:rPr>
            </w:pPr>
            <w:r>
              <w:rPr>
                <w:noProof/>
              </w:rPr>
              <w:t>Pravidelné provádění pracovního programu sítě CSIRT a správné fungování IT infrastruktury a komunikačních kanálů sítě CSIRT</w:t>
            </w:r>
          </w:p>
          <w:p w:rsidR="00557911" w:rsidRDefault="00623804">
            <w:pPr>
              <w:numPr>
                <w:ilvl w:val="0"/>
                <w:numId w:val="17"/>
              </w:numPr>
              <w:spacing w:after="0"/>
              <w:ind w:right="-29"/>
              <w:rPr>
                <w:noProof/>
                <w:szCs w:val="20"/>
              </w:rPr>
            </w:pPr>
            <w:r>
              <w:rPr>
                <w:noProof/>
              </w:rPr>
              <w:t>Počet technických zpráv, které byly poskytnuty skupině pro spolupráci a které tato skupina využila</w:t>
            </w:r>
          </w:p>
          <w:p w:rsidR="00557911" w:rsidRDefault="00623804">
            <w:pPr>
              <w:numPr>
                <w:ilvl w:val="0"/>
                <w:numId w:val="17"/>
              </w:numPr>
              <w:spacing w:after="0"/>
              <w:ind w:right="-29"/>
              <w:rPr>
                <w:noProof/>
                <w:szCs w:val="20"/>
              </w:rPr>
            </w:pPr>
            <w:r>
              <w:rPr>
                <w:noProof/>
              </w:rPr>
              <w:t xml:space="preserve">Jednotný přístup k provádění </w:t>
            </w:r>
            <w:r>
              <w:rPr>
                <w:noProof/>
              </w:rPr>
              <w:t xml:space="preserve">směrnice o bezpečnosti sítí a informací v přeshraničním rozměru a v různých odvětvích </w:t>
            </w:r>
          </w:p>
          <w:p w:rsidR="00557911" w:rsidRDefault="00623804">
            <w:pPr>
              <w:numPr>
                <w:ilvl w:val="0"/>
                <w:numId w:val="17"/>
              </w:numPr>
              <w:spacing w:after="0"/>
              <w:ind w:right="-29"/>
              <w:rPr>
                <w:noProof/>
                <w:szCs w:val="20"/>
              </w:rPr>
            </w:pPr>
            <w:r>
              <w:rPr>
                <w:noProof/>
              </w:rPr>
              <w:t>Počet posouzení týkajících se dodržování právních předpisů, které provedla agentura ENISA</w:t>
            </w:r>
          </w:p>
          <w:p w:rsidR="00557911" w:rsidRDefault="00623804">
            <w:pPr>
              <w:numPr>
                <w:ilvl w:val="0"/>
                <w:numId w:val="17"/>
              </w:numPr>
              <w:spacing w:after="0"/>
              <w:ind w:right="-29"/>
              <w:rPr>
                <w:noProof/>
                <w:szCs w:val="20"/>
              </w:rPr>
            </w:pPr>
            <w:r>
              <w:rPr>
                <w:noProof/>
              </w:rPr>
              <w:t>Počet středisek ISAC zřízených v různých odvětvích, zejména u kritických infras</w:t>
            </w:r>
            <w:r>
              <w:rPr>
                <w:noProof/>
              </w:rPr>
              <w:t>truktur</w:t>
            </w:r>
          </w:p>
          <w:p w:rsidR="00557911" w:rsidRDefault="00623804">
            <w:pPr>
              <w:numPr>
                <w:ilvl w:val="0"/>
                <w:numId w:val="17"/>
              </w:numPr>
              <w:spacing w:after="0"/>
              <w:ind w:right="-29"/>
              <w:rPr>
                <w:noProof/>
                <w:szCs w:val="20"/>
              </w:rPr>
            </w:pPr>
            <w:r>
              <w:rPr>
                <w:noProof/>
              </w:rPr>
              <w:t>Zřízení a pravidelné provozování informační platformy pro šíření informací o kybernetické bezpečnosti získaných od orgánů, institucí a jiných subjektů EU</w:t>
            </w:r>
          </w:p>
          <w:p w:rsidR="00557911" w:rsidRDefault="00623804">
            <w:pPr>
              <w:numPr>
                <w:ilvl w:val="0"/>
                <w:numId w:val="17"/>
              </w:numPr>
              <w:spacing w:after="0"/>
              <w:ind w:right="-29"/>
              <w:rPr>
                <w:noProof/>
                <w:szCs w:val="20"/>
              </w:rPr>
            </w:pPr>
            <w:r>
              <w:rPr>
                <w:noProof/>
              </w:rPr>
              <w:t>Pravidelné příspěvky k přípravě pracovních programů EU týkajících se výzkumu a inovací</w:t>
            </w:r>
          </w:p>
          <w:p w:rsidR="00557911" w:rsidRDefault="00623804">
            <w:pPr>
              <w:numPr>
                <w:ilvl w:val="0"/>
                <w:numId w:val="17"/>
              </w:numPr>
              <w:spacing w:after="0"/>
              <w:ind w:right="-29"/>
              <w:rPr>
                <w:noProof/>
                <w:szCs w:val="20"/>
              </w:rPr>
            </w:pPr>
            <w:r>
              <w:rPr>
                <w:noProof/>
              </w:rPr>
              <w:t>Uzavřen</w:t>
            </w:r>
            <w:r>
              <w:rPr>
                <w:noProof/>
              </w:rPr>
              <w:t xml:space="preserve">í dohody o spolupráci mezi agenturou ENISA, centrem EC3 a týmem CERT-EU </w:t>
            </w:r>
          </w:p>
          <w:p w:rsidR="00557911" w:rsidRDefault="00623804">
            <w:pPr>
              <w:numPr>
                <w:ilvl w:val="0"/>
                <w:numId w:val="17"/>
              </w:numPr>
              <w:spacing w:after="0"/>
              <w:ind w:right="-29"/>
              <w:rPr>
                <w:noProof/>
                <w:szCs w:val="20"/>
              </w:rPr>
            </w:pPr>
            <w:r>
              <w:rPr>
                <w:noProof/>
              </w:rPr>
              <w:t>Počet systémů certifikace zahrnutých do rámce a vypracovaných podle rámce</w:t>
            </w:r>
          </w:p>
          <w:p w:rsidR="00557911" w:rsidRDefault="00623804">
            <w:pPr>
              <w:ind w:right="-29"/>
              <w:rPr>
                <w:b/>
                <w:noProof/>
              </w:rPr>
            </w:pPr>
            <w:r>
              <w:rPr>
                <w:b/>
                <w:noProof/>
              </w:rPr>
              <w:t>Cíl: Zvýšení schopnosti na úrovni EU doplňovat opatření členských států, zejména v případě přeshraničních kyb</w:t>
            </w:r>
            <w:r>
              <w:rPr>
                <w:b/>
                <w:noProof/>
              </w:rPr>
              <w:t>ernetických krizí:</w:t>
            </w:r>
          </w:p>
          <w:p w:rsidR="00557911" w:rsidRDefault="00623804">
            <w:pPr>
              <w:numPr>
                <w:ilvl w:val="0"/>
                <w:numId w:val="17"/>
              </w:numPr>
              <w:spacing w:after="0"/>
              <w:ind w:right="-29"/>
              <w:rPr>
                <w:noProof/>
                <w:szCs w:val="20"/>
              </w:rPr>
            </w:pPr>
            <w:r>
              <w:rPr>
                <w:noProof/>
              </w:rPr>
              <w:t>Zveřejňování každoročních strategických analýz kybernetických hrozeb a incidentů za účelem zjišťování nových trendů agenturou ENISA</w:t>
            </w:r>
          </w:p>
          <w:p w:rsidR="00557911" w:rsidRDefault="00623804">
            <w:pPr>
              <w:numPr>
                <w:ilvl w:val="0"/>
                <w:numId w:val="17"/>
              </w:numPr>
              <w:spacing w:after="0"/>
              <w:ind w:right="-29"/>
              <w:rPr>
                <w:noProof/>
                <w:szCs w:val="20"/>
              </w:rPr>
            </w:pPr>
            <w:r>
              <w:rPr>
                <w:noProof/>
              </w:rPr>
              <w:t>Zveřejňování agregovaných informací o incidentech ohlášených podle směrnice o bezpečnosti sítí a informac</w:t>
            </w:r>
            <w:r>
              <w:rPr>
                <w:noProof/>
              </w:rPr>
              <w:t>í agenturou ENISA</w:t>
            </w:r>
          </w:p>
          <w:p w:rsidR="00557911" w:rsidRDefault="00623804">
            <w:pPr>
              <w:numPr>
                <w:ilvl w:val="0"/>
                <w:numId w:val="17"/>
              </w:numPr>
              <w:spacing w:after="0"/>
              <w:ind w:right="-29"/>
              <w:rPr>
                <w:noProof/>
                <w:szCs w:val="20"/>
              </w:rPr>
            </w:pPr>
            <w:r>
              <w:rPr>
                <w:noProof/>
              </w:rPr>
              <w:t>Počet celoevropských cvičení koordinovaných agenturou a počet zapojených členských států a organizací</w:t>
            </w:r>
          </w:p>
          <w:p w:rsidR="00557911" w:rsidRDefault="00623804">
            <w:pPr>
              <w:numPr>
                <w:ilvl w:val="0"/>
                <w:numId w:val="17"/>
              </w:numPr>
              <w:spacing w:after="0"/>
              <w:ind w:right="-29"/>
              <w:rPr>
                <w:noProof/>
                <w:szCs w:val="20"/>
              </w:rPr>
            </w:pPr>
            <w:r>
              <w:rPr>
                <w:noProof/>
              </w:rPr>
              <w:t>Počet žádostí o podporu při reakci na mimořádné události, které členské státy zaslaly agentuře ENISA a kterým agentura vyhověla</w:t>
            </w:r>
          </w:p>
          <w:p w:rsidR="00557911" w:rsidRDefault="00623804">
            <w:pPr>
              <w:numPr>
                <w:ilvl w:val="0"/>
                <w:numId w:val="17"/>
              </w:numPr>
              <w:spacing w:after="0"/>
              <w:ind w:right="-29"/>
              <w:rPr>
                <w:noProof/>
                <w:szCs w:val="20"/>
              </w:rPr>
            </w:pPr>
            <w:r>
              <w:rPr>
                <w:noProof/>
              </w:rPr>
              <w:t>Počet an</w:t>
            </w:r>
            <w:r>
              <w:rPr>
                <w:noProof/>
              </w:rPr>
              <w:t>alýz zranitelností, artefaktů a incidentů provedených agenturou ENISA ve spolupráci s týmem CERT-EU</w:t>
            </w:r>
          </w:p>
          <w:p w:rsidR="00557911" w:rsidRDefault="00623804">
            <w:pPr>
              <w:numPr>
                <w:ilvl w:val="0"/>
                <w:numId w:val="17"/>
              </w:numPr>
              <w:spacing w:after="0"/>
              <w:ind w:right="-29"/>
              <w:rPr>
                <w:noProof/>
                <w:szCs w:val="20"/>
              </w:rPr>
            </w:pPr>
            <w:r>
              <w:rPr>
                <w:noProof/>
              </w:rPr>
              <w:t>Dostupnost celounijních situačních zpráv založených na informacích, které agentuře ENISA poskytly členské státy a jiné subjekty v případech rozsáhlých přesh</w:t>
            </w:r>
            <w:r>
              <w:rPr>
                <w:noProof/>
              </w:rPr>
              <w:t>raničních kybernetických incidentů</w:t>
            </w:r>
          </w:p>
          <w:p w:rsidR="00557911" w:rsidRDefault="00623804">
            <w:pPr>
              <w:ind w:right="-29"/>
              <w:rPr>
                <w:b/>
                <w:noProof/>
              </w:rPr>
            </w:pPr>
            <w:r>
              <w:rPr>
                <w:b/>
                <w:noProof/>
              </w:rPr>
              <w:t xml:space="preserve">Cíl: Zvýšení informovanosti občanů a podniků o otázkách týkajících se kybernetické bezpečnosti: </w:t>
            </w:r>
          </w:p>
          <w:p w:rsidR="00557911" w:rsidRDefault="00623804">
            <w:pPr>
              <w:numPr>
                <w:ilvl w:val="0"/>
                <w:numId w:val="17"/>
              </w:numPr>
              <w:spacing w:after="0"/>
              <w:ind w:right="-29"/>
              <w:rPr>
                <w:noProof/>
                <w:szCs w:val="20"/>
              </w:rPr>
            </w:pPr>
            <w:r>
              <w:rPr>
                <w:noProof/>
              </w:rPr>
              <w:t>Pravidelné provozování celounijních a vnitrostátních kampaní na zvyšování informovanosti a pravidelné aktualizování témat po</w:t>
            </w:r>
            <w:r>
              <w:rPr>
                <w:noProof/>
              </w:rPr>
              <w:t>dle aktuálních vzdělávacích potřeb</w:t>
            </w:r>
          </w:p>
          <w:p w:rsidR="00557911" w:rsidRDefault="00623804">
            <w:pPr>
              <w:numPr>
                <w:ilvl w:val="0"/>
                <w:numId w:val="17"/>
              </w:numPr>
              <w:spacing w:after="0"/>
              <w:ind w:right="-29"/>
              <w:rPr>
                <w:noProof/>
                <w:szCs w:val="20"/>
              </w:rPr>
            </w:pPr>
            <w:r>
              <w:rPr>
                <w:noProof/>
              </w:rPr>
              <w:t>Zvýšení informovanosti občanů EU o kybernetické bezpečnosti</w:t>
            </w:r>
          </w:p>
          <w:p w:rsidR="00557911" w:rsidRDefault="00623804">
            <w:pPr>
              <w:numPr>
                <w:ilvl w:val="0"/>
                <w:numId w:val="17"/>
              </w:numPr>
              <w:spacing w:after="0"/>
              <w:ind w:right="-29"/>
              <w:rPr>
                <w:noProof/>
                <w:szCs w:val="20"/>
              </w:rPr>
            </w:pPr>
            <w:r>
              <w:rPr>
                <w:noProof/>
              </w:rPr>
              <w:t xml:space="preserve">Pravidelné provozování osvětového kvízu o kybernetické bezpečnosti a zvýšení procenta správných odpovědí v průběhu času </w:t>
            </w:r>
          </w:p>
          <w:p w:rsidR="00557911" w:rsidRDefault="00623804">
            <w:pPr>
              <w:numPr>
                <w:ilvl w:val="0"/>
                <w:numId w:val="17"/>
              </w:numPr>
              <w:spacing w:after="0"/>
              <w:ind w:right="-29"/>
              <w:rPr>
                <w:noProof/>
                <w:szCs w:val="20"/>
              </w:rPr>
            </w:pPr>
            <w:r>
              <w:rPr>
                <w:noProof/>
              </w:rPr>
              <w:t>Pravidelné zveřejňování osvědčených post</w:t>
            </w:r>
            <w:r>
              <w:rPr>
                <w:noProof/>
              </w:rPr>
              <w:t>upů týkajících se kybernetické bezpečnosti a kybernetické hygieny zaměřené na zaměstnance a organizace</w:t>
            </w:r>
          </w:p>
          <w:p w:rsidR="00557911" w:rsidRDefault="00623804">
            <w:pPr>
              <w:ind w:right="-29"/>
              <w:rPr>
                <w:b/>
                <w:noProof/>
              </w:rPr>
            </w:pPr>
            <w:r>
              <w:rPr>
                <w:b/>
                <w:noProof/>
              </w:rPr>
              <w:t>Cíl: Posílení důvěry v jednotný digitální trh a digitální inovace zvýšením celkové transparentnosti záruky kybernetické bezpečnosti</w:t>
            </w:r>
            <w:r>
              <w:rPr>
                <w:rStyle w:val="FootnoteReference"/>
                <w:noProof/>
              </w:rPr>
              <w:footnoteReference w:id="48"/>
            </w:r>
            <w:r>
              <w:rPr>
                <w:b/>
                <w:noProof/>
              </w:rPr>
              <w:t xml:space="preserve"> produktů a služeb IKT:</w:t>
            </w:r>
          </w:p>
          <w:p w:rsidR="00557911" w:rsidRDefault="00623804">
            <w:pPr>
              <w:numPr>
                <w:ilvl w:val="0"/>
                <w:numId w:val="17"/>
              </w:numPr>
              <w:spacing w:after="0"/>
              <w:ind w:right="-29"/>
              <w:rPr>
                <w:noProof/>
                <w:szCs w:val="20"/>
              </w:rPr>
            </w:pPr>
            <w:r>
              <w:rPr>
                <w:noProof/>
              </w:rPr>
              <w:t xml:space="preserve">Počet systémů dodržujících rámec EU </w:t>
            </w:r>
          </w:p>
          <w:p w:rsidR="00557911" w:rsidRDefault="00623804">
            <w:pPr>
              <w:numPr>
                <w:ilvl w:val="0"/>
                <w:numId w:val="17"/>
              </w:numPr>
              <w:spacing w:after="0"/>
              <w:ind w:right="-29"/>
              <w:rPr>
                <w:noProof/>
                <w:szCs w:val="20"/>
              </w:rPr>
            </w:pPr>
            <w:r>
              <w:rPr>
                <w:noProof/>
              </w:rPr>
              <w:t>Snížené náklady na získání certifikátu bezpečnosti IKT</w:t>
            </w:r>
          </w:p>
          <w:p w:rsidR="00557911" w:rsidRDefault="00623804">
            <w:pPr>
              <w:numPr>
                <w:ilvl w:val="0"/>
                <w:numId w:val="17"/>
              </w:numPr>
              <w:spacing w:after="0"/>
              <w:ind w:right="-29"/>
              <w:rPr>
                <w:noProof/>
                <w:szCs w:val="20"/>
              </w:rPr>
            </w:pPr>
            <w:r>
              <w:rPr>
                <w:noProof/>
              </w:rPr>
              <w:t>Počet subjektů posuzování shody specializujících se na certifikaci IKT ve všech členských státech</w:t>
            </w:r>
          </w:p>
          <w:p w:rsidR="00557911" w:rsidRDefault="00623804">
            <w:pPr>
              <w:numPr>
                <w:ilvl w:val="0"/>
                <w:numId w:val="17"/>
              </w:numPr>
              <w:spacing w:after="0"/>
              <w:ind w:right="-29"/>
              <w:rPr>
                <w:noProof/>
                <w:szCs w:val="20"/>
              </w:rPr>
            </w:pPr>
            <w:r>
              <w:rPr>
                <w:noProof/>
              </w:rPr>
              <w:t>Zřízení Evropské skupiny pro certifikaci k</w:t>
            </w:r>
            <w:r>
              <w:rPr>
                <w:noProof/>
              </w:rPr>
              <w:t>ybernetické bezpečnosti a pravidelné pořádání jejích zasedání</w:t>
            </w:r>
          </w:p>
          <w:p w:rsidR="00557911" w:rsidRDefault="00623804">
            <w:pPr>
              <w:numPr>
                <w:ilvl w:val="0"/>
                <w:numId w:val="17"/>
              </w:numPr>
              <w:spacing w:after="0"/>
              <w:ind w:right="-29"/>
              <w:rPr>
                <w:noProof/>
                <w:szCs w:val="20"/>
              </w:rPr>
            </w:pPr>
            <w:r>
              <w:rPr>
                <w:noProof/>
              </w:rPr>
              <w:t xml:space="preserve">Zavedení pokynů pro certifikaci podle rámce EU </w:t>
            </w:r>
          </w:p>
          <w:p w:rsidR="00557911" w:rsidRDefault="00623804">
            <w:pPr>
              <w:numPr>
                <w:ilvl w:val="0"/>
                <w:numId w:val="17"/>
              </w:numPr>
              <w:spacing w:after="0"/>
              <w:ind w:right="-29"/>
              <w:rPr>
                <w:noProof/>
                <w:szCs w:val="20"/>
              </w:rPr>
            </w:pPr>
            <w:r>
              <w:rPr>
                <w:noProof/>
              </w:rPr>
              <w:t>Pravidelné zveřejňování analýz hlavních trendů na unijním trhu kybernetické bezpečnosti</w:t>
            </w:r>
          </w:p>
          <w:p w:rsidR="00557911" w:rsidRDefault="00623804">
            <w:pPr>
              <w:numPr>
                <w:ilvl w:val="0"/>
                <w:numId w:val="17"/>
              </w:numPr>
              <w:spacing w:after="0"/>
              <w:ind w:right="-29"/>
              <w:rPr>
                <w:noProof/>
                <w:szCs w:val="20"/>
              </w:rPr>
            </w:pPr>
            <w:r>
              <w:rPr>
                <w:noProof/>
              </w:rPr>
              <w:t>Počet produktů a služeb IKT certifikovaných podle pravidel</w:t>
            </w:r>
            <w:r>
              <w:rPr>
                <w:noProof/>
              </w:rPr>
              <w:t xml:space="preserve"> evropského rámce pro certifikaci bezpečnosti IKT</w:t>
            </w:r>
          </w:p>
          <w:p w:rsidR="00557911" w:rsidRDefault="00623804">
            <w:pPr>
              <w:numPr>
                <w:ilvl w:val="0"/>
                <w:numId w:val="17"/>
              </w:numPr>
              <w:spacing w:after="0"/>
              <w:ind w:right="-29"/>
              <w:rPr>
                <w:noProof/>
                <w:sz w:val="20"/>
                <w:szCs w:val="20"/>
              </w:rPr>
            </w:pPr>
            <w:r>
              <w:rPr>
                <w:noProof/>
              </w:rPr>
              <w:t>Větší počet koncových uživatelů, kteří si jsou vědomi bezpečnostních prvků produktů a služeb IKT</w:t>
            </w:r>
          </w:p>
        </w:tc>
      </w:tr>
    </w:tbl>
    <w:p w:rsidR="00557911" w:rsidRDefault="00623804">
      <w:pPr>
        <w:pStyle w:val="Point1"/>
        <w:rPr>
          <w:noProof/>
        </w:rPr>
      </w:pPr>
      <w:r>
        <w:rPr>
          <w:noProof/>
        </w:rPr>
        <w:t>b)</w:t>
      </w:r>
    </w:p>
    <w:p w:rsidR="00557911" w:rsidRDefault="00623804">
      <w:pPr>
        <w:pStyle w:val="ManualHeading3"/>
        <w:rPr>
          <w:noProof/>
        </w:rPr>
      </w:pPr>
      <w:bookmarkStart w:id="48" w:name="_Toc492216490"/>
      <w:r>
        <w:t>1.4.5.</w:t>
      </w:r>
      <w:r>
        <w:tab/>
      </w:r>
      <w:r>
        <w:rPr>
          <w:noProof/>
        </w:rPr>
        <w:t>Potřeby, které mají být uspokojeny v krátkodobém nebo dlouhodobém horizontu</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557911">
        <w:tc>
          <w:tcPr>
            <w:tcW w:w="9855" w:type="dxa"/>
          </w:tcPr>
          <w:p w:rsidR="00557911" w:rsidRDefault="00623804">
            <w:pPr>
              <w:spacing w:after="0"/>
              <w:rPr>
                <w:rFonts w:eastAsia="Calibri"/>
                <w:noProof/>
                <w:szCs w:val="24"/>
              </w:rPr>
            </w:pPr>
            <w:r>
              <w:rPr>
                <w:noProof/>
              </w:rPr>
              <w:t xml:space="preserve">S ohledem na </w:t>
            </w:r>
            <w:r>
              <w:rPr>
                <w:noProof/>
              </w:rPr>
              <w:t>regulační požadavky a rychle se vyvíjející oblast kybernetických bezpečnostních hrozeb je třeba přezkoumat mandát agentury ENISA tak, aby stanovil obnovený soubor úkolů a funkcí s cílem účinně a efektivně podporovat členské státy, orgány EU a další zúčastn</w:t>
            </w:r>
            <w:r>
              <w:rPr>
                <w:noProof/>
              </w:rPr>
              <w:t>ěné strany v jejich úsilí zajistit bezpečný kyberprostor v Evropské unii. Navrhovaná působnost mandátu je vymezena posílením oblastí, kde se jasně ukázala přidaná hodnota agentury, a doplněním nových oblastí, v nichž je nezbytná pomoc s ohledem na nové pol</w:t>
            </w:r>
            <w:r>
              <w:rPr>
                <w:noProof/>
              </w:rPr>
              <w:t>itické priority a nástroje, zejména na směrnici o bezpečnosti sítí a informací, na přezkum strategie kybernetické bezpečnosti EU a na plán kybernetické bezpečnosti EU pro spolupráci v případě kybernetických krizí a pro certifikaci bezpečnosti IKT. Nový nav</w:t>
            </w:r>
            <w:r>
              <w:rPr>
                <w:noProof/>
              </w:rPr>
              <w:t>rhovaný mandát se snaží udělit agentuře silnější a centrálnější úlohu, zejména tím, že rovněž podporuje členské státy v aktivnějším boji proti konkrétním hrozbám (operativní kapacita), a dále tím, že se agentura stane odborným střediskem podporujícím člens</w:t>
            </w:r>
            <w:r>
              <w:rPr>
                <w:noProof/>
              </w:rPr>
              <w:t>ké státy a Komisi v otázkách certifikace kybernetické bezpečnosti.</w:t>
            </w:r>
          </w:p>
          <w:p w:rsidR="00557911" w:rsidRDefault="00623804">
            <w:pPr>
              <w:spacing w:after="0"/>
              <w:rPr>
                <w:noProof/>
              </w:rPr>
            </w:pPr>
            <w:r>
              <w:rPr>
                <w:noProof/>
              </w:rPr>
              <w:t>Návrh zároveň zřizuje evropský rámec pro certifikaci kybernetické bezpečnosti produktů a služeb IKT a upřesňuje základní funkce a úkoly agentury ENISA v oblasti certifikace kybernetické bez</w:t>
            </w:r>
            <w:r>
              <w:rPr>
                <w:noProof/>
              </w:rPr>
              <w:t>pečnosti. Tento rámec stanoví společná ustanovení a postupy umožňující vytvoření celounijních systémů certifikace kybernetické bezpečnosti pro konkrétní produkty/služby IKT nebo kybernetická bezpečnostní rizika. Vytvoření evropských systémů certifikace kyb</w:t>
            </w:r>
            <w:r>
              <w:rPr>
                <w:noProof/>
              </w:rPr>
              <w:t>ernetické bezpečnosti v souladu s uvedeným rámcem umožní, aby byly certifikáty vydané podle těchto systémů platné a uznávané ve všech členských státech, a zároveň umožní vyřešit stávající roztříštěnost trhu.</w:t>
            </w:r>
          </w:p>
        </w:tc>
      </w:tr>
    </w:tbl>
    <w:p w:rsidR="00557911" w:rsidRDefault="00557911">
      <w:pPr>
        <w:pStyle w:val="Text1"/>
        <w:rPr>
          <w:noProof/>
        </w:rPr>
      </w:pPr>
    </w:p>
    <w:p w:rsidR="00557911" w:rsidRDefault="00623804">
      <w:pPr>
        <w:pStyle w:val="ManualHeading3"/>
        <w:rPr>
          <w:bCs/>
          <w:noProof/>
          <w:szCs w:val="24"/>
        </w:rPr>
      </w:pPr>
      <w:bookmarkStart w:id="49" w:name="_Toc492216491"/>
      <w:r>
        <w:t>1.4.6.</w:t>
      </w:r>
      <w:r>
        <w:tab/>
      </w:r>
      <w:r>
        <w:rPr>
          <w:noProof/>
        </w:rPr>
        <w:t>Přidaná hodnota ze zapojení EU</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557911">
        <w:tc>
          <w:tcPr>
            <w:tcW w:w="8896" w:type="dxa"/>
          </w:tcPr>
          <w:p w:rsidR="00557911" w:rsidRDefault="00623804">
            <w:pPr>
              <w:pStyle w:val="Text3"/>
              <w:ind w:left="0"/>
              <w:rPr>
                <w:noProof/>
              </w:rPr>
            </w:pPr>
            <w:r>
              <w:rPr>
                <w:noProof/>
              </w:rPr>
              <w:t>Kybernetická bezpečnost je vskutku globální záležitostí, která je přeshraniční povahy a která se vzhledem k vzájemné provázanosti sítí a informačních systémů stává stále více meziodvětvovou. Počet, složitost a rozsah kybernetických bezpečnostních incidentů</w:t>
            </w:r>
            <w:r>
              <w:rPr>
                <w:noProof/>
              </w:rPr>
              <w:t xml:space="preserve"> a jejich dopad na ekonomiku a společnost se postupem času zvyšují a očekává se, že souběžně s technologickým rozvojem, například šířením internetu věcí, se budou zvyšovat i nadále. Z toho vyplývá, že potřeba většího společného úsilí členských států, orgán</w:t>
            </w:r>
            <w:r>
              <w:rPr>
                <w:noProof/>
              </w:rPr>
              <w:t xml:space="preserve">ů EU a zúčastněných stran ze soukromého sektoru čelit kybernetickým bezpečnostním hrozbám se v budoucnu pravděpodobně nezmenší. </w:t>
            </w:r>
          </w:p>
          <w:p w:rsidR="00557911" w:rsidRDefault="00623804">
            <w:pPr>
              <w:pStyle w:val="Text3"/>
              <w:ind w:left="0"/>
              <w:rPr>
                <w:noProof/>
                <w:szCs w:val="24"/>
              </w:rPr>
            </w:pPr>
            <w:r>
              <w:rPr>
                <w:noProof/>
              </w:rPr>
              <w:t>Cílem agentury ENISA byla od jejího zřízení v roce 2004 podpora spolupráce mezi členskými státy a zúčastněnými stranami směrnic</w:t>
            </w:r>
            <w:r>
              <w:rPr>
                <w:noProof/>
              </w:rPr>
              <w:t>e o bezpečnosti sítí a informací, včetně podpory spolupráce veřejného a soukromého sektoru. Tato podpora spolupráce zahrnovala technické činnosti, jež měly poskytnout celounijní obrázek o stavu kybernetických bezpečnostních hrozeb, zřizování skupin odborní</w:t>
            </w:r>
            <w:r>
              <w:rPr>
                <w:noProof/>
              </w:rPr>
              <w:t>ků a organizování celoevropských cvičení pro soukromý a veřejný sektor zaměřených na řešení kybernetických incidentů a krizí (zejména „Cyber Europe“). Směrnice o bezpečnosti sítí a informací pověřila agenturu ENISA dodatečnými úkoly, včetně zajištění služe</w:t>
            </w:r>
            <w:r>
              <w:rPr>
                <w:noProof/>
              </w:rPr>
              <w:t xml:space="preserve">b sekretariátu pro síť CSIRT zřízené za účelem operativní spolupráce mezi členskými státy. </w:t>
            </w:r>
          </w:p>
          <w:p w:rsidR="00557911" w:rsidRDefault="00623804">
            <w:pPr>
              <w:rPr>
                <w:noProof/>
              </w:rPr>
            </w:pPr>
            <w:r>
              <w:rPr>
                <w:noProof/>
              </w:rPr>
              <w:t>Přidaná hodnota opatření na úrovni EU, zejména opatření ke zvýšení spolupráce mezi členskými státy, ale také mezi komunitami v oblasti bezpečnosti sítí a informací,</w:t>
            </w:r>
            <w:r>
              <w:rPr>
                <w:noProof/>
              </w:rPr>
              <w:t xml:space="preserve"> byla uznána v závěrech Rady z roku 2016</w:t>
            </w:r>
            <w:r>
              <w:rPr>
                <w:rStyle w:val="FootnoteReference"/>
                <w:noProof/>
              </w:rPr>
              <w:footnoteReference w:id="49"/>
            </w:r>
            <w:r>
              <w:rPr>
                <w:noProof/>
              </w:rPr>
              <w:t xml:space="preserve"> a rovněž jasně vyplývá z hodnocení agentury ENISA z roku 2017, které ukazuje, že přidaná hodnota agentury spočívá především v její schopnosti posilovat spolupráci mezi těmito zúčastněnými stranami. Na úrovni EU nen</w:t>
            </w:r>
            <w:r>
              <w:rPr>
                <w:noProof/>
              </w:rPr>
              <w:t xml:space="preserve">í žádný jiný subjekt, který v oblasti bezpečnosti sítí a informací podporuje spolupráci stejné škály zúčastněných stran. </w:t>
            </w:r>
          </w:p>
          <w:p w:rsidR="00557911" w:rsidRDefault="00623804">
            <w:pPr>
              <w:rPr>
                <w:noProof/>
                <w:highlight w:val="yellow"/>
              </w:rPr>
            </w:pPr>
            <w:r>
              <w:rPr>
                <w:noProof/>
              </w:rPr>
              <w:t xml:space="preserve">Přidaná hodnota agentury ENISA spočívající ve sbližování komunit a zúčastněných stran v oblasti kybernetické bezpečnosti se projevuje </w:t>
            </w:r>
            <w:r>
              <w:rPr>
                <w:noProof/>
              </w:rPr>
              <w:t xml:space="preserve">také v oblasti certifikace. Nárůst kyberkriminality a bezpečnostních hrozeb měl za následek vznik vnitrostátních iniciativ stanovících přísné požadavky na kybernetickou bezpečnost a certifikaci komponentů IKT používaných v tradiční infrastruktuře. Ačkoliv </w:t>
            </w:r>
            <w:r>
              <w:rPr>
                <w:noProof/>
              </w:rPr>
              <w:t>jsou tyto iniciativy důležité, je s nimi spojeno riziko, že povedou k roztříštěnosti jednotného trhu a vytvoří překážky bránící interoperabilitě. Aby prodejci IKT mohli prodávat v několika členských státech, musí často podstoupit několik certifikačních pro</w:t>
            </w:r>
            <w:r>
              <w:rPr>
                <w:noProof/>
              </w:rPr>
              <w:t>cesů. Je nepravděpodobné, že by se neúčinnost/neefektivnost stávajících systémů certifikace podařilo vyřešit bez zásahu EU. A je velmi pravděpodobné, že bez opatření se roztříštěnost trhu spolu se vznikem nových systémů certifikace ve střednědobém horizont</w:t>
            </w:r>
            <w:r>
              <w:rPr>
                <w:noProof/>
              </w:rPr>
              <w:t>u (příštích 5 až 10 let) ještě zvýší. Nedostatečná koordinace a interoperabilita mezi systémy je prvek, který snižuje potenciál jednotného digitálního trhu. To dokazuje přidanou hodnotu zavedení evropského rámce pro certifikaci kybernetické bezpečnosti pro</w:t>
            </w:r>
            <w:r>
              <w:rPr>
                <w:noProof/>
              </w:rPr>
              <w:t>duktů a služeb IKT, který zavádí vhodné podmínky pro účinné řešení problému souvisejícího s koexistencí různých certifikačních postupů v různých členských státech a snižuje náklady na certifikaci, čímž certifikaci v EU z komerčního a konkurenčního hlediska</w:t>
            </w:r>
            <w:r>
              <w:rPr>
                <w:noProof/>
              </w:rPr>
              <w:t xml:space="preserve"> celkově zatraktivňuje.</w:t>
            </w:r>
          </w:p>
        </w:tc>
      </w:tr>
    </w:tbl>
    <w:p w:rsidR="00557911" w:rsidRDefault="00557911">
      <w:pPr>
        <w:rPr>
          <w:noProof/>
          <w:highlight w:val="yellow"/>
        </w:rPr>
      </w:pPr>
    </w:p>
    <w:p w:rsidR="00557911" w:rsidRDefault="00623804">
      <w:pPr>
        <w:pStyle w:val="ManualHeading3"/>
        <w:rPr>
          <w:bCs/>
          <w:noProof/>
          <w:szCs w:val="24"/>
        </w:rPr>
      </w:pPr>
      <w:bookmarkStart w:id="50" w:name="_Toc492216492"/>
      <w:r>
        <w:t>1.4.7.</w:t>
      </w:r>
      <w:r>
        <w:tab/>
      </w:r>
      <w:r>
        <w:rPr>
          <w:noProof/>
        </w:rPr>
        <w:t>Závěry vyvozené z podobných zkušeností v minulosti</w:t>
      </w:r>
      <w:bookmarkEnd w:id="50"/>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Komise v souladu s právním základem agentury ENISA provedla hodnocení agentury, které zahrnovalo nezávislou studii, jakož i veřejnou konzultaci. Hodnocení dospělo k závěru,</w:t>
      </w:r>
      <w:r>
        <w:rPr>
          <w:noProof/>
        </w:rPr>
        <w:t xml:space="preserve"> že cíle agentury ENISA jsou stále aktuální. V souvislosti s technologickým rozvojem a vyvíjejícími se hrozbami a s ohledem na naléhavou nutnost zvýšit bezpečnost informací a sítí v EU je zapotřebí technických odborných poznatků o vývoji problémů, jež jsou</w:t>
      </w:r>
      <w:r>
        <w:rPr>
          <w:noProof/>
        </w:rPr>
        <w:t xml:space="preserve"> s bezpečnosti sítí a informací spojeny. V členských státech je třeba vybudovat kapacity, které umožní porozumět hrozbám a reagovat na ně, a zúčastněné strany musí spolupracovat napříč tematickými oblastmi a napříč institucemi.</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 xml:space="preserve">Agentura úspěšně přispívá k </w:t>
      </w:r>
      <w:r>
        <w:rPr>
          <w:noProof/>
        </w:rPr>
        <w:t>větší bezpečnosti sítí a informací v Evropě tím, že nabízí budování kapacit ve 28 členských státech a posiluje spolupráci mezi členskými státy a zúčastněnými stranami v oblasti bezpečnosti sítí a informací, a dále poskytováním odborných poznatků, budováním</w:t>
      </w:r>
      <w:r>
        <w:rPr>
          <w:noProof/>
        </w:rPr>
        <w:t xml:space="preserve"> komunit a podporou politiky. </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Agentuře ENISA se alespoň do určité míry podařilo ovlivnit rozsáhlou oblast bezpečnosti sítí a informací, úplně se jí však nepodařilo vytvořit si silnou značku a zajistit si dostatečnou viditelnost, aby začala být uznávána ja</w:t>
      </w:r>
      <w:r>
        <w:rPr>
          <w:noProof/>
        </w:rPr>
        <w:t xml:space="preserve">ko hlavní odborné středisko v Evropě. Lze to vysvětlit širokým mandátem agentury ENISA, na který nebyly vyčleněny dostatečné prostředky. Kromě toho agentura ENISA zůstává jedinou agenturou EU s mandátem na dobu určitou, což omezuje její schopnost rozvíjet </w:t>
      </w:r>
      <w:r>
        <w:rPr>
          <w:noProof/>
        </w:rPr>
        <w:t>dlouhodobou vizi a udržitelným způsobem podporovat své zúčastněné strany. Je to rovněž v rozporu s ustanoveními směrnice o bezpečnosti sítí a informací, která agentuře ENISA svěřují úkoly, u nichž není stanoveno konečné datum.</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Pokud jde o certifikaci kyber</w:t>
      </w:r>
      <w:r>
        <w:rPr>
          <w:noProof/>
        </w:rPr>
        <w:t>netické bezpečnosti produktů a služeb IKT, v současné době neexistuje žádný evropský rámec.  Nárůst kyberkriminality a bezpečnostních hrozeb měl však za následek vznik vnitrostátních iniciativ, které vytvářejí riziko roztříštěnosti jednotného trhu.</w:t>
      </w:r>
    </w:p>
    <w:p w:rsidR="00557911" w:rsidRDefault="00557911">
      <w:pPr>
        <w:rPr>
          <w:bCs/>
          <w:noProof/>
          <w:szCs w:val="24"/>
        </w:rPr>
      </w:pPr>
    </w:p>
    <w:p w:rsidR="00557911" w:rsidRDefault="00623804">
      <w:pPr>
        <w:pStyle w:val="ManualHeading3"/>
        <w:rPr>
          <w:bCs/>
          <w:noProof/>
          <w:szCs w:val="24"/>
        </w:rPr>
      </w:pPr>
      <w:bookmarkStart w:id="51" w:name="_Toc492216493"/>
      <w:r>
        <w:t>1.4.8.</w:t>
      </w:r>
      <w:r>
        <w:tab/>
      </w:r>
      <w:r>
        <w:rPr>
          <w:noProof/>
        </w:rPr>
        <w:t>Soulad a možná synergie s dalšími vhodnými nástroji</w:t>
      </w:r>
      <w:bookmarkEnd w:id="51"/>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Tento podnět je v naprostém souladu se stávajícími politikami, zejména v oblasti vnitřního trhu. Je navržen v souladu s celkovým přístupem ke kybernetické bezpečnosti, definovaným v přezkumu strategie pr</w:t>
      </w:r>
      <w:r>
        <w:rPr>
          <w:noProof/>
        </w:rPr>
        <w:t>o jednotný digitální trh, aby doplňoval komplexní soubor opatření, např. přezkum strategie kybernetické bezpečnosti EU, plán spolupráce v případě kybernetických krizí a iniciativy na boj proti kyberkriminalitě. Zajistil by sblížení s ustanoveními stávající</w:t>
      </w:r>
      <w:r>
        <w:rPr>
          <w:noProof/>
        </w:rPr>
        <w:t>ch právních předpisů o kybernetické bezpečnosti a vycházel by z nich, zejména směrnice o bezpečnosti sítí a informací, a to za účelem dalšího prosazování kybernetické odolnosti EU zlepšováním schopností, spolupráce a řízení rizik a zvyšováním informovanost</w:t>
      </w:r>
      <w:r>
        <w:rPr>
          <w:noProof/>
        </w:rPr>
        <w:t>i o otázkách kybernetické bezpečnosti.</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 xml:space="preserve">Navrhovaná certifikační opatření by měla řešit potenciální roztříštěnost způsobenou stávajícími a vznikajícími vnitrostátními systémy certifikace, čímž by přispěla k rozvoji jednotného digitálního trhu. Podnět rovněž </w:t>
      </w:r>
      <w:r>
        <w:rPr>
          <w:noProof/>
        </w:rPr>
        <w:t>podporuje a doplňuje provádění směrnice o bezpečnosti sítí a informací tím, že podnikům, na něž se směrnice vztahuje, poskytuje nástroj k prokázání souladu s požadavky na bezpečnost sítí a informací v celé Unii.</w:t>
      </w:r>
    </w:p>
    <w:p w:rsidR="00557911" w:rsidRDefault="00623804">
      <w:pPr>
        <w:pStyle w:val="Text1"/>
        <w:pBdr>
          <w:top w:val="single" w:sz="4" w:space="1" w:color="auto"/>
          <w:left w:val="single" w:sz="4" w:space="4" w:color="auto"/>
          <w:bottom w:val="single" w:sz="4" w:space="1" w:color="auto"/>
          <w:right w:val="single" w:sz="4" w:space="4" w:color="auto"/>
        </w:pBdr>
        <w:rPr>
          <w:noProof/>
          <w:sz w:val="22"/>
        </w:rPr>
      </w:pPr>
      <w:r>
        <w:rPr>
          <w:noProof/>
        </w:rPr>
        <w:t>Navrhovaným evropským rámcem pro certifikaci</w:t>
      </w:r>
      <w:r>
        <w:rPr>
          <w:noProof/>
        </w:rPr>
        <w:t xml:space="preserve"> kybernetické bezpečnosti IKT není dotčeno obecné nařízení o ochraně osobních údajů</w:t>
      </w:r>
      <w:r>
        <w:rPr>
          <w:rStyle w:val="FootnoteReference"/>
          <w:noProof/>
        </w:rPr>
        <w:footnoteReference w:id="50"/>
      </w:r>
      <w:r>
        <w:rPr>
          <w:noProof/>
        </w:rPr>
        <w:t>, a zejména příslušná ustanovení týkající se certifikace</w:t>
      </w:r>
      <w:r>
        <w:rPr>
          <w:rStyle w:val="FootnoteReference"/>
          <w:noProof/>
        </w:rPr>
        <w:footnoteReference w:id="51"/>
      </w:r>
      <w:r>
        <w:rPr>
          <w:noProof/>
        </w:rPr>
        <w:t xml:space="preserve"> uplatňovaná na bezpečnost zpracování osobních údajů. V neposlední řadě by systémy navržené v budoucím evropském rá</w:t>
      </w:r>
      <w:r>
        <w:rPr>
          <w:noProof/>
        </w:rPr>
        <w:t xml:space="preserve">mci měly vycházet z mezinárodních norem, aby se předešlo vytváření překážek obchodu a zajistila soudržnost s mezinárodními iniciativami. </w:t>
      </w:r>
    </w:p>
    <w:p w:rsidR="00557911" w:rsidRDefault="00623804">
      <w:pPr>
        <w:pStyle w:val="ManualHeading2"/>
        <w:rPr>
          <w:noProof/>
        </w:rPr>
      </w:pPr>
      <w:r>
        <w:rPr>
          <w:noProof/>
        </w:rPr>
        <w:br w:type="page"/>
      </w:r>
      <w:bookmarkStart w:id="52" w:name="_Toc492216494"/>
      <w:r>
        <w:t>1.5.</w:t>
      </w:r>
      <w:r>
        <w:tab/>
      </w:r>
      <w:r>
        <w:rPr>
          <w:noProof/>
        </w:rPr>
        <w:t>Doba trvání akce a finanční dopad</w:t>
      </w:r>
      <w:bookmarkEnd w:id="52"/>
      <w:r>
        <w:rPr>
          <w:noProof/>
        </w:rPr>
        <w:t xml:space="preserve"> </w:t>
      </w:r>
    </w:p>
    <w:p w:rsidR="00557911" w:rsidRDefault="00623804">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rsidR="00557911" w:rsidRDefault="00623804">
      <w:pPr>
        <w:pStyle w:val="Tiret1"/>
        <w:numPr>
          <w:ilvl w:val="0"/>
          <w:numId w:val="25"/>
        </w:numPr>
        <w:rPr>
          <w:noProof/>
        </w:rPr>
      </w:pPr>
      <w:r>
        <w:rPr>
          <w:noProof/>
        </w:rPr>
        <w:sym w:font="Wingdings" w:char="F0A8"/>
      </w:r>
      <w:r>
        <w:rPr>
          <w:noProof/>
        </w:rPr>
        <w:tab/>
        <w:t>Návrh/podnět s platností od [DD/MM]RRRR do [</w:t>
      </w:r>
      <w:r>
        <w:rPr>
          <w:noProof/>
        </w:rPr>
        <w:t xml:space="preserve">DD/MM]RRRR </w:t>
      </w:r>
    </w:p>
    <w:p w:rsidR="00557911" w:rsidRDefault="00623804">
      <w:pPr>
        <w:pStyle w:val="Tiret1"/>
        <w:rPr>
          <w:noProof/>
        </w:rPr>
      </w:pPr>
      <w:r>
        <w:rPr>
          <w:noProof/>
        </w:rPr>
        <w:sym w:font="Wingdings" w:char="F0A8"/>
      </w:r>
      <w:r>
        <w:rPr>
          <w:noProof/>
        </w:rPr>
        <w:tab/>
        <w:t>Finanční dopad od RRRR do RRRR</w:t>
      </w:r>
    </w:p>
    <w:p w:rsidR="00557911" w:rsidRDefault="00623804">
      <w:pPr>
        <w:pStyle w:val="Text1"/>
        <w:rPr>
          <w:noProof/>
        </w:rPr>
      </w:pPr>
      <w:r>
        <w:rPr>
          <w:noProof/>
        </w:rPr>
        <w:sym w:font="Wingdings" w:char="F078"/>
      </w:r>
      <w:r>
        <w:rPr>
          <w:b/>
          <w:i/>
          <w:noProof/>
        </w:rPr>
        <w:t xml:space="preserve"> </w:t>
      </w:r>
      <w:r>
        <w:rPr>
          <w:b/>
          <w:noProof/>
        </w:rPr>
        <w:t>Časově neomezený</w:t>
      </w:r>
      <w:r>
        <w:rPr>
          <w:noProof/>
        </w:rPr>
        <w:t xml:space="preserve"> návrh/podnět</w:t>
      </w:r>
    </w:p>
    <w:p w:rsidR="00557911" w:rsidRDefault="00623804">
      <w:pPr>
        <w:pStyle w:val="Tiret1"/>
        <w:rPr>
          <w:noProof/>
        </w:rPr>
      </w:pPr>
      <w:r>
        <w:rPr>
          <w:noProof/>
        </w:rPr>
        <w:t>Provádění s obdobím rozběhu od roku 2019 do roku 2020,</w:t>
      </w:r>
    </w:p>
    <w:p w:rsidR="00557911" w:rsidRDefault="00623804">
      <w:pPr>
        <w:pStyle w:val="Tiret1"/>
        <w:rPr>
          <w:noProof/>
        </w:rPr>
      </w:pPr>
      <w:r>
        <w:rPr>
          <w:noProof/>
        </w:rPr>
        <w:t>poté plné fungování.</w:t>
      </w:r>
    </w:p>
    <w:p w:rsidR="00557911" w:rsidRDefault="00623804">
      <w:pPr>
        <w:pStyle w:val="ManualHeading2"/>
        <w:rPr>
          <w:bCs/>
          <w:noProof/>
          <w:szCs w:val="24"/>
        </w:rPr>
      </w:pPr>
      <w:bookmarkStart w:id="53" w:name="_Toc492216495"/>
      <w:r>
        <w:t>1.6.</w:t>
      </w:r>
      <w:r>
        <w:tab/>
      </w:r>
      <w:r>
        <w:rPr>
          <w:noProof/>
        </w:rPr>
        <w:t>Předpokládaný způsob řízení</w:t>
      </w:r>
      <w:r>
        <w:rPr>
          <w:rStyle w:val="FootnoteReference"/>
          <w:noProof/>
        </w:rPr>
        <w:footnoteReference w:id="52"/>
      </w:r>
      <w:bookmarkEnd w:id="53"/>
      <w:r>
        <w:rPr>
          <w:noProof/>
        </w:rPr>
        <w:t xml:space="preserve"> </w:t>
      </w:r>
    </w:p>
    <w:p w:rsidR="00557911" w:rsidRDefault="00623804">
      <w:pPr>
        <w:pStyle w:val="Text1"/>
        <w:rPr>
          <w:noProof/>
        </w:rPr>
      </w:pPr>
      <w:r>
        <w:rPr>
          <w:noProof/>
        </w:rPr>
        <w:sym w:font="Wingdings" w:char="F078"/>
      </w:r>
      <w:r>
        <w:rPr>
          <w:i/>
          <w:noProof/>
        </w:rPr>
        <w:t xml:space="preserve"> </w:t>
      </w:r>
      <w:r>
        <w:rPr>
          <w:b/>
          <w:noProof/>
        </w:rPr>
        <w:t>Přímé řízení</w:t>
      </w:r>
      <w:r>
        <w:rPr>
          <w:noProof/>
        </w:rPr>
        <w:t xml:space="preserve"> Komisí (Hlava III – Certifikace)</w:t>
      </w:r>
    </w:p>
    <w:p w:rsidR="00557911" w:rsidRDefault="00623804">
      <w:pPr>
        <w:pStyle w:val="Tiret1"/>
        <w:rPr>
          <w:noProof/>
        </w:rPr>
      </w:pPr>
      <w:r>
        <w:rPr>
          <w:noProof/>
        </w:rPr>
        <w:sym w:font="Wingdings" w:char="F0A8"/>
      </w:r>
      <w:r>
        <w:rPr>
          <w:noProof/>
        </w:rPr>
        <w:tab/>
      </w:r>
      <w:r>
        <w:rPr>
          <w:noProof/>
        </w:rPr>
        <w:t xml:space="preserve">prostřednictvím výkonných agentur </w:t>
      </w:r>
    </w:p>
    <w:p w:rsidR="00557911" w:rsidRDefault="00623804">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rsidR="00557911" w:rsidRDefault="00623804">
      <w:pPr>
        <w:pStyle w:val="Text1"/>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rsidR="00557911" w:rsidRDefault="00623804">
      <w:pPr>
        <w:pStyle w:val="Text1"/>
        <w:rPr>
          <w:noProof/>
        </w:rPr>
      </w:pPr>
      <w:r>
        <w:rPr>
          <w:noProof/>
        </w:rPr>
        <w:sym w:font="Wingdings" w:char="F0A8"/>
      </w:r>
      <w:r>
        <w:rPr>
          <w:noProof/>
        </w:rPr>
        <w:t xml:space="preserve"> mezinárodní organizace a jejich agentury (upřesněte);</w:t>
      </w:r>
    </w:p>
    <w:p w:rsidR="00557911" w:rsidRDefault="00623804">
      <w:pPr>
        <w:pStyle w:val="Text1"/>
        <w:rPr>
          <w:noProof/>
        </w:rPr>
      </w:pPr>
      <w:r>
        <w:rPr>
          <w:noProof/>
        </w:rPr>
        <w:sym w:font="Wingdings" w:char="F0A8"/>
      </w:r>
      <w:r>
        <w:rPr>
          <w:noProof/>
        </w:rPr>
        <w:t xml:space="preserve"> EIB a Evropský investiční fond;</w:t>
      </w:r>
    </w:p>
    <w:p w:rsidR="00557911" w:rsidRDefault="00623804">
      <w:pPr>
        <w:pStyle w:val="Text1"/>
        <w:rPr>
          <w:noProof/>
        </w:rPr>
      </w:pPr>
      <w:r>
        <w:rPr>
          <w:noProof/>
        </w:rPr>
        <w:sym w:font="Wingdings" w:char="F078"/>
      </w:r>
      <w:r>
        <w:rPr>
          <w:noProof/>
        </w:rPr>
        <w:t xml:space="preserve"> subjekty u</w:t>
      </w:r>
      <w:r>
        <w:rPr>
          <w:noProof/>
        </w:rPr>
        <w:t>vedené v článcích 208 a 209 finančního nařízení (Hlava II – agentura ENISA)</w:t>
      </w:r>
    </w:p>
    <w:p w:rsidR="00557911" w:rsidRDefault="00623804">
      <w:pPr>
        <w:pStyle w:val="Text1"/>
        <w:rPr>
          <w:noProof/>
        </w:rPr>
      </w:pPr>
      <w:r>
        <w:rPr>
          <w:noProof/>
        </w:rPr>
        <w:sym w:font="Wingdings" w:char="F0A8"/>
      </w:r>
      <w:r>
        <w:rPr>
          <w:noProof/>
        </w:rPr>
        <w:t xml:space="preserve"> veřejnoprávní subjekty;</w:t>
      </w:r>
    </w:p>
    <w:p w:rsidR="00557911" w:rsidRDefault="00623804">
      <w:pPr>
        <w:pStyle w:val="Text1"/>
        <w:rPr>
          <w:noProof/>
        </w:rPr>
      </w:pPr>
      <w:r>
        <w:rPr>
          <w:noProof/>
        </w:rPr>
        <w:sym w:font="Wingdings" w:char="F0A8"/>
      </w:r>
      <w:r>
        <w:rPr>
          <w:noProof/>
        </w:rPr>
        <w:t xml:space="preserve"> soukromoprávní subjekty pověřené výkonem veřejné služby v rozsahu, v jakém poskytují dostatečné finanční záruky;</w:t>
      </w:r>
    </w:p>
    <w:p w:rsidR="00557911" w:rsidRDefault="00623804">
      <w:pPr>
        <w:pStyle w:val="Text1"/>
        <w:rPr>
          <w:noProof/>
        </w:rPr>
      </w:pPr>
      <w:r>
        <w:rPr>
          <w:noProof/>
        </w:rPr>
        <w:sym w:font="Wingdings" w:char="F0A8"/>
      </w:r>
      <w:r>
        <w:rPr>
          <w:noProof/>
        </w:rPr>
        <w:t xml:space="preserve"> soukromoprávní subjekty členského stá</w:t>
      </w:r>
      <w:r>
        <w:rPr>
          <w:noProof/>
        </w:rPr>
        <w:t>tu pověřené uskutečňováním partnerství soukromého a veřejného sektoru a poskytující dostatečné finanční záruky;</w:t>
      </w:r>
    </w:p>
    <w:p w:rsidR="00557911" w:rsidRDefault="00623804">
      <w:pPr>
        <w:pStyle w:val="Text1"/>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w:t>
      </w:r>
      <w:r>
        <w:rPr>
          <w:noProof/>
        </w:rPr>
        <w:t>šném základním právním aktu.</w:t>
      </w:r>
    </w:p>
    <w:p w:rsidR="00557911" w:rsidRDefault="00623804">
      <w:pPr>
        <w:rPr>
          <w:noProof/>
        </w:rPr>
      </w:pPr>
      <w:r>
        <w:rPr>
          <w:noProof/>
        </w:rPr>
        <w:t xml:space="preserve">Poznámky </w:t>
      </w:r>
    </w:p>
    <w:p w:rsidR="00557911" w:rsidRDefault="00623804">
      <w:pPr>
        <w:pBdr>
          <w:top w:val="single" w:sz="4" w:space="1" w:color="auto"/>
          <w:left w:val="single" w:sz="4" w:space="4" w:color="auto"/>
          <w:bottom w:val="single" w:sz="4" w:space="1" w:color="auto"/>
          <w:right w:val="single" w:sz="4" w:space="4" w:color="auto"/>
        </w:pBdr>
        <w:rPr>
          <w:noProof/>
        </w:rPr>
      </w:pPr>
      <w:r>
        <w:rPr>
          <w:noProof/>
        </w:rPr>
        <w:t>Nařízení se vztahuje na:</w:t>
      </w:r>
    </w:p>
    <w:p w:rsidR="00557911" w:rsidRDefault="00623804">
      <w:pPr>
        <w:pBdr>
          <w:top w:val="single" w:sz="4" w:space="1" w:color="auto"/>
          <w:left w:val="single" w:sz="4" w:space="4" w:color="auto"/>
          <w:bottom w:val="single" w:sz="4" w:space="1" w:color="auto"/>
          <w:right w:val="single" w:sz="4" w:space="4" w:color="auto"/>
        </w:pBdr>
        <w:rPr>
          <w:noProof/>
        </w:rPr>
      </w:pPr>
      <w:r>
        <w:rPr>
          <w:noProof/>
        </w:rPr>
        <w:t xml:space="preserve"> – hlava II navrhovaného nařízení přezkoumává mandát Agentury Evropské unie pro bezpečnost sítí a informací (ENISA) a přiznává jí důležitou úlohu při certifikaci, zatímco</w:t>
      </w:r>
    </w:p>
    <w:p w:rsidR="00557911" w:rsidRDefault="00623804">
      <w:pPr>
        <w:pBdr>
          <w:top w:val="single" w:sz="4" w:space="1" w:color="auto"/>
          <w:left w:val="single" w:sz="4" w:space="4" w:color="auto"/>
          <w:bottom w:val="single" w:sz="4" w:space="1" w:color="auto"/>
          <w:right w:val="single" w:sz="4" w:space="4" w:color="auto"/>
        </w:pBdr>
        <w:rPr>
          <w:noProof/>
        </w:rPr>
      </w:pPr>
      <w:r>
        <w:rPr>
          <w:noProof/>
        </w:rPr>
        <w:t xml:space="preserve"> – hlava III zřizuje rámec pro vytvoření evropských systémů certifikace kybernetické bezpečnosti produktů a služeb IKT, v němž agentura ENISA plní zásadní úlohu. </w:t>
      </w:r>
    </w:p>
    <w:p w:rsidR="00557911" w:rsidRDefault="00557911">
      <w:pPr>
        <w:pBdr>
          <w:top w:val="single" w:sz="4" w:space="1" w:color="auto"/>
          <w:left w:val="single" w:sz="4" w:space="4" w:color="auto"/>
          <w:bottom w:val="single" w:sz="4" w:space="1" w:color="auto"/>
          <w:right w:val="single" w:sz="4" w:space="4" w:color="auto"/>
        </w:pBdr>
        <w:rPr>
          <w:noProof/>
        </w:rPr>
        <w:sectPr w:rsidR="00557911" w:rsidSect="00623804">
          <w:pgSz w:w="11907" w:h="16839" w:code="9"/>
          <w:pgMar w:top="794" w:right="907" w:bottom="851" w:left="1361" w:header="510" w:footer="454" w:gutter="0"/>
          <w:cols w:space="720"/>
          <w:docGrid w:linePitch="326"/>
        </w:sectPr>
      </w:pPr>
    </w:p>
    <w:p w:rsidR="00557911" w:rsidRDefault="00623804">
      <w:pPr>
        <w:pStyle w:val="ManualHeading1"/>
        <w:rPr>
          <w:bCs/>
          <w:noProof/>
          <w:szCs w:val="24"/>
        </w:rPr>
      </w:pPr>
      <w:bookmarkStart w:id="54" w:name="_Toc492216496"/>
      <w:r>
        <w:t>2.</w:t>
      </w:r>
      <w:r>
        <w:tab/>
      </w:r>
      <w:r>
        <w:rPr>
          <w:noProof/>
        </w:rPr>
        <w:t>SPRÁVNÍ OPATŘENÍ</w:t>
      </w:r>
      <w:bookmarkEnd w:id="54"/>
      <w:r>
        <w:rPr>
          <w:noProof/>
        </w:rPr>
        <w:t xml:space="preserve"> </w:t>
      </w:r>
    </w:p>
    <w:p w:rsidR="00557911" w:rsidRDefault="00623804">
      <w:pPr>
        <w:pStyle w:val="ManualHeading2"/>
        <w:rPr>
          <w:bCs/>
          <w:noProof/>
          <w:szCs w:val="24"/>
        </w:rPr>
      </w:pPr>
      <w:bookmarkStart w:id="55" w:name="_Toc492216497"/>
      <w:r>
        <w:t>2.1.</w:t>
      </w:r>
      <w:r>
        <w:tab/>
      </w:r>
      <w:r>
        <w:rPr>
          <w:noProof/>
        </w:rPr>
        <w:t>Pravidla pro sledování a podávání zpráv</w:t>
      </w:r>
      <w:bookmarkEnd w:id="55"/>
      <w:r>
        <w:rPr>
          <w:noProof/>
        </w:rPr>
        <w:t xml:space="preserve"> </w:t>
      </w:r>
    </w:p>
    <w:p w:rsidR="00557911" w:rsidRDefault="00623804">
      <w:pPr>
        <w:pStyle w:val="Text1"/>
        <w:rPr>
          <w:i/>
          <w:noProof/>
          <w:sz w:val="20"/>
        </w:rPr>
      </w:pPr>
      <w:r>
        <w:rPr>
          <w:i/>
          <w:noProof/>
          <w:sz w:val="20"/>
        </w:rPr>
        <w:t>Upře</w:t>
      </w:r>
      <w:r>
        <w:rPr>
          <w:i/>
          <w:noProof/>
          <w:sz w:val="20"/>
        </w:rPr>
        <w:t>sněte četnost a podmínky.</w:t>
      </w:r>
    </w:p>
    <w:p w:rsidR="00557911" w:rsidRDefault="00557911">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557911">
        <w:tc>
          <w:tcPr>
            <w:tcW w:w="10188" w:type="dxa"/>
          </w:tcPr>
          <w:p w:rsidR="00557911" w:rsidRDefault="00623804">
            <w:pPr>
              <w:pStyle w:val="Body"/>
              <w:rPr>
                <w:noProof/>
                <w:color w:val="auto"/>
              </w:rPr>
            </w:pPr>
            <w:r>
              <w:rPr>
                <w:noProof/>
                <w:color w:val="auto"/>
              </w:rPr>
              <w:t>Sledování bude zahájeno ihned po přijetí právního nástroje a bude se zaměřovat na jeho uplatňování. Komise bude organizovat setkání s agenturou ENISA, zástupci členských států (např. skupinou odborníků) a příslušnými zúčastněnými stranami, zejména za účele</w:t>
            </w:r>
            <w:r>
              <w:rPr>
                <w:noProof/>
                <w:color w:val="auto"/>
              </w:rPr>
              <w:t xml:space="preserve">m usnadnění provádění předpisů týkajících se certifikace, jak např. zřízení rady. </w:t>
            </w:r>
          </w:p>
          <w:p w:rsidR="00557911" w:rsidRDefault="00623804">
            <w:pPr>
              <w:ind w:right="-29"/>
              <w:rPr>
                <w:noProof/>
              </w:rPr>
            </w:pPr>
            <w:r>
              <w:rPr>
                <w:noProof/>
              </w:rPr>
              <w:t>První hodnocení by se mělo konat pět let po vstupu právního nástroje v platnost, budou-li k dispozici dostatečné údaje. Do právního nástroje je začleněno explicitní ustanove</w:t>
            </w:r>
            <w:r>
              <w:rPr>
                <w:noProof/>
              </w:rPr>
              <w:t>ní o hodnocení a přezkumu [článek XXX], na jehož základě Komise provede nezávislé hodnocení. Komise následně o svém hodnocení podá zprávu Evropskému parlamentu a Radě, případně spolu s návrhem na přezkum, za účelem změření dopadu nařízení a jeho přidané ho</w:t>
            </w:r>
            <w:r>
              <w:rPr>
                <w:noProof/>
              </w:rPr>
              <w:t>dnoty. Další hodnocení by se měla konat každých pět let. Na hodnocení se použije metodika Komise pro zdokonalení tvorby právních předpisů. Tato hodnocení budou provedena s pomocí cílených odborných diskusí, studií a širokých konzultací se zúčastněnými stra</w:t>
            </w:r>
            <w:r>
              <w:rPr>
                <w:noProof/>
              </w:rPr>
              <w:t xml:space="preserve">nami. </w:t>
            </w:r>
          </w:p>
          <w:p w:rsidR="00557911" w:rsidRDefault="00623804">
            <w:pPr>
              <w:ind w:right="-29"/>
              <w:rPr>
                <w:noProof/>
              </w:rPr>
            </w:pPr>
            <w:r>
              <w:rPr>
                <w:noProof/>
              </w:rPr>
              <w:t xml:space="preserve">Výkonný ředitel agentury ENISA by měl správní radě každé dva roky předložit hodnocení </w:t>
            </w:r>
            <w:r>
              <w:rPr>
                <w:i/>
                <w:noProof/>
              </w:rPr>
              <w:t>ex post</w:t>
            </w:r>
            <w:r>
              <w:rPr>
                <w:noProof/>
              </w:rPr>
              <w:t xml:space="preserve"> týkající se činnosti agentury ENISA. Agentura by rovněž měla vypracovat akční plán v návaznosti na závěry zpětných hodnocení a jednou za dva roky podat Kom</w:t>
            </w:r>
            <w:r>
              <w:rPr>
                <w:noProof/>
              </w:rPr>
              <w:t xml:space="preserve">isi zprávu o pokroku. Za dohled nad přijetím odpovídajících opatření v návaznosti na tyto závěry by měla nést odpovědnost správní rada. </w:t>
            </w:r>
          </w:p>
          <w:p w:rsidR="00557911" w:rsidRDefault="00623804">
            <w:pPr>
              <w:ind w:right="-29"/>
              <w:rPr>
                <w:noProof/>
              </w:rPr>
            </w:pPr>
            <w:r>
              <w:rPr>
                <w:noProof/>
              </w:rPr>
              <w:t>Údajné případy nesprávného úředního postupu při činnostech agentury mohou podléhat šetřením evropského veřejného ochrán</w:t>
            </w:r>
            <w:r>
              <w:rPr>
                <w:noProof/>
              </w:rPr>
              <w:t>ce práv podle ustanovení článku 228 Smlouvy.</w:t>
            </w:r>
          </w:p>
          <w:p w:rsidR="00557911" w:rsidRDefault="00623804">
            <w:pPr>
              <w:rPr>
                <w:i/>
                <w:noProof/>
                <w:sz w:val="20"/>
              </w:rPr>
            </w:pPr>
            <w:r>
              <w:rPr>
                <w:noProof/>
              </w:rPr>
              <w:t>Zdrojem údajů pro plánované sledování by byly převážně agentura ENISA, Evropská skupina pro certifikaci kybernetické bezpečnosti, skupina pro spolupráci, síť CSIRT a orgány členských států. Kromě údajů získaných</w:t>
            </w:r>
            <w:r>
              <w:rPr>
                <w:noProof/>
              </w:rPr>
              <w:t xml:space="preserve"> ze zpráv (včetně výročních zpráv o činnosti) agentury ENISA, Evropské skupiny pro certifikaci kybernetické bezpečnosti, skupiny pro spolupráci a sítě CSIRT se v případě potřeby použijí konkrétní nástroje pro shromažďování údajů (například průzkumy provádě</w:t>
            </w:r>
            <w:r>
              <w:rPr>
                <w:noProof/>
              </w:rPr>
              <w:t>né u vnitrostátních orgánů, Eurobarometr a zprávy z kampaně Měsíc kybernetické bezpečnosti a z celoevropských cvičení).</w:t>
            </w:r>
          </w:p>
        </w:tc>
      </w:tr>
    </w:tbl>
    <w:p w:rsidR="00557911" w:rsidRDefault="00557911">
      <w:pPr>
        <w:pStyle w:val="Text1"/>
        <w:rPr>
          <w:i/>
          <w:noProof/>
          <w:sz w:val="20"/>
        </w:rPr>
      </w:pPr>
    </w:p>
    <w:p w:rsidR="00557911" w:rsidRDefault="00623804">
      <w:pPr>
        <w:pStyle w:val="ManualHeading2"/>
        <w:rPr>
          <w:bCs/>
          <w:noProof/>
          <w:szCs w:val="24"/>
        </w:rPr>
      </w:pPr>
      <w:bookmarkStart w:id="56" w:name="_Toc492216498"/>
      <w:r>
        <w:t>2.2.</w:t>
      </w:r>
      <w:r>
        <w:tab/>
      </w:r>
      <w:r>
        <w:rPr>
          <w:noProof/>
        </w:rPr>
        <w:t>Systém řízení a kontroly</w:t>
      </w:r>
      <w:bookmarkEnd w:id="56"/>
      <w:r>
        <w:rPr>
          <w:noProof/>
        </w:rPr>
        <w:t xml:space="preserve"> </w:t>
      </w:r>
    </w:p>
    <w:p w:rsidR="00557911" w:rsidRDefault="00623804">
      <w:pPr>
        <w:pStyle w:val="ManualHeading3"/>
        <w:rPr>
          <w:bCs/>
          <w:noProof/>
          <w:szCs w:val="24"/>
        </w:rPr>
      </w:pPr>
      <w:bookmarkStart w:id="57" w:name="_Toc492216499"/>
      <w:r>
        <w:t>2.2.1.</w:t>
      </w:r>
      <w:r>
        <w:tab/>
      </w:r>
      <w:r>
        <w:rPr>
          <w:noProof/>
        </w:rPr>
        <w:t>Zjištěná rizika</w:t>
      </w:r>
      <w:bookmarkEnd w:id="57"/>
      <w:r>
        <w:rPr>
          <w:noProof/>
        </w:rPr>
        <w:t xml:space="preserve"> </w:t>
      </w:r>
    </w:p>
    <w:p w:rsidR="00557911" w:rsidRDefault="00623804">
      <w:pPr>
        <w:pBdr>
          <w:top w:val="single" w:sz="4" w:space="1" w:color="auto"/>
          <w:left w:val="single" w:sz="4" w:space="4" w:color="auto"/>
          <w:bottom w:val="single" w:sz="4" w:space="1" w:color="auto"/>
          <w:right w:val="single" w:sz="4" w:space="4" w:color="auto"/>
        </w:pBdr>
        <w:ind w:left="851"/>
        <w:rPr>
          <w:noProof/>
        </w:rPr>
      </w:pPr>
      <w:r>
        <w:rPr>
          <w:noProof/>
        </w:rPr>
        <w:t>Zjištěná rizika jsou omezená: agentura Unie již existuje a její mandát bude vymezen posílením oblastí, kde se jasně ukázala přidaná hodnota agentury, doplněním nových oblastí, v nichž je nezbytná pomoc s ohledem na nové politické priority a nástroje, zejmé</w:t>
      </w:r>
      <w:r>
        <w:rPr>
          <w:noProof/>
        </w:rPr>
        <w:t xml:space="preserve">na na směrnici o bezpečnosti sítí a informací, na přezkum strategie kybernetické bezpečnosti EU a na nadcházející plán kybernetické bezpečnosti EU pro spolupráci v případě kybernetických krizí a pro certifikaci bezpečnosti IKT. </w:t>
      </w:r>
    </w:p>
    <w:p w:rsidR="00557911" w:rsidRDefault="00623804">
      <w:pPr>
        <w:pBdr>
          <w:top w:val="single" w:sz="4" w:space="1" w:color="auto"/>
          <w:left w:val="single" w:sz="4" w:space="4" w:color="auto"/>
          <w:bottom w:val="single" w:sz="4" w:space="1" w:color="auto"/>
          <w:right w:val="single" w:sz="4" w:space="4" w:color="auto"/>
        </w:pBdr>
        <w:ind w:left="851"/>
        <w:rPr>
          <w:noProof/>
          <w:szCs w:val="24"/>
        </w:rPr>
      </w:pPr>
      <w:r>
        <w:rPr>
          <w:noProof/>
        </w:rPr>
        <w:t>Návrh proto podrobně popisu</w:t>
      </w:r>
      <w:r>
        <w:rPr>
          <w:noProof/>
        </w:rPr>
        <w:t xml:space="preserve">je funkce agentury a vede k úsporám z důvodu vyšší efektivity. Zvýšení operačních pravomocí a úkolů nepředstavuje skutečné riziko, jelikož tyto úkoly a pravomoci mají doplňovat opatření členských států a na jejich žádost je podporovat ve vztahu k omezeným </w:t>
      </w:r>
      <w:r>
        <w:rPr>
          <w:noProof/>
        </w:rPr>
        <w:t xml:space="preserve">a předem identifikovaným službám. </w:t>
      </w:r>
    </w:p>
    <w:p w:rsidR="00557911" w:rsidRDefault="00623804">
      <w:pPr>
        <w:pBdr>
          <w:top w:val="single" w:sz="4" w:space="1" w:color="auto"/>
          <w:left w:val="single" w:sz="4" w:space="4" w:color="auto"/>
          <w:bottom w:val="single" w:sz="4" w:space="1" w:color="auto"/>
          <w:right w:val="single" w:sz="4" w:space="4" w:color="auto"/>
        </w:pBdr>
        <w:ind w:left="851"/>
        <w:rPr>
          <w:noProof/>
        </w:rPr>
      </w:pPr>
      <w:r>
        <w:rPr>
          <w:noProof/>
        </w:rPr>
        <w:t>V rámci společného přístupu navrhovaný model agentury navíc zajistí, že bude zavedena dostatečná kontrola zaručující, že agentura ENISA plní své cíle. Provozní a finanční rizika navrhovaných změn se zdají být omezená.</w:t>
      </w:r>
    </w:p>
    <w:p w:rsidR="00557911" w:rsidRDefault="00623804">
      <w:pPr>
        <w:pBdr>
          <w:top w:val="single" w:sz="4" w:space="1" w:color="auto"/>
          <w:left w:val="single" w:sz="4" w:space="4" w:color="auto"/>
          <w:bottom w:val="single" w:sz="4" w:space="1" w:color="auto"/>
          <w:right w:val="single" w:sz="4" w:space="4" w:color="auto"/>
        </w:pBdr>
        <w:ind w:left="851"/>
        <w:rPr>
          <w:noProof/>
        </w:rPr>
      </w:pPr>
      <w:r>
        <w:rPr>
          <w:noProof/>
        </w:rPr>
        <w:t>Zár</w:t>
      </w:r>
      <w:r>
        <w:rPr>
          <w:noProof/>
        </w:rPr>
        <w:t xml:space="preserve">oveň je nutné zajistit přiměřené finanční zdroje, aby agentura ENISA mohla plnit úkoly, které jí byly svěřeny novým mandátem, a to i v oblasti certifikace. </w:t>
      </w:r>
    </w:p>
    <w:p w:rsidR="00557911" w:rsidRDefault="00557911">
      <w:pPr>
        <w:rPr>
          <w:bCs/>
          <w:noProof/>
          <w:szCs w:val="24"/>
        </w:rPr>
      </w:pPr>
    </w:p>
    <w:p w:rsidR="00557911" w:rsidRDefault="00623804">
      <w:pPr>
        <w:pStyle w:val="ManualHeading3"/>
        <w:rPr>
          <w:bCs/>
          <w:noProof/>
          <w:szCs w:val="24"/>
        </w:rPr>
      </w:pPr>
      <w:bookmarkStart w:id="58" w:name="_Toc492216500"/>
      <w:r>
        <w:t>2.2.2.</w:t>
      </w:r>
      <w:r>
        <w:tab/>
      </w:r>
      <w:r>
        <w:rPr>
          <w:noProof/>
        </w:rPr>
        <w:t>Předpokládané metody kontroly</w:t>
      </w:r>
      <w:bookmarkEnd w:id="58"/>
      <w:r>
        <w:rPr>
          <w:noProof/>
        </w:rPr>
        <w:t xml:space="preserve"> </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Účetní závěrky agentury budou předkládány ke schválení Účetn</w:t>
      </w:r>
      <w:r>
        <w:rPr>
          <w:noProof/>
        </w:rPr>
        <w:t xml:space="preserve">ímu dvoru a budou podléhat postupu udělení absolutoria; zároveň se počítá s audity. </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 xml:space="preserve">Činnost agentury je rovněž pod dohledem veřejného ochránce práv v souladu s článkem 228 Smlouvy. </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Viz také body 2.1 a 2.2.1 výše.</w:t>
      </w:r>
    </w:p>
    <w:p w:rsidR="00557911" w:rsidRDefault="00557911">
      <w:pPr>
        <w:rPr>
          <w:bCs/>
          <w:noProof/>
          <w:szCs w:val="24"/>
        </w:rPr>
      </w:pPr>
    </w:p>
    <w:p w:rsidR="00557911" w:rsidRDefault="00623804">
      <w:pPr>
        <w:pStyle w:val="ManualHeading2"/>
        <w:rPr>
          <w:bCs/>
          <w:noProof/>
          <w:szCs w:val="24"/>
        </w:rPr>
      </w:pPr>
      <w:bookmarkStart w:id="59" w:name="_Toc492216501"/>
      <w:r>
        <w:t>2.3.</w:t>
      </w:r>
      <w:r>
        <w:tab/>
      </w:r>
      <w:r>
        <w:rPr>
          <w:noProof/>
        </w:rPr>
        <w:t>Opatření k zamezení podvodů a nesro</w:t>
      </w:r>
      <w:r>
        <w:rPr>
          <w:noProof/>
        </w:rPr>
        <w:t>vnalostí</w:t>
      </w:r>
      <w:bookmarkEnd w:id="59"/>
      <w:r>
        <w:rPr>
          <w:noProof/>
        </w:rPr>
        <w:t xml:space="preserve"> </w:t>
      </w:r>
    </w:p>
    <w:p w:rsidR="00557911" w:rsidRDefault="00623804">
      <w:pPr>
        <w:pStyle w:val="Text1"/>
        <w:rPr>
          <w:i/>
          <w:noProof/>
          <w:sz w:val="20"/>
        </w:rPr>
      </w:pPr>
      <w:r>
        <w:rPr>
          <w:i/>
          <w:noProof/>
          <w:sz w:val="20"/>
        </w:rPr>
        <w:t>Upřesněte stávající či předpokládaná preventivní a ochranná opatření.</w:t>
      </w:r>
    </w:p>
    <w:p w:rsidR="00557911" w:rsidRDefault="00623804">
      <w:pPr>
        <w:pBdr>
          <w:top w:val="single" w:sz="4" w:space="1" w:color="auto"/>
          <w:left w:val="single" w:sz="4" w:space="5" w:color="auto"/>
          <w:bottom w:val="single" w:sz="4" w:space="1" w:color="auto"/>
          <w:right w:val="single" w:sz="4" w:space="4" w:color="auto"/>
        </w:pBdr>
        <w:ind w:left="851"/>
        <w:rPr>
          <w:noProof/>
        </w:rPr>
      </w:pPr>
      <w:r>
        <w:rPr>
          <w:noProof/>
        </w:rPr>
        <w:t>Použijí se preventivní a ochranná opatření agentury ENISA, konkrétně:</w:t>
      </w:r>
    </w:p>
    <w:p w:rsidR="00557911" w:rsidRDefault="00623804">
      <w:pPr>
        <w:pBdr>
          <w:top w:val="single" w:sz="4" w:space="1" w:color="auto"/>
          <w:left w:val="single" w:sz="4" w:space="5" w:color="auto"/>
          <w:bottom w:val="single" w:sz="4" w:space="1" w:color="auto"/>
          <w:right w:val="single" w:sz="4" w:space="4" w:color="auto"/>
        </w:pBdr>
        <w:ind w:left="851"/>
        <w:rPr>
          <w:noProof/>
        </w:rPr>
      </w:pPr>
      <w:r>
        <w:rPr>
          <w:noProof/>
        </w:rPr>
        <w:t>– Platby za veškeré požadované služby nebo studie jsou před provedením kontrolovány zaměstnanci agentury p</w:t>
      </w:r>
      <w:r>
        <w:rPr>
          <w:noProof/>
        </w:rPr>
        <w:t>ři zohlednění veškerých smluvních závazků, hospodářských zásad a osvědčených finančních nebo řídicích postupů. Ustanovení proti podvodům jsou součástí veškerých dohod a smluv uzavřených mezi agenturou a příjemci jakýchkoli plateb (dohled, požadavky na hláš</w:t>
      </w:r>
      <w:r>
        <w:rPr>
          <w:noProof/>
        </w:rPr>
        <w:t>ení atd.).</w:t>
      </w:r>
    </w:p>
    <w:p w:rsidR="00557911" w:rsidRDefault="00623804">
      <w:pPr>
        <w:pBdr>
          <w:top w:val="single" w:sz="4" w:space="1" w:color="auto"/>
          <w:left w:val="single" w:sz="4" w:space="5" w:color="auto"/>
          <w:bottom w:val="single" w:sz="4" w:space="1" w:color="auto"/>
          <w:right w:val="single" w:sz="4" w:space="4" w:color="auto"/>
        </w:pBdr>
        <w:ind w:left="851"/>
        <w:rPr>
          <w:noProof/>
        </w:rPr>
      </w:pPr>
      <w:r>
        <w:rPr>
          <w:noProof/>
        </w:rPr>
        <w:t xml:space="preserve">– V zájmu boje proti podvodům, korupci a jiným protiprávním činnostem se na agenturu bez omezení vztahuje nařízení Evropského parlamentu a Rady (EU, Euratom) č. 883/2013 a nařízení Rady ze dne 25. května 1999 o vyšetřování prováděném Evropským </w:t>
      </w:r>
      <w:r>
        <w:rPr>
          <w:noProof/>
        </w:rPr>
        <w:t>úřadem pro boj proti podvodům (OLAF).</w:t>
      </w:r>
    </w:p>
    <w:p w:rsidR="00557911" w:rsidRDefault="00623804">
      <w:pPr>
        <w:pBdr>
          <w:top w:val="single" w:sz="4" w:space="1" w:color="auto"/>
          <w:left w:val="single" w:sz="4" w:space="5" w:color="auto"/>
          <w:bottom w:val="single" w:sz="4" w:space="1" w:color="auto"/>
          <w:right w:val="single" w:sz="4" w:space="4" w:color="auto"/>
        </w:pBdr>
        <w:ind w:left="851"/>
        <w:rPr>
          <w:noProof/>
        </w:rPr>
      </w:pPr>
      <w:r>
        <w:rPr>
          <w:noProof/>
        </w:rPr>
        <w:t>– Agentura do šesti měsíců ode dne vstupu tohoto nařízení v platnost přistoupí k interinstitucionální dohodě ze dne 25. května 1999 mezi Evropským parlamentem, Radou Evropské unie a Komisí Evropských společenství o int</w:t>
      </w:r>
      <w:r>
        <w:rPr>
          <w:noProof/>
        </w:rPr>
        <w:t>erním vyšetřování prováděném Evropským úřadem pro boj proti podvodům (OLAF) a neprodleně přijme příslušná ustanovení vztahující se na všechny zaměstnance agentury.</w:t>
      </w:r>
    </w:p>
    <w:p w:rsidR="00557911" w:rsidRDefault="00557911">
      <w:pPr>
        <w:rPr>
          <w:noProof/>
        </w:rPr>
        <w:sectPr w:rsidR="00557911" w:rsidSect="00623804">
          <w:pgSz w:w="12240" w:h="15840"/>
          <w:pgMar w:top="794" w:right="907" w:bottom="851" w:left="1361" w:header="510" w:footer="454" w:gutter="0"/>
          <w:cols w:space="720"/>
          <w:docGrid w:linePitch="326"/>
        </w:sectPr>
      </w:pPr>
    </w:p>
    <w:p w:rsidR="00557911" w:rsidRDefault="00623804">
      <w:pPr>
        <w:pStyle w:val="ManualHeading1"/>
        <w:rPr>
          <w:bCs/>
          <w:noProof/>
          <w:szCs w:val="24"/>
        </w:rPr>
      </w:pPr>
      <w:r>
        <w:t>3.</w:t>
      </w:r>
      <w:r>
        <w:tab/>
      </w:r>
      <w:r>
        <w:rPr>
          <w:noProof/>
        </w:rPr>
        <w:t xml:space="preserve">ODHADOVANÝ FINANČNÍ DOPAD NÁVRHU/PODNĚTU </w:t>
      </w:r>
    </w:p>
    <w:p w:rsidR="00557911" w:rsidRDefault="00623804">
      <w:pPr>
        <w:pStyle w:val="ManualHeading2"/>
        <w:rPr>
          <w:bCs/>
          <w:noProof/>
          <w:szCs w:val="24"/>
        </w:rPr>
      </w:pPr>
      <w:r>
        <w:t>3.1.</w:t>
      </w:r>
      <w:r>
        <w:tab/>
      </w:r>
      <w:r>
        <w:rPr>
          <w:noProof/>
        </w:rPr>
        <w:t>Okruhy víceletého finanční</w:t>
      </w:r>
      <w:r>
        <w:rPr>
          <w:noProof/>
        </w:rPr>
        <w:t xml:space="preserve">ho rámce a dotčené výdajové rozpočtové položky </w:t>
      </w:r>
    </w:p>
    <w:p w:rsidR="00557911" w:rsidRDefault="00623804">
      <w:pPr>
        <w:pStyle w:val="Bullet1"/>
        <w:rPr>
          <w:noProof/>
        </w:rPr>
      </w:pPr>
      <w:r>
        <w:rPr>
          <w:noProof/>
        </w:rPr>
        <w:t xml:space="preserve">Stávající rozpočtové položky </w:t>
      </w:r>
    </w:p>
    <w:p w:rsidR="00557911" w:rsidRDefault="00623804">
      <w:pPr>
        <w:pStyle w:val="Text1"/>
        <w:rPr>
          <w:noProof/>
        </w:rPr>
      </w:pPr>
      <w:r>
        <w:rPr>
          <w:noProof/>
          <w:u w:val="single"/>
        </w:rPr>
        <w:t xml:space="preserve">V pořadí </w:t>
      </w:r>
      <w:r>
        <w:rPr>
          <w:noProof/>
        </w:rPr>
        <w:t>okruhů víceletého finančního rámce a rozpočtových položek.</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557911">
        <w:tc>
          <w:tcPr>
            <w:tcW w:w="1842" w:type="dxa"/>
            <w:vMerge w:val="restart"/>
            <w:vAlign w:val="center"/>
          </w:tcPr>
          <w:p w:rsidR="00557911" w:rsidRDefault="00623804">
            <w:pPr>
              <w:spacing w:before="60" w:after="60"/>
              <w:jc w:val="center"/>
              <w:rPr>
                <w:noProof/>
                <w:sz w:val="18"/>
              </w:rPr>
            </w:pPr>
            <w:r>
              <w:rPr>
                <w:noProof/>
                <w:sz w:val="18"/>
              </w:rPr>
              <w:t>Okruh víceletého finančního rámce</w:t>
            </w:r>
          </w:p>
        </w:tc>
        <w:tc>
          <w:tcPr>
            <w:tcW w:w="2694" w:type="dxa"/>
            <w:vAlign w:val="center"/>
          </w:tcPr>
          <w:p w:rsidR="00557911" w:rsidRDefault="00623804">
            <w:pPr>
              <w:spacing w:before="60" w:after="60"/>
              <w:jc w:val="center"/>
              <w:rPr>
                <w:noProof/>
              </w:rPr>
            </w:pPr>
            <w:r>
              <w:rPr>
                <w:noProof/>
                <w:sz w:val="20"/>
              </w:rPr>
              <w:t>Rozpočtová položka</w:t>
            </w:r>
          </w:p>
        </w:tc>
        <w:tc>
          <w:tcPr>
            <w:tcW w:w="798" w:type="dxa"/>
            <w:vAlign w:val="center"/>
          </w:tcPr>
          <w:p w:rsidR="00557911" w:rsidRDefault="00623804">
            <w:pPr>
              <w:spacing w:before="60" w:after="60"/>
              <w:jc w:val="center"/>
              <w:rPr>
                <w:noProof/>
              </w:rPr>
            </w:pPr>
            <w:r>
              <w:rPr>
                <w:noProof/>
                <w:sz w:val="18"/>
              </w:rPr>
              <w:t xml:space="preserve">Druh </w:t>
            </w:r>
            <w:r>
              <w:rPr>
                <w:noProof/>
                <w:sz w:val="22"/>
              </w:rPr>
              <w:br/>
            </w:r>
            <w:r>
              <w:rPr>
                <w:noProof/>
                <w:sz w:val="18"/>
              </w:rPr>
              <w:t>výdaje</w:t>
            </w:r>
          </w:p>
        </w:tc>
        <w:tc>
          <w:tcPr>
            <w:tcW w:w="5013" w:type="dxa"/>
            <w:gridSpan w:val="4"/>
            <w:vAlign w:val="center"/>
          </w:tcPr>
          <w:p w:rsidR="00557911" w:rsidRDefault="00623804">
            <w:pPr>
              <w:spacing w:before="60" w:after="60"/>
              <w:jc w:val="center"/>
              <w:rPr>
                <w:noProof/>
              </w:rPr>
            </w:pPr>
            <w:r>
              <w:rPr>
                <w:noProof/>
                <w:sz w:val="20"/>
              </w:rPr>
              <w:t xml:space="preserve">Příspěvek </w:t>
            </w:r>
          </w:p>
        </w:tc>
      </w:tr>
      <w:tr w:rsidR="00557911">
        <w:tc>
          <w:tcPr>
            <w:tcW w:w="1842" w:type="dxa"/>
            <w:vMerge/>
            <w:vAlign w:val="center"/>
          </w:tcPr>
          <w:p w:rsidR="00557911" w:rsidRDefault="00557911">
            <w:pPr>
              <w:rPr>
                <w:noProof/>
                <w:sz w:val="18"/>
              </w:rPr>
            </w:pPr>
          </w:p>
        </w:tc>
        <w:tc>
          <w:tcPr>
            <w:tcW w:w="2694" w:type="dxa"/>
            <w:vAlign w:val="center"/>
          </w:tcPr>
          <w:p w:rsidR="00557911" w:rsidRDefault="00557911">
            <w:pPr>
              <w:rPr>
                <w:noProof/>
              </w:rPr>
            </w:pPr>
          </w:p>
        </w:tc>
        <w:tc>
          <w:tcPr>
            <w:tcW w:w="798" w:type="dxa"/>
            <w:vAlign w:val="center"/>
          </w:tcPr>
          <w:p w:rsidR="00557911" w:rsidRDefault="00623804">
            <w:pPr>
              <w:jc w:val="center"/>
              <w:rPr>
                <w:noProof/>
              </w:rPr>
            </w:pPr>
            <w:r>
              <w:rPr>
                <w:noProof/>
              </w:rPr>
              <w:t>RP/NRP</w:t>
            </w:r>
            <w:r>
              <w:rPr>
                <w:rStyle w:val="FootnoteReference"/>
                <w:noProof/>
              </w:rPr>
              <w:footnoteReference w:id="53"/>
            </w:r>
            <w:r>
              <w:rPr>
                <w:noProof/>
              </w:rPr>
              <w:t>.</w:t>
            </w:r>
          </w:p>
        </w:tc>
        <w:tc>
          <w:tcPr>
            <w:tcW w:w="956" w:type="dxa"/>
            <w:vAlign w:val="center"/>
          </w:tcPr>
          <w:p w:rsidR="00557911" w:rsidRDefault="00623804">
            <w:pPr>
              <w:jc w:val="center"/>
              <w:rPr>
                <w:noProof/>
              </w:rPr>
            </w:pPr>
            <w:r>
              <w:rPr>
                <w:noProof/>
                <w:sz w:val="18"/>
              </w:rPr>
              <w:t>zemí ESVO</w:t>
            </w:r>
            <w:r>
              <w:rPr>
                <w:rStyle w:val="FootnoteReference"/>
                <w:noProof/>
              </w:rPr>
              <w:footnoteReference w:id="54"/>
            </w:r>
          </w:p>
        </w:tc>
        <w:tc>
          <w:tcPr>
            <w:tcW w:w="1080" w:type="dxa"/>
            <w:vAlign w:val="center"/>
          </w:tcPr>
          <w:p w:rsidR="00557911" w:rsidRDefault="00623804">
            <w:pPr>
              <w:jc w:val="center"/>
              <w:rPr>
                <w:noProof/>
                <w:sz w:val="18"/>
              </w:rPr>
            </w:pPr>
            <w:r>
              <w:rPr>
                <w:noProof/>
                <w:sz w:val="18"/>
              </w:rPr>
              <w:t>kandidátských zemí</w:t>
            </w:r>
            <w:r>
              <w:rPr>
                <w:rStyle w:val="FootnoteReference"/>
                <w:noProof/>
              </w:rPr>
              <w:footnoteReference w:id="55"/>
            </w:r>
          </w:p>
        </w:tc>
        <w:tc>
          <w:tcPr>
            <w:tcW w:w="956" w:type="dxa"/>
            <w:vAlign w:val="center"/>
          </w:tcPr>
          <w:p w:rsidR="00557911" w:rsidRDefault="00623804">
            <w:pPr>
              <w:jc w:val="center"/>
              <w:rPr>
                <w:noProof/>
                <w:sz w:val="18"/>
              </w:rPr>
            </w:pPr>
            <w:r>
              <w:rPr>
                <w:noProof/>
                <w:sz w:val="18"/>
              </w:rPr>
              <w:t>třetích zemí</w:t>
            </w:r>
          </w:p>
        </w:tc>
        <w:tc>
          <w:tcPr>
            <w:tcW w:w="2021" w:type="dxa"/>
            <w:vAlign w:val="center"/>
          </w:tcPr>
          <w:p w:rsidR="00557911" w:rsidRDefault="00623804">
            <w:pPr>
              <w:jc w:val="center"/>
              <w:rPr>
                <w:noProof/>
                <w:sz w:val="16"/>
                <w:szCs w:val="16"/>
              </w:rPr>
            </w:pPr>
            <w:r>
              <w:rPr>
                <w:noProof/>
                <w:sz w:val="16"/>
              </w:rPr>
              <w:t xml:space="preserve">ve smyslu čl. 21 odst. 2 písm. b) finančního nařízení </w:t>
            </w:r>
          </w:p>
        </w:tc>
      </w:tr>
      <w:tr w:rsidR="00557911">
        <w:tc>
          <w:tcPr>
            <w:tcW w:w="1842" w:type="dxa"/>
            <w:vAlign w:val="center"/>
          </w:tcPr>
          <w:p w:rsidR="00557911" w:rsidRDefault="00623804">
            <w:pPr>
              <w:jc w:val="center"/>
              <w:rPr>
                <w:noProof/>
              </w:rPr>
            </w:pPr>
            <w:r>
              <w:rPr>
                <w:noProof/>
              </w:rPr>
              <w:t xml:space="preserve">1a Konkurenceschopnost pro růst a zaměstnanost </w:t>
            </w:r>
          </w:p>
        </w:tc>
        <w:tc>
          <w:tcPr>
            <w:tcW w:w="2694" w:type="dxa"/>
            <w:vAlign w:val="center"/>
          </w:tcPr>
          <w:p w:rsidR="00557911" w:rsidRDefault="00623804">
            <w:pPr>
              <w:spacing w:after="60"/>
              <w:rPr>
                <w:noProof/>
              </w:rPr>
            </w:pPr>
            <w:r>
              <w:rPr>
                <w:noProof/>
              </w:rPr>
              <w:t>09.0203 Agentura ENISA a certifikace bezpečnosti informační a komunikační technologie</w:t>
            </w:r>
            <w:r>
              <w:rPr>
                <w:noProof/>
                <w:sz w:val="20"/>
              </w:rPr>
              <w:t xml:space="preserve"> </w:t>
            </w:r>
          </w:p>
        </w:tc>
        <w:tc>
          <w:tcPr>
            <w:tcW w:w="798" w:type="dxa"/>
            <w:vAlign w:val="center"/>
          </w:tcPr>
          <w:p w:rsidR="00557911" w:rsidRDefault="00623804">
            <w:pPr>
              <w:jc w:val="center"/>
              <w:rPr>
                <w:noProof/>
              </w:rPr>
            </w:pPr>
            <w:r>
              <w:rPr>
                <w:noProof/>
                <w:sz w:val="18"/>
              </w:rPr>
              <w:t>RP</w:t>
            </w:r>
          </w:p>
        </w:tc>
        <w:tc>
          <w:tcPr>
            <w:tcW w:w="956" w:type="dxa"/>
            <w:vAlign w:val="center"/>
          </w:tcPr>
          <w:p w:rsidR="00557911" w:rsidRDefault="00623804">
            <w:pPr>
              <w:jc w:val="center"/>
              <w:rPr>
                <w:noProof/>
              </w:rPr>
            </w:pPr>
            <w:r>
              <w:rPr>
                <w:noProof/>
              </w:rPr>
              <w:t>ANO</w:t>
            </w:r>
          </w:p>
        </w:tc>
        <w:tc>
          <w:tcPr>
            <w:tcW w:w="1080" w:type="dxa"/>
            <w:vAlign w:val="center"/>
          </w:tcPr>
          <w:p w:rsidR="00557911" w:rsidRDefault="00623804">
            <w:pPr>
              <w:jc w:val="center"/>
              <w:rPr>
                <w:noProof/>
              </w:rPr>
            </w:pPr>
            <w:r>
              <w:rPr>
                <w:noProof/>
              </w:rPr>
              <w:t>NE</w:t>
            </w:r>
          </w:p>
        </w:tc>
        <w:tc>
          <w:tcPr>
            <w:tcW w:w="956" w:type="dxa"/>
            <w:vAlign w:val="center"/>
          </w:tcPr>
          <w:p w:rsidR="00557911" w:rsidRDefault="00623804">
            <w:pPr>
              <w:jc w:val="center"/>
              <w:rPr>
                <w:noProof/>
              </w:rPr>
            </w:pPr>
            <w:r>
              <w:rPr>
                <w:noProof/>
              </w:rPr>
              <w:t>NE</w:t>
            </w:r>
          </w:p>
        </w:tc>
        <w:tc>
          <w:tcPr>
            <w:tcW w:w="2021" w:type="dxa"/>
            <w:vAlign w:val="center"/>
          </w:tcPr>
          <w:p w:rsidR="00557911" w:rsidRDefault="00623804">
            <w:pPr>
              <w:jc w:val="center"/>
              <w:rPr>
                <w:noProof/>
              </w:rPr>
            </w:pPr>
            <w:r>
              <w:rPr>
                <w:noProof/>
              </w:rPr>
              <w:t>NE</w:t>
            </w:r>
          </w:p>
        </w:tc>
      </w:tr>
      <w:tr w:rsidR="00557911">
        <w:tc>
          <w:tcPr>
            <w:tcW w:w="1842" w:type="dxa"/>
            <w:vAlign w:val="center"/>
          </w:tcPr>
          <w:p w:rsidR="00557911" w:rsidRDefault="00623804">
            <w:pPr>
              <w:jc w:val="center"/>
              <w:rPr>
                <w:noProof/>
              </w:rPr>
            </w:pPr>
            <w:r>
              <w:rPr>
                <w:noProof/>
              </w:rPr>
              <w:t>5</w:t>
            </w:r>
          </w:p>
          <w:p w:rsidR="00557911" w:rsidRDefault="00623804">
            <w:pPr>
              <w:jc w:val="center"/>
              <w:rPr>
                <w:noProof/>
              </w:rPr>
            </w:pPr>
            <w:r>
              <w:rPr>
                <w:noProof/>
              </w:rPr>
              <w:t xml:space="preserve">Správní </w:t>
            </w:r>
            <w:r>
              <w:rPr>
                <w:noProof/>
              </w:rPr>
              <w:t>výdaje]</w:t>
            </w:r>
          </w:p>
        </w:tc>
        <w:tc>
          <w:tcPr>
            <w:tcW w:w="2694" w:type="dxa"/>
            <w:vAlign w:val="center"/>
          </w:tcPr>
          <w:p w:rsidR="00557911" w:rsidRDefault="00623804">
            <w:pPr>
              <w:spacing w:after="60"/>
              <w:rPr>
                <w:noProof/>
              </w:rPr>
            </w:pPr>
            <w:r>
              <w:rPr>
                <w:noProof/>
              </w:rPr>
              <w:t xml:space="preserve"> 09.0101 Výdaje související se zaměstnanci v činné službě v oblasti politiky „Komunikační sítě, obsah a technologie“</w:t>
            </w:r>
          </w:p>
          <w:p w:rsidR="00557911" w:rsidRDefault="00623804">
            <w:pPr>
              <w:spacing w:after="60"/>
              <w:rPr>
                <w:noProof/>
              </w:rPr>
            </w:pPr>
            <w:r>
              <w:rPr>
                <w:noProof/>
              </w:rPr>
              <w:t>09.0102 Výdaje související s externími pracovníky v činné službě v oblasti politiky „Komunikační sítě, obsah a technologie“</w:t>
            </w:r>
          </w:p>
          <w:p w:rsidR="00557911" w:rsidRDefault="00623804">
            <w:pPr>
              <w:spacing w:after="60"/>
              <w:rPr>
                <w:noProof/>
              </w:rPr>
            </w:pPr>
            <w:r>
              <w:rPr>
                <w:noProof/>
              </w:rPr>
              <w:t>09.0102</w:t>
            </w:r>
            <w:r>
              <w:rPr>
                <w:noProof/>
              </w:rPr>
              <w:t xml:space="preserve">11 Ostatní výdaje na řízení </w:t>
            </w:r>
          </w:p>
        </w:tc>
        <w:tc>
          <w:tcPr>
            <w:tcW w:w="798" w:type="dxa"/>
            <w:vAlign w:val="center"/>
          </w:tcPr>
          <w:p w:rsidR="00557911" w:rsidRDefault="00623804">
            <w:pPr>
              <w:jc w:val="center"/>
              <w:rPr>
                <w:noProof/>
                <w:sz w:val="18"/>
              </w:rPr>
            </w:pPr>
            <w:r>
              <w:rPr>
                <w:noProof/>
                <w:sz w:val="18"/>
              </w:rPr>
              <w:t>NRP</w:t>
            </w:r>
          </w:p>
        </w:tc>
        <w:tc>
          <w:tcPr>
            <w:tcW w:w="956" w:type="dxa"/>
            <w:vAlign w:val="center"/>
          </w:tcPr>
          <w:p w:rsidR="00557911" w:rsidRDefault="00623804">
            <w:pPr>
              <w:jc w:val="center"/>
              <w:rPr>
                <w:noProof/>
              </w:rPr>
            </w:pPr>
            <w:r>
              <w:rPr>
                <w:noProof/>
              </w:rPr>
              <w:t>NE</w:t>
            </w:r>
          </w:p>
        </w:tc>
        <w:tc>
          <w:tcPr>
            <w:tcW w:w="1080" w:type="dxa"/>
            <w:vAlign w:val="center"/>
          </w:tcPr>
          <w:p w:rsidR="00557911" w:rsidRDefault="00623804">
            <w:pPr>
              <w:jc w:val="center"/>
              <w:rPr>
                <w:noProof/>
              </w:rPr>
            </w:pPr>
            <w:r>
              <w:rPr>
                <w:noProof/>
              </w:rPr>
              <w:t>NE</w:t>
            </w:r>
          </w:p>
        </w:tc>
        <w:tc>
          <w:tcPr>
            <w:tcW w:w="956" w:type="dxa"/>
            <w:vAlign w:val="center"/>
          </w:tcPr>
          <w:p w:rsidR="00557911" w:rsidRDefault="00623804">
            <w:pPr>
              <w:jc w:val="center"/>
              <w:rPr>
                <w:noProof/>
              </w:rPr>
            </w:pPr>
            <w:r>
              <w:rPr>
                <w:noProof/>
              </w:rPr>
              <w:t>NE</w:t>
            </w:r>
          </w:p>
        </w:tc>
        <w:tc>
          <w:tcPr>
            <w:tcW w:w="2021" w:type="dxa"/>
            <w:vAlign w:val="center"/>
          </w:tcPr>
          <w:p w:rsidR="00557911" w:rsidRDefault="00623804">
            <w:pPr>
              <w:jc w:val="center"/>
              <w:rPr>
                <w:noProof/>
              </w:rPr>
            </w:pPr>
            <w:r>
              <w:rPr>
                <w:noProof/>
              </w:rPr>
              <w:t>NE</w:t>
            </w:r>
          </w:p>
        </w:tc>
      </w:tr>
    </w:tbl>
    <w:p w:rsidR="00557911" w:rsidRDefault="00557911">
      <w:pPr>
        <w:rPr>
          <w:bCs/>
          <w:noProof/>
          <w:szCs w:val="24"/>
        </w:rPr>
      </w:pPr>
    </w:p>
    <w:p w:rsidR="00557911" w:rsidRDefault="00557911">
      <w:pPr>
        <w:rPr>
          <w:noProof/>
        </w:rPr>
      </w:pPr>
    </w:p>
    <w:p w:rsidR="00557911" w:rsidRDefault="00623804">
      <w:pPr>
        <w:pStyle w:val="ManualHeading2"/>
        <w:rPr>
          <w:bCs/>
          <w:noProof/>
          <w:szCs w:val="24"/>
        </w:rPr>
      </w:pPr>
      <w:r>
        <w:t>3.2.</w:t>
      </w:r>
      <w:r>
        <w:tab/>
      </w:r>
      <w:r>
        <w:rPr>
          <w:noProof/>
        </w:rPr>
        <w:t xml:space="preserve">Odhadovaný dopad na výdaje </w:t>
      </w:r>
    </w:p>
    <w:p w:rsidR="00557911" w:rsidRDefault="00623804">
      <w:pPr>
        <w:pStyle w:val="ManualHeading3"/>
        <w:rPr>
          <w:bCs/>
          <w:noProof/>
          <w:szCs w:val="24"/>
        </w:rPr>
      </w:pPr>
      <w:r>
        <w:t>3.2.1.</w:t>
      </w:r>
      <w:r>
        <w:tab/>
      </w:r>
      <w:r>
        <w:rPr>
          <w:noProof/>
        </w:rPr>
        <w:t xml:space="preserve">Odhadovaný souhrnný dopad na výdaje </w:t>
      </w:r>
    </w:p>
    <w:p w:rsidR="00557911" w:rsidRDefault="00623804">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57911">
        <w:trPr>
          <w:jc w:val="center"/>
        </w:trPr>
        <w:tc>
          <w:tcPr>
            <w:tcW w:w="4744" w:type="dxa"/>
            <w:shd w:val="thinDiagStripe" w:color="C0C0C0" w:fill="auto"/>
            <w:vAlign w:val="center"/>
          </w:tcPr>
          <w:p w:rsidR="00557911" w:rsidRDefault="00623804">
            <w:pPr>
              <w:spacing w:before="60" w:after="60"/>
              <w:jc w:val="center"/>
              <w:rPr>
                <w:b/>
                <w:noProof/>
              </w:rPr>
            </w:pPr>
            <w:r>
              <w:rPr>
                <w:b/>
                <w:noProof/>
              </w:rPr>
              <w:t>Okruh víceletého finančního</w:t>
            </w:r>
            <w:r>
              <w:rPr>
                <w:noProof/>
                <w:sz w:val="22"/>
              </w:rPr>
              <w:br/>
            </w:r>
            <w:r>
              <w:rPr>
                <w:b/>
                <w:noProof/>
                <w:sz w:val="22"/>
              </w:rPr>
              <w:t xml:space="preserve">rámce </w:t>
            </w:r>
          </w:p>
        </w:tc>
        <w:tc>
          <w:tcPr>
            <w:tcW w:w="1080" w:type="dxa"/>
            <w:vAlign w:val="center"/>
          </w:tcPr>
          <w:p w:rsidR="00557911" w:rsidRDefault="00623804">
            <w:pPr>
              <w:spacing w:before="60" w:after="60"/>
              <w:jc w:val="center"/>
              <w:rPr>
                <w:noProof/>
              </w:rPr>
            </w:pPr>
            <w:r>
              <w:rPr>
                <w:noProof/>
                <w:sz w:val="22"/>
              </w:rPr>
              <w:t>1a</w:t>
            </w:r>
          </w:p>
        </w:tc>
        <w:tc>
          <w:tcPr>
            <w:tcW w:w="7817" w:type="dxa"/>
            <w:vAlign w:val="center"/>
          </w:tcPr>
          <w:p w:rsidR="00557911" w:rsidRDefault="00623804">
            <w:pPr>
              <w:spacing w:before="60" w:after="60"/>
              <w:rPr>
                <w:noProof/>
              </w:rPr>
            </w:pPr>
            <w:r>
              <w:rPr>
                <w:noProof/>
              </w:rPr>
              <w:t xml:space="preserve">Konkurenceschopnost pro růst a zaměstnanost </w:t>
            </w:r>
          </w:p>
        </w:tc>
      </w:tr>
    </w:tbl>
    <w:p w:rsidR="00557911" w:rsidRDefault="00557911">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557911">
        <w:tc>
          <w:tcPr>
            <w:tcW w:w="3600" w:type="dxa"/>
            <w:vAlign w:val="center"/>
          </w:tcPr>
          <w:p w:rsidR="00557911" w:rsidRDefault="00623804">
            <w:pPr>
              <w:jc w:val="center"/>
              <w:rPr>
                <w:b/>
                <w:noProof/>
              </w:rPr>
            </w:pPr>
            <w:r>
              <w:rPr>
                <w:b/>
                <w:noProof/>
                <w:sz w:val="22"/>
              </w:rPr>
              <w:t>Agentura ENISA</w:t>
            </w:r>
          </w:p>
        </w:tc>
        <w:tc>
          <w:tcPr>
            <w:tcW w:w="1645" w:type="dxa"/>
            <w:vAlign w:val="center"/>
          </w:tcPr>
          <w:p w:rsidR="00557911" w:rsidRDefault="00557911">
            <w:pPr>
              <w:jc w:val="center"/>
              <w:rPr>
                <w:noProof/>
                <w:sz w:val="20"/>
              </w:rPr>
            </w:pPr>
          </w:p>
        </w:tc>
        <w:tc>
          <w:tcPr>
            <w:tcW w:w="567" w:type="dxa"/>
            <w:vAlign w:val="center"/>
          </w:tcPr>
          <w:p w:rsidR="00557911" w:rsidRDefault="00557911">
            <w:pPr>
              <w:jc w:val="center"/>
              <w:rPr>
                <w:noProof/>
                <w:sz w:val="20"/>
              </w:rPr>
            </w:pPr>
          </w:p>
        </w:tc>
        <w:tc>
          <w:tcPr>
            <w:tcW w:w="1039" w:type="dxa"/>
            <w:shd w:val="clear" w:color="auto" w:fill="D9D9D9" w:themeFill="background1" w:themeFillShade="D9"/>
            <w:vAlign w:val="center"/>
          </w:tcPr>
          <w:p w:rsidR="00557911" w:rsidRDefault="00623804">
            <w:pPr>
              <w:jc w:val="center"/>
              <w:rPr>
                <w:b/>
                <w:noProof/>
                <w:sz w:val="20"/>
              </w:rPr>
            </w:pPr>
            <w:r>
              <w:rPr>
                <w:b/>
                <w:noProof/>
                <w:sz w:val="20"/>
              </w:rPr>
              <w:t>Výchozí rok</w:t>
            </w:r>
          </w:p>
          <w:p w:rsidR="00557911" w:rsidRDefault="00623804">
            <w:pPr>
              <w:jc w:val="center"/>
              <w:rPr>
                <w:b/>
                <w:noProof/>
                <w:sz w:val="20"/>
              </w:rPr>
            </w:pPr>
            <w:r>
              <w:rPr>
                <w:b/>
                <w:noProof/>
                <w:sz w:val="14"/>
              </w:rPr>
              <w:t>2017 (31. 12. 2016)</w:t>
            </w:r>
          </w:p>
        </w:tc>
        <w:tc>
          <w:tcPr>
            <w:tcW w:w="237" w:type="dxa"/>
            <w:vMerge w:val="restart"/>
          </w:tcPr>
          <w:p w:rsidR="00557911" w:rsidRDefault="00557911">
            <w:pPr>
              <w:jc w:val="center"/>
              <w:rPr>
                <w:b/>
                <w:noProof/>
                <w:sz w:val="20"/>
              </w:rPr>
            </w:pPr>
          </w:p>
        </w:tc>
        <w:tc>
          <w:tcPr>
            <w:tcW w:w="1275" w:type="dxa"/>
          </w:tcPr>
          <w:p w:rsidR="00557911" w:rsidRDefault="00623804">
            <w:pPr>
              <w:jc w:val="center"/>
              <w:rPr>
                <w:b/>
                <w:noProof/>
                <w:sz w:val="20"/>
              </w:rPr>
            </w:pPr>
            <w:r>
              <w:rPr>
                <w:b/>
                <w:noProof/>
                <w:sz w:val="20"/>
              </w:rPr>
              <w:t>2019</w:t>
            </w:r>
          </w:p>
          <w:p w:rsidR="00557911" w:rsidRDefault="00623804">
            <w:pPr>
              <w:jc w:val="center"/>
              <w:rPr>
                <w:i/>
                <w:noProof/>
                <w:sz w:val="20"/>
              </w:rPr>
            </w:pPr>
            <w:r>
              <w:rPr>
                <w:b/>
                <w:i/>
                <w:noProof/>
                <w:sz w:val="18"/>
              </w:rPr>
              <w:t>(od 1. 7. 2019)</w:t>
            </w:r>
          </w:p>
        </w:tc>
        <w:tc>
          <w:tcPr>
            <w:tcW w:w="1276" w:type="dxa"/>
          </w:tcPr>
          <w:p w:rsidR="00557911" w:rsidRDefault="00623804">
            <w:pPr>
              <w:jc w:val="center"/>
              <w:rPr>
                <w:noProof/>
                <w:sz w:val="20"/>
              </w:rPr>
            </w:pPr>
            <w:r>
              <w:rPr>
                <w:b/>
                <w:noProof/>
                <w:sz w:val="20"/>
              </w:rPr>
              <w:t>2020</w:t>
            </w:r>
          </w:p>
        </w:tc>
        <w:tc>
          <w:tcPr>
            <w:tcW w:w="1276" w:type="dxa"/>
          </w:tcPr>
          <w:p w:rsidR="00557911" w:rsidRDefault="00623804">
            <w:pPr>
              <w:jc w:val="center"/>
              <w:rPr>
                <w:b/>
                <w:noProof/>
                <w:sz w:val="20"/>
              </w:rPr>
            </w:pPr>
            <w:r>
              <w:rPr>
                <w:b/>
                <w:noProof/>
                <w:sz w:val="20"/>
              </w:rPr>
              <w:t>2021</w:t>
            </w:r>
          </w:p>
        </w:tc>
        <w:tc>
          <w:tcPr>
            <w:tcW w:w="1276" w:type="dxa"/>
          </w:tcPr>
          <w:p w:rsidR="00557911" w:rsidRDefault="00623804">
            <w:pPr>
              <w:jc w:val="center"/>
              <w:rPr>
                <w:b/>
                <w:noProof/>
                <w:sz w:val="20"/>
              </w:rPr>
            </w:pPr>
            <w:r>
              <w:rPr>
                <w:b/>
                <w:noProof/>
                <w:sz w:val="20"/>
              </w:rPr>
              <w:t>2022</w:t>
            </w:r>
          </w:p>
        </w:tc>
        <w:tc>
          <w:tcPr>
            <w:tcW w:w="1276" w:type="dxa"/>
          </w:tcPr>
          <w:p w:rsidR="00557911" w:rsidRDefault="00623804">
            <w:pPr>
              <w:jc w:val="center"/>
              <w:rPr>
                <w:b/>
                <w:noProof/>
                <w:sz w:val="20"/>
              </w:rPr>
            </w:pPr>
            <w:r>
              <w:rPr>
                <w:b/>
                <w:noProof/>
                <w:sz w:val="20"/>
              </w:rPr>
              <w:t>CELKEM</w:t>
            </w:r>
          </w:p>
        </w:tc>
      </w:tr>
      <w:tr w:rsidR="00557911">
        <w:trPr>
          <w:trHeight w:val="277"/>
        </w:trPr>
        <w:tc>
          <w:tcPr>
            <w:tcW w:w="3600" w:type="dxa"/>
            <w:vMerge w:val="restart"/>
            <w:vAlign w:val="center"/>
          </w:tcPr>
          <w:p w:rsidR="00557911" w:rsidRDefault="00623804">
            <w:pPr>
              <w:rPr>
                <w:noProof/>
                <w:sz w:val="20"/>
              </w:rPr>
            </w:pPr>
            <w:r>
              <w:rPr>
                <w:noProof/>
                <w:sz w:val="20"/>
              </w:rPr>
              <w:t xml:space="preserve">Hlava 1: Výdaje na zaměstnance </w:t>
            </w:r>
          </w:p>
          <w:p w:rsidR="00557911" w:rsidRDefault="00623804">
            <w:pPr>
              <w:rPr>
                <w:noProof/>
              </w:rPr>
            </w:pPr>
            <w:r>
              <w:rPr>
                <w:i/>
                <w:noProof/>
                <w:sz w:val="20"/>
              </w:rPr>
              <w:t xml:space="preserve">(zahrnují rovněž výdaje související s přijímáním zaměstnanců, školením, </w:t>
            </w:r>
            <w:r>
              <w:rPr>
                <w:i/>
                <w:noProof/>
                <w:sz w:val="20"/>
              </w:rPr>
              <w:t>socio-lékařskou infrastrukturou a externími službami)</w:t>
            </w:r>
          </w:p>
        </w:tc>
        <w:tc>
          <w:tcPr>
            <w:tcW w:w="1645" w:type="dxa"/>
            <w:vAlign w:val="center"/>
          </w:tcPr>
          <w:p w:rsidR="00557911" w:rsidRDefault="00623804">
            <w:pPr>
              <w:spacing w:before="20" w:after="20"/>
              <w:rPr>
                <w:noProof/>
              </w:rPr>
            </w:pPr>
            <w:r>
              <w:rPr>
                <w:noProof/>
                <w:sz w:val="18"/>
              </w:rPr>
              <w:t>Závazky</w:t>
            </w:r>
          </w:p>
        </w:tc>
        <w:tc>
          <w:tcPr>
            <w:tcW w:w="567" w:type="dxa"/>
            <w:vAlign w:val="center"/>
          </w:tcPr>
          <w:p w:rsidR="00557911" w:rsidRDefault="00623804">
            <w:pPr>
              <w:spacing w:before="20" w:after="20"/>
              <w:jc w:val="center"/>
              <w:rPr>
                <w:noProof/>
                <w:sz w:val="14"/>
              </w:rPr>
            </w:pPr>
            <w:r>
              <w:rPr>
                <w:noProof/>
                <w:sz w:val="14"/>
              </w:rPr>
              <w:t>(1)</w:t>
            </w:r>
          </w:p>
        </w:tc>
        <w:tc>
          <w:tcPr>
            <w:tcW w:w="1039" w:type="dxa"/>
            <w:shd w:val="clear" w:color="auto" w:fill="D9D9D9" w:themeFill="background1" w:themeFillShade="D9"/>
            <w:vAlign w:val="center"/>
          </w:tcPr>
          <w:p w:rsidR="00557911" w:rsidRDefault="00623804">
            <w:pPr>
              <w:spacing w:before="20" w:after="20"/>
              <w:jc w:val="center"/>
              <w:rPr>
                <w:noProof/>
                <w:sz w:val="20"/>
              </w:rPr>
            </w:pPr>
            <w:r>
              <w:rPr>
                <w:noProof/>
                <w:sz w:val="20"/>
              </w:rPr>
              <w:t>6,387</w:t>
            </w:r>
          </w:p>
        </w:tc>
        <w:tc>
          <w:tcPr>
            <w:tcW w:w="237" w:type="dxa"/>
            <w:vMerge/>
          </w:tcPr>
          <w:p w:rsidR="00557911" w:rsidRDefault="00557911">
            <w:pPr>
              <w:spacing w:before="20" w:after="20"/>
              <w:jc w:val="center"/>
              <w:rPr>
                <w:noProof/>
                <w:sz w:val="20"/>
              </w:rPr>
            </w:pPr>
          </w:p>
        </w:tc>
        <w:tc>
          <w:tcPr>
            <w:tcW w:w="1275" w:type="dxa"/>
            <w:vAlign w:val="center"/>
          </w:tcPr>
          <w:p w:rsidR="00557911" w:rsidRDefault="00623804">
            <w:pPr>
              <w:spacing w:before="0" w:after="0"/>
              <w:jc w:val="center"/>
              <w:rPr>
                <w:noProof/>
                <w:sz w:val="20"/>
              </w:rPr>
            </w:pPr>
            <w:r>
              <w:rPr>
                <w:rFonts w:ascii="Calibri" w:hAnsi="Calibri"/>
                <w:noProof/>
                <w:sz w:val="22"/>
              </w:rPr>
              <w:t>9,899</w:t>
            </w:r>
          </w:p>
        </w:tc>
        <w:tc>
          <w:tcPr>
            <w:tcW w:w="1276" w:type="dxa"/>
            <w:vAlign w:val="center"/>
          </w:tcPr>
          <w:p w:rsidR="00557911" w:rsidRDefault="00623804">
            <w:pPr>
              <w:spacing w:before="0" w:after="0"/>
              <w:jc w:val="center"/>
              <w:rPr>
                <w:noProof/>
                <w:sz w:val="20"/>
              </w:rPr>
            </w:pPr>
            <w:r>
              <w:rPr>
                <w:rFonts w:ascii="Calibri" w:hAnsi="Calibri"/>
                <w:noProof/>
                <w:sz w:val="22"/>
              </w:rPr>
              <w:t>12,082</w:t>
            </w:r>
          </w:p>
        </w:tc>
        <w:tc>
          <w:tcPr>
            <w:tcW w:w="1276" w:type="dxa"/>
            <w:vAlign w:val="center"/>
          </w:tcPr>
          <w:p w:rsidR="00557911" w:rsidRDefault="00623804">
            <w:pPr>
              <w:spacing w:before="0" w:after="0"/>
              <w:jc w:val="center"/>
              <w:rPr>
                <w:rFonts w:ascii="Calibri" w:hAnsi="Calibri"/>
                <w:bCs/>
                <w:noProof/>
                <w:sz w:val="22"/>
              </w:rPr>
            </w:pPr>
            <w:r>
              <w:rPr>
                <w:rFonts w:ascii="Calibri" w:hAnsi="Calibri"/>
                <w:noProof/>
                <w:sz w:val="22"/>
              </w:rPr>
              <w:t>13,349</w:t>
            </w:r>
          </w:p>
        </w:tc>
        <w:tc>
          <w:tcPr>
            <w:tcW w:w="1276" w:type="dxa"/>
            <w:vAlign w:val="center"/>
          </w:tcPr>
          <w:p w:rsidR="00557911" w:rsidRDefault="00623804">
            <w:pPr>
              <w:spacing w:before="0" w:after="0"/>
              <w:jc w:val="center"/>
              <w:rPr>
                <w:rFonts w:ascii="Calibri" w:hAnsi="Calibri"/>
                <w:bCs/>
                <w:noProof/>
                <w:sz w:val="22"/>
              </w:rPr>
            </w:pPr>
            <w:r>
              <w:rPr>
                <w:rFonts w:ascii="Calibri" w:hAnsi="Calibri"/>
                <w:noProof/>
                <w:sz w:val="22"/>
              </w:rPr>
              <w:t>13,894</w:t>
            </w:r>
          </w:p>
        </w:tc>
        <w:tc>
          <w:tcPr>
            <w:tcW w:w="1276" w:type="dxa"/>
            <w:vAlign w:val="center"/>
          </w:tcPr>
          <w:p w:rsidR="00557911" w:rsidRDefault="00623804">
            <w:pPr>
              <w:spacing w:before="0" w:after="0"/>
              <w:jc w:val="center"/>
              <w:rPr>
                <w:b/>
                <w:noProof/>
                <w:sz w:val="20"/>
              </w:rPr>
            </w:pPr>
            <w:r>
              <w:rPr>
                <w:rFonts w:ascii="Calibri" w:hAnsi="Calibri"/>
                <w:b/>
                <w:noProof/>
                <w:sz w:val="22"/>
              </w:rPr>
              <w:t>49,224</w:t>
            </w:r>
          </w:p>
        </w:tc>
      </w:tr>
      <w:tr w:rsidR="00557911">
        <w:tc>
          <w:tcPr>
            <w:tcW w:w="3600" w:type="dxa"/>
            <w:vMerge/>
            <w:vAlign w:val="center"/>
          </w:tcPr>
          <w:p w:rsidR="00557911" w:rsidRDefault="00557911">
            <w:pPr>
              <w:rPr>
                <w:noProof/>
              </w:rPr>
            </w:pPr>
          </w:p>
        </w:tc>
        <w:tc>
          <w:tcPr>
            <w:tcW w:w="1645" w:type="dxa"/>
            <w:vAlign w:val="center"/>
          </w:tcPr>
          <w:p w:rsidR="00557911" w:rsidRDefault="00623804">
            <w:pPr>
              <w:spacing w:before="20" w:after="20"/>
              <w:rPr>
                <w:noProof/>
                <w:sz w:val="18"/>
              </w:rPr>
            </w:pPr>
            <w:r>
              <w:rPr>
                <w:noProof/>
                <w:sz w:val="18"/>
              </w:rPr>
              <w:t>Platby</w:t>
            </w:r>
          </w:p>
        </w:tc>
        <w:tc>
          <w:tcPr>
            <w:tcW w:w="567" w:type="dxa"/>
            <w:vAlign w:val="center"/>
          </w:tcPr>
          <w:p w:rsidR="00557911" w:rsidRDefault="00623804">
            <w:pPr>
              <w:spacing w:before="20" w:after="20"/>
              <w:jc w:val="center"/>
              <w:rPr>
                <w:noProof/>
                <w:sz w:val="14"/>
              </w:rPr>
            </w:pPr>
            <w:r>
              <w:rPr>
                <w:noProof/>
                <w:sz w:val="14"/>
              </w:rPr>
              <w:t>(2)</w:t>
            </w:r>
          </w:p>
        </w:tc>
        <w:tc>
          <w:tcPr>
            <w:tcW w:w="1039" w:type="dxa"/>
            <w:shd w:val="clear" w:color="auto" w:fill="D9D9D9" w:themeFill="background1" w:themeFillShade="D9"/>
            <w:vAlign w:val="center"/>
          </w:tcPr>
          <w:p w:rsidR="00557911" w:rsidRDefault="00623804">
            <w:pPr>
              <w:spacing w:before="20" w:after="20"/>
              <w:jc w:val="center"/>
              <w:rPr>
                <w:noProof/>
                <w:sz w:val="20"/>
              </w:rPr>
            </w:pPr>
            <w:r>
              <w:rPr>
                <w:noProof/>
                <w:sz w:val="20"/>
              </w:rPr>
              <w:t>6,387</w:t>
            </w:r>
          </w:p>
        </w:tc>
        <w:tc>
          <w:tcPr>
            <w:tcW w:w="237" w:type="dxa"/>
            <w:vMerge/>
          </w:tcPr>
          <w:p w:rsidR="00557911" w:rsidRDefault="00557911">
            <w:pPr>
              <w:spacing w:before="20" w:after="20"/>
              <w:jc w:val="center"/>
              <w:rPr>
                <w:noProof/>
                <w:sz w:val="20"/>
              </w:rPr>
            </w:pPr>
          </w:p>
        </w:tc>
        <w:tc>
          <w:tcPr>
            <w:tcW w:w="1275" w:type="dxa"/>
            <w:vAlign w:val="center"/>
          </w:tcPr>
          <w:p w:rsidR="00557911" w:rsidRDefault="00623804">
            <w:pPr>
              <w:spacing w:before="0" w:after="0"/>
              <w:jc w:val="center"/>
              <w:rPr>
                <w:noProof/>
                <w:sz w:val="20"/>
              </w:rPr>
            </w:pPr>
            <w:r>
              <w:rPr>
                <w:rFonts w:ascii="Calibri" w:hAnsi="Calibri"/>
                <w:noProof/>
                <w:sz w:val="22"/>
              </w:rPr>
              <w:t>9,899</w:t>
            </w:r>
          </w:p>
        </w:tc>
        <w:tc>
          <w:tcPr>
            <w:tcW w:w="1276" w:type="dxa"/>
            <w:vAlign w:val="center"/>
          </w:tcPr>
          <w:p w:rsidR="00557911" w:rsidRDefault="00623804">
            <w:pPr>
              <w:spacing w:before="0" w:after="0"/>
              <w:jc w:val="center"/>
              <w:rPr>
                <w:noProof/>
                <w:sz w:val="20"/>
              </w:rPr>
            </w:pPr>
            <w:r>
              <w:rPr>
                <w:rFonts w:ascii="Calibri" w:hAnsi="Calibri"/>
                <w:noProof/>
                <w:sz w:val="22"/>
              </w:rPr>
              <w:t>12,082</w:t>
            </w:r>
          </w:p>
        </w:tc>
        <w:tc>
          <w:tcPr>
            <w:tcW w:w="1276" w:type="dxa"/>
            <w:vAlign w:val="center"/>
          </w:tcPr>
          <w:p w:rsidR="00557911" w:rsidRDefault="00623804">
            <w:pPr>
              <w:spacing w:before="0" w:after="0"/>
              <w:jc w:val="center"/>
              <w:rPr>
                <w:noProof/>
                <w:sz w:val="20"/>
              </w:rPr>
            </w:pPr>
            <w:r>
              <w:rPr>
                <w:rFonts w:ascii="Calibri" w:hAnsi="Calibri"/>
                <w:noProof/>
                <w:sz w:val="22"/>
              </w:rPr>
              <w:t>13,349</w:t>
            </w:r>
          </w:p>
        </w:tc>
        <w:tc>
          <w:tcPr>
            <w:tcW w:w="1276" w:type="dxa"/>
            <w:vAlign w:val="center"/>
          </w:tcPr>
          <w:p w:rsidR="00557911" w:rsidRDefault="00623804">
            <w:pPr>
              <w:spacing w:before="0" w:after="0"/>
              <w:jc w:val="center"/>
              <w:rPr>
                <w:noProof/>
                <w:sz w:val="20"/>
              </w:rPr>
            </w:pPr>
            <w:r>
              <w:rPr>
                <w:rFonts w:ascii="Calibri" w:hAnsi="Calibri"/>
                <w:noProof/>
                <w:sz w:val="22"/>
              </w:rPr>
              <w:t>13,894</w:t>
            </w:r>
          </w:p>
        </w:tc>
        <w:tc>
          <w:tcPr>
            <w:tcW w:w="1276" w:type="dxa"/>
            <w:vAlign w:val="center"/>
          </w:tcPr>
          <w:p w:rsidR="00557911" w:rsidRDefault="00623804">
            <w:pPr>
              <w:spacing w:before="0" w:after="0"/>
              <w:jc w:val="center"/>
              <w:rPr>
                <w:b/>
                <w:noProof/>
                <w:sz w:val="20"/>
              </w:rPr>
            </w:pPr>
            <w:r>
              <w:rPr>
                <w:rFonts w:ascii="Calibri" w:hAnsi="Calibri"/>
                <w:b/>
                <w:noProof/>
                <w:sz w:val="22"/>
              </w:rPr>
              <w:t>49,224</w:t>
            </w:r>
          </w:p>
        </w:tc>
      </w:tr>
      <w:tr w:rsidR="00557911">
        <w:tc>
          <w:tcPr>
            <w:tcW w:w="3600" w:type="dxa"/>
            <w:vMerge w:val="restart"/>
            <w:vAlign w:val="center"/>
          </w:tcPr>
          <w:p w:rsidR="00557911" w:rsidRDefault="00623804">
            <w:pPr>
              <w:rPr>
                <w:noProof/>
              </w:rPr>
            </w:pPr>
            <w:r>
              <w:rPr>
                <w:noProof/>
                <w:sz w:val="20"/>
              </w:rPr>
              <w:t xml:space="preserve">Hlava 2: Výdaje na infrastrukturu a provozní výdaje </w:t>
            </w:r>
          </w:p>
        </w:tc>
        <w:tc>
          <w:tcPr>
            <w:tcW w:w="1645" w:type="dxa"/>
            <w:vAlign w:val="center"/>
          </w:tcPr>
          <w:p w:rsidR="00557911" w:rsidRDefault="00623804">
            <w:pPr>
              <w:spacing w:before="20" w:after="20"/>
              <w:rPr>
                <w:noProof/>
                <w:sz w:val="18"/>
              </w:rPr>
            </w:pPr>
            <w:r>
              <w:rPr>
                <w:noProof/>
                <w:sz w:val="18"/>
              </w:rPr>
              <w:t>Závazky</w:t>
            </w:r>
          </w:p>
        </w:tc>
        <w:tc>
          <w:tcPr>
            <w:tcW w:w="567" w:type="dxa"/>
            <w:vAlign w:val="center"/>
          </w:tcPr>
          <w:p w:rsidR="00557911" w:rsidRDefault="00623804">
            <w:pPr>
              <w:spacing w:before="20" w:after="20"/>
              <w:jc w:val="center"/>
              <w:rPr>
                <w:noProof/>
                <w:sz w:val="14"/>
              </w:rPr>
            </w:pPr>
            <w:r>
              <w:rPr>
                <w:noProof/>
                <w:sz w:val="14"/>
              </w:rPr>
              <w:t>(1a)</w:t>
            </w:r>
          </w:p>
        </w:tc>
        <w:tc>
          <w:tcPr>
            <w:tcW w:w="1039" w:type="dxa"/>
            <w:shd w:val="clear" w:color="auto" w:fill="D9D9D9" w:themeFill="background1" w:themeFillShade="D9"/>
            <w:vAlign w:val="center"/>
          </w:tcPr>
          <w:p w:rsidR="00557911" w:rsidRDefault="00623804">
            <w:pPr>
              <w:spacing w:before="20" w:after="20"/>
              <w:jc w:val="center"/>
              <w:rPr>
                <w:noProof/>
                <w:sz w:val="20"/>
              </w:rPr>
            </w:pPr>
            <w:r>
              <w:rPr>
                <w:noProof/>
                <w:sz w:val="20"/>
              </w:rPr>
              <w:t>1,770</w:t>
            </w:r>
          </w:p>
        </w:tc>
        <w:tc>
          <w:tcPr>
            <w:tcW w:w="237" w:type="dxa"/>
            <w:vMerge/>
          </w:tcPr>
          <w:p w:rsidR="00557911" w:rsidRDefault="00557911">
            <w:pPr>
              <w:spacing w:before="20" w:after="20"/>
              <w:jc w:val="center"/>
              <w:rPr>
                <w:noProof/>
                <w:sz w:val="20"/>
              </w:rPr>
            </w:pPr>
          </w:p>
        </w:tc>
        <w:tc>
          <w:tcPr>
            <w:tcW w:w="1275" w:type="dxa"/>
            <w:vAlign w:val="center"/>
          </w:tcPr>
          <w:p w:rsidR="00557911" w:rsidRDefault="00623804">
            <w:pPr>
              <w:spacing w:before="0" w:after="0"/>
              <w:jc w:val="center"/>
              <w:rPr>
                <w:noProof/>
                <w:sz w:val="20"/>
              </w:rPr>
            </w:pPr>
            <w:r>
              <w:rPr>
                <w:noProof/>
                <w:sz w:val="22"/>
              </w:rPr>
              <w:t>1,957</w:t>
            </w:r>
          </w:p>
        </w:tc>
        <w:tc>
          <w:tcPr>
            <w:tcW w:w="1276" w:type="dxa"/>
            <w:vAlign w:val="center"/>
          </w:tcPr>
          <w:p w:rsidR="00557911" w:rsidRDefault="00623804">
            <w:pPr>
              <w:spacing w:before="0" w:after="0"/>
              <w:jc w:val="center"/>
              <w:rPr>
                <w:noProof/>
                <w:sz w:val="20"/>
              </w:rPr>
            </w:pPr>
            <w:r>
              <w:rPr>
                <w:noProof/>
                <w:sz w:val="22"/>
              </w:rPr>
              <w:t>2,232</w:t>
            </w:r>
          </w:p>
        </w:tc>
        <w:tc>
          <w:tcPr>
            <w:tcW w:w="1276" w:type="dxa"/>
            <w:vAlign w:val="center"/>
          </w:tcPr>
          <w:p w:rsidR="00557911" w:rsidRDefault="00623804">
            <w:pPr>
              <w:spacing w:before="0" w:after="0"/>
              <w:jc w:val="center"/>
              <w:rPr>
                <w:noProof/>
                <w:sz w:val="20"/>
              </w:rPr>
            </w:pPr>
            <w:r>
              <w:rPr>
                <w:noProof/>
                <w:sz w:val="22"/>
              </w:rPr>
              <w:t>2,461</w:t>
            </w:r>
          </w:p>
        </w:tc>
        <w:tc>
          <w:tcPr>
            <w:tcW w:w="1276" w:type="dxa"/>
            <w:vAlign w:val="center"/>
          </w:tcPr>
          <w:p w:rsidR="00557911" w:rsidRDefault="00623804">
            <w:pPr>
              <w:spacing w:before="0" w:after="0"/>
              <w:jc w:val="center"/>
              <w:rPr>
                <w:noProof/>
                <w:sz w:val="20"/>
              </w:rPr>
            </w:pPr>
            <w:r>
              <w:rPr>
                <w:noProof/>
                <w:sz w:val="22"/>
              </w:rPr>
              <w:t>2,565</w:t>
            </w:r>
          </w:p>
        </w:tc>
        <w:tc>
          <w:tcPr>
            <w:tcW w:w="1276" w:type="dxa"/>
            <w:vAlign w:val="center"/>
          </w:tcPr>
          <w:p w:rsidR="00557911" w:rsidRDefault="00623804">
            <w:pPr>
              <w:spacing w:before="0" w:after="0"/>
              <w:jc w:val="center"/>
              <w:rPr>
                <w:b/>
                <w:noProof/>
                <w:sz w:val="20"/>
              </w:rPr>
            </w:pPr>
            <w:r>
              <w:rPr>
                <w:b/>
                <w:noProof/>
                <w:sz w:val="22"/>
              </w:rPr>
              <w:t>9,215</w:t>
            </w:r>
          </w:p>
        </w:tc>
      </w:tr>
      <w:tr w:rsidR="00557911">
        <w:tc>
          <w:tcPr>
            <w:tcW w:w="3600" w:type="dxa"/>
            <w:vMerge/>
            <w:vAlign w:val="center"/>
          </w:tcPr>
          <w:p w:rsidR="00557911" w:rsidRDefault="00557911">
            <w:pPr>
              <w:rPr>
                <w:noProof/>
              </w:rPr>
            </w:pPr>
          </w:p>
        </w:tc>
        <w:tc>
          <w:tcPr>
            <w:tcW w:w="1645" w:type="dxa"/>
            <w:vAlign w:val="center"/>
          </w:tcPr>
          <w:p w:rsidR="00557911" w:rsidRDefault="00623804">
            <w:pPr>
              <w:spacing w:before="20" w:after="20"/>
              <w:rPr>
                <w:noProof/>
                <w:sz w:val="18"/>
              </w:rPr>
            </w:pPr>
            <w:r>
              <w:rPr>
                <w:noProof/>
                <w:sz w:val="18"/>
              </w:rPr>
              <w:t>Platby</w:t>
            </w:r>
          </w:p>
        </w:tc>
        <w:tc>
          <w:tcPr>
            <w:tcW w:w="567" w:type="dxa"/>
            <w:vAlign w:val="center"/>
          </w:tcPr>
          <w:p w:rsidR="00557911" w:rsidRDefault="00623804">
            <w:pPr>
              <w:spacing w:before="20" w:after="20"/>
              <w:jc w:val="center"/>
              <w:rPr>
                <w:noProof/>
                <w:sz w:val="14"/>
              </w:rPr>
            </w:pPr>
            <w:r>
              <w:rPr>
                <w:noProof/>
                <w:sz w:val="14"/>
              </w:rPr>
              <w:t>(2a)</w:t>
            </w:r>
          </w:p>
        </w:tc>
        <w:tc>
          <w:tcPr>
            <w:tcW w:w="1039" w:type="dxa"/>
            <w:shd w:val="clear" w:color="auto" w:fill="D9D9D9" w:themeFill="background1" w:themeFillShade="D9"/>
            <w:vAlign w:val="center"/>
          </w:tcPr>
          <w:p w:rsidR="00557911" w:rsidRDefault="00623804">
            <w:pPr>
              <w:spacing w:before="20" w:after="20"/>
              <w:jc w:val="center"/>
              <w:rPr>
                <w:noProof/>
                <w:sz w:val="20"/>
              </w:rPr>
            </w:pPr>
            <w:r>
              <w:rPr>
                <w:noProof/>
                <w:sz w:val="20"/>
              </w:rPr>
              <w:t>1,770</w:t>
            </w:r>
          </w:p>
        </w:tc>
        <w:tc>
          <w:tcPr>
            <w:tcW w:w="237" w:type="dxa"/>
            <w:vMerge/>
          </w:tcPr>
          <w:p w:rsidR="00557911" w:rsidRDefault="00557911">
            <w:pPr>
              <w:spacing w:before="20" w:after="20"/>
              <w:jc w:val="center"/>
              <w:rPr>
                <w:noProof/>
                <w:sz w:val="20"/>
              </w:rPr>
            </w:pPr>
          </w:p>
        </w:tc>
        <w:tc>
          <w:tcPr>
            <w:tcW w:w="1275" w:type="dxa"/>
            <w:vAlign w:val="center"/>
          </w:tcPr>
          <w:p w:rsidR="00557911" w:rsidRDefault="00623804">
            <w:pPr>
              <w:spacing w:before="0" w:after="0"/>
              <w:jc w:val="center"/>
              <w:rPr>
                <w:noProof/>
                <w:sz w:val="20"/>
              </w:rPr>
            </w:pPr>
            <w:r>
              <w:rPr>
                <w:noProof/>
                <w:sz w:val="22"/>
              </w:rPr>
              <w:t>1,957</w:t>
            </w:r>
          </w:p>
        </w:tc>
        <w:tc>
          <w:tcPr>
            <w:tcW w:w="1276" w:type="dxa"/>
            <w:vAlign w:val="center"/>
          </w:tcPr>
          <w:p w:rsidR="00557911" w:rsidRDefault="00623804">
            <w:pPr>
              <w:spacing w:before="0" w:after="0"/>
              <w:jc w:val="center"/>
              <w:rPr>
                <w:noProof/>
                <w:sz w:val="20"/>
              </w:rPr>
            </w:pPr>
            <w:r>
              <w:rPr>
                <w:noProof/>
                <w:sz w:val="22"/>
              </w:rPr>
              <w:t>2,232</w:t>
            </w:r>
          </w:p>
        </w:tc>
        <w:tc>
          <w:tcPr>
            <w:tcW w:w="1276" w:type="dxa"/>
            <w:vAlign w:val="center"/>
          </w:tcPr>
          <w:p w:rsidR="00557911" w:rsidRDefault="00623804">
            <w:pPr>
              <w:spacing w:before="0" w:after="0"/>
              <w:jc w:val="center"/>
              <w:rPr>
                <w:bCs/>
                <w:noProof/>
                <w:sz w:val="22"/>
              </w:rPr>
            </w:pPr>
            <w:r>
              <w:rPr>
                <w:noProof/>
                <w:sz w:val="22"/>
              </w:rPr>
              <w:t>2,461</w:t>
            </w:r>
          </w:p>
        </w:tc>
        <w:tc>
          <w:tcPr>
            <w:tcW w:w="1276" w:type="dxa"/>
            <w:vAlign w:val="center"/>
          </w:tcPr>
          <w:p w:rsidR="00557911" w:rsidRDefault="00623804">
            <w:pPr>
              <w:spacing w:before="0" w:after="0"/>
              <w:jc w:val="center"/>
              <w:rPr>
                <w:bCs/>
                <w:noProof/>
                <w:sz w:val="22"/>
              </w:rPr>
            </w:pPr>
            <w:r>
              <w:rPr>
                <w:noProof/>
                <w:sz w:val="22"/>
              </w:rPr>
              <w:t>2,565</w:t>
            </w:r>
          </w:p>
        </w:tc>
        <w:tc>
          <w:tcPr>
            <w:tcW w:w="1276" w:type="dxa"/>
            <w:vAlign w:val="center"/>
          </w:tcPr>
          <w:p w:rsidR="00557911" w:rsidRDefault="00623804">
            <w:pPr>
              <w:spacing w:before="0" w:after="0"/>
              <w:jc w:val="center"/>
              <w:rPr>
                <w:b/>
                <w:noProof/>
                <w:sz w:val="20"/>
              </w:rPr>
            </w:pPr>
            <w:r>
              <w:rPr>
                <w:b/>
                <w:noProof/>
                <w:sz w:val="22"/>
              </w:rPr>
              <w:t>9,215</w:t>
            </w:r>
          </w:p>
        </w:tc>
      </w:tr>
      <w:tr w:rsidR="00557911">
        <w:trPr>
          <w:trHeight w:val="319"/>
        </w:trPr>
        <w:tc>
          <w:tcPr>
            <w:tcW w:w="3600" w:type="dxa"/>
            <w:vMerge w:val="restart"/>
            <w:vAlign w:val="center"/>
          </w:tcPr>
          <w:p w:rsidR="00557911" w:rsidRDefault="00623804">
            <w:pPr>
              <w:spacing w:before="60" w:after="60"/>
              <w:rPr>
                <w:noProof/>
              </w:rPr>
            </w:pPr>
            <w:r>
              <w:rPr>
                <w:noProof/>
                <w:sz w:val="20"/>
              </w:rPr>
              <w:t xml:space="preserve">Hlava 3: Provozní výdaje </w:t>
            </w:r>
          </w:p>
        </w:tc>
        <w:tc>
          <w:tcPr>
            <w:tcW w:w="1645" w:type="dxa"/>
            <w:vAlign w:val="center"/>
          </w:tcPr>
          <w:p w:rsidR="00557911" w:rsidRDefault="00623804">
            <w:pPr>
              <w:spacing w:before="40" w:after="40"/>
              <w:rPr>
                <w:noProof/>
                <w:sz w:val="18"/>
              </w:rPr>
            </w:pPr>
            <w:r>
              <w:rPr>
                <w:noProof/>
                <w:sz w:val="18"/>
              </w:rPr>
              <w:t>Závazky</w:t>
            </w:r>
          </w:p>
        </w:tc>
        <w:tc>
          <w:tcPr>
            <w:tcW w:w="567" w:type="dxa"/>
            <w:vAlign w:val="center"/>
          </w:tcPr>
          <w:p w:rsidR="00557911" w:rsidRDefault="00623804">
            <w:pPr>
              <w:spacing w:before="40" w:after="40"/>
              <w:jc w:val="center"/>
              <w:rPr>
                <w:noProof/>
                <w:sz w:val="14"/>
              </w:rPr>
            </w:pPr>
            <w:r>
              <w:rPr>
                <w:noProof/>
                <w:sz w:val="14"/>
              </w:rPr>
              <w:t>(3a)</w:t>
            </w:r>
          </w:p>
        </w:tc>
        <w:tc>
          <w:tcPr>
            <w:tcW w:w="1039" w:type="dxa"/>
            <w:shd w:val="clear" w:color="auto" w:fill="D9D9D9" w:themeFill="background1" w:themeFillShade="D9"/>
            <w:vAlign w:val="center"/>
          </w:tcPr>
          <w:p w:rsidR="00557911" w:rsidRDefault="00623804">
            <w:pPr>
              <w:spacing w:before="40" w:after="40"/>
              <w:jc w:val="center"/>
              <w:rPr>
                <w:noProof/>
                <w:sz w:val="20"/>
              </w:rPr>
            </w:pPr>
            <w:r>
              <w:rPr>
                <w:noProof/>
                <w:sz w:val="20"/>
              </w:rPr>
              <w:t>3,086</w:t>
            </w:r>
          </w:p>
        </w:tc>
        <w:tc>
          <w:tcPr>
            <w:tcW w:w="237" w:type="dxa"/>
            <w:vMerge/>
          </w:tcPr>
          <w:p w:rsidR="00557911" w:rsidRDefault="00557911">
            <w:pPr>
              <w:spacing w:before="40" w:after="40"/>
              <w:jc w:val="center"/>
              <w:rPr>
                <w:noProof/>
                <w:sz w:val="20"/>
              </w:rPr>
            </w:pPr>
          </w:p>
        </w:tc>
        <w:tc>
          <w:tcPr>
            <w:tcW w:w="1275" w:type="dxa"/>
            <w:vAlign w:val="center"/>
          </w:tcPr>
          <w:p w:rsidR="00557911" w:rsidRDefault="00623804">
            <w:pPr>
              <w:spacing w:before="0" w:after="0"/>
              <w:jc w:val="center"/>
              <w:rPr>
                <w:noProof/>
                <w:sz w:val="20"/>
              </w:rPr>
            </w:pPr>
            <w:r>
              <w:rPr>
                <w:noProof/>
                <w:sz w:val="22"/>
              </w:rPr>
              <w:t>4,694</w:t>
            </w:r>
          </w:p>
        </w:tc>
        <w:tc>
          <w:tcPr>
            <w:tcW w:w="1276" w:type="dxa"/>
            <w:vAlign w:val="center"/>
          </w:tcPr>
          <w:p w:rsidR="00557911" w:rsidRDefault="00623804">
            <w:pPr>
              <w:spacing w:before="0" w:after="0"/>
              <w:jc w:val="center"/>
              <w:rPr>
                <w:noProof/>
                <w:sz w:val="20"/>
              </w:rPr>
            </w:pPr>
            <w:r>
              <w:rPr>
                <w:noProof/>
                <w:sz w:val="22"/>
              </w:rPr>
              <w:t>6,332</w:t>
            </w:r>
          </w:p>
        </w:tc>
        <w:tc>
          <w:tcPr>
            <w:tcW w:w="1276" w:type="dxa"/>
            <w:vAlign w:val="center"/>
          </w:tcPr>
          <w:p w:rsidR="00557911" w:rsidRDefault="00623804">
            <w:pPr>
              <w:spacing w:before="0" w:after="0"/>
              <w:jc w:val="center"/>
              <w:rPr>
                <w:noProof/>
                <w:sz w:val="20"/>
              </w:rPr>
            </w:pPr>
            <w:r>
              <w:rPr>
                <w:noProof/>
                <w:sz w:val="22"/>
              </w:rPr>
              <w:t>6,438</w:t>
            </w:r>
          </w:p>
        </w:tc>
        <w:tc>
          <w:tcPr>
            <w:tcW w:w="1276" w:type="dxa"/>
            <w:vAlign w:val="center"/>
          </w:tcPr>
          <w:p w:rsidR="00557911" w:rsidRDefault="00623804">
            <w:pPr>
              <w:spacing w:before="0" w:after="0"/>
              <w:jc w:val="center"/>
              <w:rPr>
                <w:noProof/>
                <w:sz w:val="20"/>
              </w:rPr>
            </w:pPr>
            <w:r>
              <w:rPr>
                <w:noProof/>
                <w:sz w:val="22"/>
              </w:rPr>
              <w:t>6,564</w:t>
            </w:r>
          </w:p>
        </w:tc>
        <w:tc>
          <w:tcPr>
            <w:tcW w:w="1276" w:type="dxa"/>
            <w:vAlign w:val="center"/>
          </w:tcPr>
          <w:p w:rsidR="00557911" w:rsidRDefault="00623804">
            <w:pPr>
              <w:spacing w:before="0" w:after="0"/>
              <w:jc w:val="center"/>
              <w:rPr>
                <w:b/>
                <w:noProof/>
                <w:sz w:val="20"/>
              </w:rPr>
            </w:pPr>
            <w:r>
              <w:rPr>
                <w:b/>
                <w:noProof/>
                <w:sz w:val="22"/>
              </w:rPr>
              <w:t>24,028</w:t>
            </w:r>
          </w:p>
        </w:tc>
      </w:tr>
      <w:tr w:rsidR="00557911">
        <w:trPr>
          <w:trHeight w:val="319"/>
        </w:trPr>
        <w:tc>
          <w:tcPr>
            <w:tcW w:w="3600" w:type="dxa"/>
            <w:vMerge/>
            <w:vAlign w:val="center"/>
          </w:tcPr>
          <w:p w:rsidR="00557911" w:rsidRDefault="00557911">
            <w:pPr>
              <w:spacing w:before="60" w:after="60"/>
              <w:rPr>
                <w:b/>
                <w:noProof/>
                <w:sz w:val="20"/>
              </w:rPr>
            </w:pPr>
          </w:p>
        </w:tc>
        <w:tc>
          <w:tcPr>
            <w:tcW w:w="1645" w:type="dxa"/>
            <w:vAlign w:val="center"/>
          </w:tcPr>
          <w:p w:rsidR="00557911" w:rsidRDefault="00623804">
            <w:pPr>
              <w:spacing w:before="40" w:after="40"/>
              <w:rPr>
                <w:noProof/>
                <w:sz w:val="18"/>
              </w:rPr>
            </w:pPr>
            <w:r>
              <w:rPr>
                <w:noProof/>
                <w:sz w:val="18"/>
              </w:rPr>
              <w:t>Platby</w:t>
            </w:r>
          </w:p>
        </w:tc>
        <w:tc>
          <w:tcPr>
            <w:tcW w:w="567" w:type="dxa"/>
            <w:vAlign w:val="center"/>
          </w:tcPr>
          <w:p w:rsidR="00557911" w:rsidRDefault="00623804">
            <w:pPr>
              <w:spacing w:before="40" w:after="40"/>
              <w:jc w:val="center"/>
              <w:rPr>
                <w:noProof/>
                <w:sz w:val="14"/>
              </w:rPr>
            </w:pPr>
            <w:r>
              <w:rPr>
                <w:noProof/>
                <w:sz w:val="14"/>
              </w:rPr>
              <w:t>(3b)</w:t>
            </w:r>
          </w:p>
        </w:tc>
        <w:tc>
          <w:tcPr>
            <w:tcW w:w="1039" w:type="dxa"/>
            <w:shd w:val="clear" w:color="auto" w:fill="D9D9D9" w:themeFill="background1" w:themeFillShade="D9"/>
            <w:vAlign w:val="center"/>
          </w:tcPr>
          <w:p w:rsidR="00557911" w:rsidRDefault="00623804">
            <w:pPr>
              <w:spacing w:before="40" w:after="40"/>
              <w:jc w:val="center"/>
              <w:rPr>
                <w:noProof/>
                <w:sz w:val="20"/>
              </w:rPr>
            </w:pPr>
            <w:r>
              <w:rPr>
                <w:noProof/>
                <w:sz w:val="20"/>
              </w:rPr>
              <w:t>3,086</w:t>
            </w:r>
          </w:p>
        </w:tc>
        <w:tc>
          <w:tcPr>
            <w:tcW w:w="237" w:type="dxa"/>
            <w:vMerge/>
          </w:tcPr>
          <w:p w:rsidR="00557911" w:rsidRDefault="00557911">
            <w:pPr>
              <w:spacing w:before="40" w:after="40"/>
              <w:jc w:val="center"/>
              <w:rPr>
                <w:noProof/>
                <w:sz w:val="20"/>
              </w:rPr>
            </w:pPr>
          </w:p>
        </w:tc>
        <w:tc>
          <w:tcPr>
            <w:tcW w:w="1275" w:type="dxa"/>
            <w:vAlign w:val="center"/>
          </w:tcPr>
          <w:p w:rsidR="00557911" w:rsidRDefault="00623804">
            <w:pPr>
              <w:spacing w:before="0" w:after="0"/>
              <w:jc w:val="center"/>
              <w:rPr>
                <w:noProof/>
                <w:sz w:val="20"/>
              </w:rPr>
            </w:pPr>
            <w:r>
              <w:rPr>
                <w:noProof/>
                <w:sz w:val="22"/>
              </w:rPr>
              <w:t>4,694</w:t>
            </w:r>
          </w:p>
        </w:tc>
        <w:tc>
          <w:tcPr>
            <w:tcW w:w="1276" w:type="dxa"/>
            <w:vAlign w:val="center"/>
          </w:tcPr>
          <w:p w:rsidR="00557911" w:rsidRDefault="00623804">
            <w:pPr>
              <w:spacing w:before="0" w:after="0"/>
              <w:jc w:val="center"/>
              <w:rPr>
                <w:noProof/>
                <w:sz w:val="20"/>
              </w:rPr>
            </w:pPr>
            <w:r>
              <w:rPr>
                <w:noProof/>
                <w:sz w:val="22"/>
              </w:rPr>
              <w:t>6,332</w:t>
            </w:r>
          </w:p>
        </w:tc>
        <w:tc>
          <w:tcPr>
            <w:tcW w:w="1276" w:type="dxa"/>
            <w:vAlign w:val="center"/>
          </w:tcPr>
          <w:p w:rsidR="00557911" w:rsidRDefault="00623804">
            <w:pPr>
              <w:spacing w:before="0" w:after="0"/>
              <w:jc w:val="center"/>
              <w:rPr>
                <w:noProof/>
                <w:sz w:val="20"/>
              </w:rPr>
            </w:pPr>
            <w:r>
              <w:rPr>
                <w:noProof/>
                <w:sz w:val="22"/>
              </w:rPr>
              <w:t>6,438</w:t>
            </w:r>
          </w:p>
        </w:tc>
        <w:tc>
          <w:tcPr>
            <w:tcW w:w="1276" w:type="dxa"/>
            <w:vAlign w:val="center"/>
          </w:tcPr>
          <w:p w:rsidR="00557911" w:rsidRDefault="00623804">
            <w:pPr>
              <w:spacing w:before="0" w:after="0"/>
              <w:jc w:val="center"/>
              <w:rPr>
                <w:noProof/>
                <w:sz w:val="20"/>
              </w:rPr>
            </w:pPr>
            <w:r>
              <w:rPr>
                <w:noProof/>
                <w:sz w:val="22"/>
              </w:rPr>
              <w:t>6,564</w:t>
            </w:r>
          </w:p>
        </w:tc>
        <w:tc>
          <w:tcPr>
            <w:tcW w:w="1276" w:type="dxa"/>
            <w:vAlign w:val="center"/>
          </w:tcPr>
          <w:p w:rsidR="00557911" w:rsidRDefault="00623804">
            <w:pPr>
              <w:spacing w:before="0" w:after="0"/>
              <w:jc w:val="center"/>
              <w:rPr>
                <w:b/>
                <w:noProof/>
                <w:sz w:val="20"/>
              </w:rPr>
            </w:pPr>
            <w:r>
              <w:rPr>
                <w:b/>
                <w:noProof/>
                <w:sz w:val="22"/>
              </w:rPr>
              <w:t>24,028</w:t>
            </w:r>
          </w:p>
        </w:tc>
      </w:tr>
      <w:tr w:rsidR="00557911">
        <w:tc>
          <w:tcPr>
            <w:tcW w:w="3600" w:type="dxa"/>
            <w:vMerge w:val="restart"/>
            <w:vAlign w:val="center"/>
          </w:tcPr>
          <w:p w:rsidR="00557911" w:rsidRDefault="00623804">
            <w:pPr>
              <w:jc w:val="center"/>
              <w:rPr>
                <w:noProof/>
              </w:rPr>
            </w:pPr>
            <w:r>
              <w:rPr>
                <w:b/>
                <w:noProof/>
              </w:rPr>
              <w:t>CELKEM prostředky</w:t>
            </w:r>
            <w:r>
              <w:rPr>
                <w:noProof/>
                <w:sz w:val="22"/>
              </w:rPr>
              <w:br/>
            </w:r>
            <w:r>
              <w:rPr>
                <w:b/>
                <w:noProof/>
                <w:sz w:val="22"/>
              </w:rPr>
              <w:t>pro agenturu ENISA</w:t>
            </w:r>
          </w:p>
        </w:tc>
        <w:tc>
          <w:tcPr>
            <w:tcW w:w="1645" w:type="dxa"/>
            <w:vAlign w:val="center"/>
          </w:tcPr>
          <w:p w:rsidR="00557911" w:rsidRDefault="00623804">
            <w:pPr>
              <w:rPr>
                <w:noProof/>
                <w:sz w:val="18"/>
              </w:rPr>
            </w:pPr>
            <w:r>
              <w:rPr>
                <w:noProof/>
                <w:sz w:val="18"/>
              </w:rPr>
              <w:t>Závazky</w:t>
            </w:r>
          </w:p>
        </w:tc>
        <w:tc>
          <w:tcPr>
            <w:tcW w:w="567" w:type="dxa"/>
            <w:vAlign w:val="center"/>
          </w:tcPr>
          <w:p w:rsidR="00557911" w:rsidRDefault="00623804">
            <w:pPr>
              <w:jc w:val="center"/>
              <w:rPr>
                <w:noProof/>
                <w:sz w:val="14"/>
              </w:rPr>
            </w:pPr>
            <w:r>
              <w:rPr>
                <w:noProof/>
                <w:sz w:val="14"/>
              </w:rPr>
              <w:t>=1+1a +3a</w:t>
            </w:r>
          </w:p>
        </w:tc>
        <w:tc>
          <w:tcPr>
            <w:tcW w:w="1039" w:type="dxa"/>
            <w:shd w:val="clear" w:color="auto" w:fill="D9D9D9" w:themeFill="background1" w:themeFillShade="D9"/>
            <w:vAlign w:val="center"/>
          </w:tcPr>
          <w:p w:rsidR="00557911" w:rsidRDefault="00623804">
            <w:pPr>
              <w:spacing w:before="20" w:after="20"/>
              <w:jc w:val="center"/>
              <w:rPr>
                <w:b/>
                <w:noProof/>
                <w:sz w:val="20"/>
              </w:rPr>
            </w:pPr>
            <w:r>
              <w:rPr>
                <w:b/>
                <w:noProof/>
                <w:sz w:val="20"/>
              </w:rPr>
              <w:t>11,244</w:t>
            </w:r>
          </w:p>
        </w:tc>
        <w:tc>
          <w:tcPr>
            <w:tcW w:w="237" w:type="dxa"/>
            <w:vMerge/>
          </w:tcPr>
          <w:p w:rsidR="00557911" w:rsidRDefault="00557911">
            <w:pPr>
              <w:spacing w:before="20" w:after="20"/>
              <w:jc w:val="right"/>
              <w:rPr>
                <w:b/>
                <w:noProof/>
                <w:sz w:val="20"/>
              </w:rPr>
            </w:pPr>
          </w:p>
        </w:tc>
        <w:tc>
          <w:tcPr>
            <w:tcW w:w="1275" w:type="dxa"/>
            <w:vAlign w:val="center"/>
          </w:tcPr>
          <w:p w:rsidR="00557911" w:rsidRDefault="00623804">
            <w:pPr>
              <w:spacing w:before="0" w:after="0"/>
              <w:jc w:val="center"/>
              <w:rPr>
                <w:noProof/>
                <w:sz w:val="20"/>
              </w:rPr>
            </w:pPr>
            <w:r>
              <w:rPr>
                <w:noProof/>
                <w:sz w:val="22"/>
              </w:rPr>
              <w:t>16,550</w:t>
            </w:r>
          </w:p>
        </w:tc>
        <w:tc>
          <w:tcPr>
            <w:tcW w:w="1276" w:type="dxa"/>
            <w:vAlign w:val="center"/>
          </w:tcPr>
          <w:p w:rsidR="00557911" w:rsidRDefault="00623804">
            <w:pPr>
              <w:spacing w:before="0" w:after="0"/>
              <w:jc w:val="center"/>
              <w:rPr>
                <w:noProof/>
                <w:sz w:val="20"/>
              </w:rPr>
            </w:pPr>
            <w:r>
              <w:rPr>
                <w:noProof/>
                <w:sz w:val="22"/>
              </w:rPr>
              <w:t>20,646</w:t>
            </w:r>
          </w:p>
        </w:tc>
        <w:tc>
          <w:tcPr>
            <w:tcW w:w="1276" w:type="dxa"/>
            <w:vAlign w:val="center"/>
          </w:tcPr>
          <w:p w:rsidR="00557911" w:rsidRDefault="00623804">
            <w:pPr>
              <w:spacing w:before="0" w:after="0"/>
              <w:jc w:val="center"/>
              <w:rPr>
                <w:noProof/>
                <w:sz w:val="20"/>
              </w:rPr>
            </w:pPr>
            <w:r>
              <w:rPr>
                <w:noProof/>
                <w:sz w:val="22"/>
              </w:rPr>
              <w:t>22,248</w:t>
            </w:r>
          </w:p>
        </w:tc>
        <w:tc>
          <w:tcPr>
            <w:tcW w:w="1276" w:type="dxa"/>
            <w:vAlign w:val="center"/>
          </w:tcPr>
          <w:p w:rsidR="00557911" w:rsidRDefault="00623804">
            <w:pPr>
              <w:spacing w:before="0" w:after="0"/>
              <w:jc w:val="center"/>
              <w:rPr>
                <w:noProof/>
                <w:sz w:val="20"/>
              </w:rPr>
            </w:pPr>
            <w:r>
              <w:rPr>
                <w:noProof/>
                <w:sz w:val="22"/>
              </w:rPr>
              <w:t>23,023</w:t>
            </w:r>
          </w:p>
        </w:tc>
        <w:tc>
          <w:tcPr>
            <w:tcW w:w="1276" w:type="dxa"/>
            <w:vAlign w:val="center"/>
          </w:tcPr>
          <w:p w:rsidR="00557911" w:rsidRDefault="00623804">
            <w:pPr>
              <w:spacing w:before="0" w:after="0"/>
              <w:jc w:val="center"/>
              <w:rPr>
                <w:b/>
                <w:noProof/>
                <w:sz w:val="20"/>
              </w:rPr>
            </w:pPr>
            <w:r>
              <w:rPr>
                <w:b/>
                <w:noProof/>
                <w:sz w:val="22"/>
              </w:rPr>
              <w:t>82,467</w:t>
            </w:r>
          </w:p>
        </w:tc>
      </w:tr>
      <w:tr w:rsidR="00557911">
        <w:tc>
          <w:tcPr>
            <w:tcW w:w="3600" w:type="dxa"/>
            <w:vMerge/>
            <w:vAlign w:val="center"/>
          </w:tcPr>
          <w:p w:rsidR="00557911" w:rsidRDefault="00557911">
            <w:pPr>
              <w:rPr>
                <w:b/>
                <w:noProof/>
              </w:rPr>
            </w:pPr>
          </w:p>
        </w:tc>
        <w:tc>
          <w:tcPr>
            <w:tcW w:w="1645" w:type="dxa"/>
            <w:vAlign w:val="center"/>
          </w:tcPr>
          <w:p w:rsidR="00557911" w:rsidRDefault="00623804">
            <w:pPr>
              <w:rPr>
                <w:noProof/>
                <w:sz w:val="18"/>
              </w:rPr>
            </w:pPr>
            <w:r>
              <w:rPr>
                <w:noProof/>
                <w:sz w:val="18"/>
              </w:rPr>
              <w:t>Platby</w:t>
            </w:r>
          </w:p>
        </w:tc>
        <w:tc>
          <w:tcPr>
            <w:tcW w:w="567" w:type="dxa"/>
            <w:vAlign w:val="center"/>
          </w:tcPr>
          <w:p w:rsidR="00557911" w:rsidRDefault="00623804">
            <w:pPr>
              <w:jc w:val="center"/>
              <w:rPr>
                <w:noProof/>
                <w:sz w:val="14"/>
              </w:rPr>
            </w:pPr>
            <w:r>
              <w:rPr>
                <w:noProof/>
                <w:sz w:val="14"/>
              </w:rPr>
              <w:t>=2+2a</w:t>
            </w:r>
          </w:p>
          <w:p w:rsidR="00557911" w:rsidRDefault="00623804">
            <w:pPr>
              <w:jc w:val="center"/>
              <w:rPr>
                <w:noProof/>
                <w:sz w:val="14"/>
              </w:rPr>
            </w:pPr>
            <w:r>
              <w:rPr>
                <w:noProof/>
                <w:sz w:val="14"/>
              </w:rPr>
              <w:t>+3b</w:t>
            </w:r>
          </w:p>
        </w:tc>
        <w:tc>
          <w:tcPr>
            <w:tcW w:w="1039" w:type="dxa"/>
            <w:shd w:val="clear" w:color="auto" w:fill="D9D9D9" w:themeFill="background1" w:themeFillShade="D9"/>
            <w:vAlign w:val="center"/>
          </w:tcPr>
          <w:p w:rsidR="00557911" w:rsidRDefault="00623804">
            <w:pPr>
              <w:spacing w:before="20" w:after="20"/>
              <w:jc w:val="center"/>
              <w:rPr>
                <w:b/>
                <w:noProof/>
                <w:sz w:val="20"/>
              </w:rPr>
            </w:pPr>
            <w:r>
              <w:rPr>
                <w:b/>
                <w:noProof/>
                <w:sz w:val="20"/>
              </w:rPr>
              <w:t>11,244</w:t>
            </w:r>
          </w:p>
        </w:tc>
        <w:tc>
          <w:tcPr>
            <w:tcW w:w="237" w:type="dxa"/>
            <w:vMerge/>
          </w:tcPr>
          <w:p w:rsidR="00557911" w:rsidRDefault="00557911">
            <w:pPr>
              <w:spacing w:before="20" w:after="20"/>
              <w:jc w:val="right"/>
              <w:rPr>
                <w:b/>
                <w:noProof/>
                <w:sz w:val="20"/>
              </w:rPr>
            </w:pPr>
          </w:p>
        </w:tc>
        <w:tc>
          <w:tcPr>
            <w:tcW w:w="1275" w:type="dxa"/>
            <w:vAlign w:val="center"/>
          </w:tcPr>
          <w:p w:rsidR="00557911" w:rsidRDefault="00623804">
            <w:pPr>
              <w:spacing w:before="0" w:after="0"/>
              <w:jc w:val="center"/>
              <w:rPr>
                <w:b/>
                <w:noProof/>
                <w:sz w:val="20"/>
              </w:rPr>
            </w:pPr>
            <w:r>
              <w:rPr>
                <w:b/>
                <w:noProof/>
                <w:sz w:val="22"/>
              </w:rPr>
              <w:t>16,550</w:t>
            </w:r>
          </w:p>
        </w:tc>
        <w:tc>
          <w:tcPr>
            <w:tcW w:w="1276" w:type="dxa"/>
            <w:vAlign w:val="center"/>
          </w:tcPr>
          <w:p w:rsidR="00557911" w:rsidRDefault="00623804">
            <w:pPr>
              <w:spacing w:before="0" w:after="0"/>
              <w:jc w:val="center"/>
              <w:rPr>
                <w:b/>
                <w:noProof/>
                <w:sz w:val="20"/>
              </w:rPr>
            </w:pPr>
            <w:r>
              <w:rPr>
                <w:b/>
                <w:noProof/>
                <w:sz w:val="22"/>
              </w:rPr>
              <w:t>20,646</w:t>
            </w:r>
          </w:p>
        </w:tc>
        <w:tc>
          <w:tcPr>
            <w:tcW w:w="1276" w:type="dxa"/>
            <w:vAlign w:val="center"/>
          </w:tcPr>
          <w:p w:rsidR="00557911" w:rsidRDefault="00623804">
            <w:pPr>
              <w:spacing w:before="0" w:after="0"/>
              <w:jc w:val="center"/>
              <w:rPr>
                <w:b/>
                <w:noProof/>
                <w:sz w:val="20"/>
              </w:rPr>
            </w:pPr>
            <w:r>
              <w:rPr>
                <w:b/>
                <w:noProof/>
                <w:sz w:val="22"/>
              </w:rPr>
              <w:t>22,248</w:t>
            </w:r>
          </w:p>
        </w:tc>
        <w:tc>
          <w:tcPr>
            <w:tcW w:w="1276" w:type="dxa"/>
            <w:vAlign w:val="center"/>
          </w:tcPr>
          <w:p w:rsidR="00557911" w:rsidRDefault="00623804">
            <w:pPr>
              <w:spacing w:before="0" w:after="0"/>
              <w:jc w:val="center"/>
              <w:rPr>
                <w:b/>
                <w:noProof/>
                <w:sz w:val="20"/>
              </w:rPr>
            </w:pPr>
            <w:r>
              <w:rPr>
                <w:b/>
                <w:noProof/>
                <w:sz w:val="22"/>
              </w:rPr>
              <w:t>23,023</w:t>
            </w:r>
          </w:p>
        </w:tc>
        <w:tc>
          <w:tcPr>
            <w:tcW w:w="1276" w:type="dxa"/>
            <w:vAlign w:val="center"/>
          </w:tcPr>
          <w:p w:rsidR="00557911" w:rsidRDefault="00623804">
            <w:pPr>
              <w:spacing w:before="0" w:after="0"/>
              <w:jc w:val="center"/>
              <w:rPr>
                <w:b/>
                <w:noProof/>
                <w:sz w:val="20"/>
              </w:rPr>
            </w:pPr>
            <w:r>
              <w:rPr>
                <w:b/>
                <w:noProof/>
                <w:sz w:val="22"/>
              </w:rPr>
              <w:t>82,467</w:t>
            </w:r>
          </w:p>
        </w:tc>
      </w:tr>
    </w:tbl>
    <w:p w:rsidR="00557911" w:rsidRDefault="00557911">
      <w:pPr>
        <w:rPr>
          <w:noProof/>
        </w:rPr>
      </w:pPr>
    </w:p>
    <w:p w:rsidR="00557911" w:rsidRDefault="00557911">
      <w:pPr>
        <w:rPr>
          <w:noProof/>
        </w:rPr>
      </w:pPr>
    </w:p>
    <w:p w:rsidR="00557911" w:rsidRDefault="00557911">
      <w:pPr>
        <w:rPr>
          <w:noProof/>
        </w:rPr>
      </w:pPr>
    </w:p>
    <w:p w:rsidR="00557911" w:rsidRDefault="00557911">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57911">
        <w:trPr>
          <w:jc w:val="center"/>
        </w:trPr>
        <w:tc>
          <w:tcPr>
            <w:tcW w:w="4744" w:type="dxa"/>
            <w:shd w:val="thinDiagStripe" w:color="C0C0C0" w:fill="auto"/>
            <w:vAlign w:val="center"/>
          </w:tcPr>
          <w:p w:rsidR="00557911" w:rsidRDefault="00623804">
            <w:pPr>
              <w:spacing w:before="60" w:after="60"/>
              <w:jc w:val="center"/>
              <w:rPr>
                <w:b/>
                <w:noProof/>
              </w:rPr>
            </w:pPr>
            <w:r>
              <w:rPr>
                <w:noProof/>
              </w:rPr>
              <w:br w:type="page"/>
            </w:r>
            <w:r>
              <w:rPr>
                <w:b/>
                <w:noProof/>
              </w:rPr>
              <w:t>Okruh víceletého finančního</w:t>
            </w:r>
            <w:r>
              <w:rPr>
                <w:noProof/>
                <w:sz w:val="22"/>
              </w:rPr>
              <w:br/>
            </w:r>
            <w:r>
              <w:rPr>
                <w:b/>
                <w:noProof/>
                <w:sz w:val="22"/>
              </w:rPr>
              <w:t xml:space="preserve">rámce </w:t>
            </w:r>
          </w:p>
        </w:tc>
        <w:tc>
          <w:tcPr>
            <w:tcW w:w="1080" w:type="dxa"/>
            <w:shd w:val="thinDiagStripe" w:color="C0C0C0" w:fill="auto"/>
            <w:vAlign w:val="center"/>
          </w:tcPr>
          <w:p w:rsidR="00557911" w:rsidRDefault="00623804">
            <w:pPr>
              <w:spacing w:before="60" w:after="60"/>
              <w:jc w:val="center"/>
              <w:rPr>
                <w:noProof/>
              </w:rPr>
            </w:pPr>
            <w:r>
              <w:rPr>
                <w:b/>
                <w:noProof/>
                <w:sz w:val="22"/>
              </w:rPr>
              <w:t>5</w:t>
            </w:r>
          </w:p>
        </w:tc>
        <w:tc>
          <w:tcPr>
            <w:tcW w:w="7817" w:type="dxa"/>
            <w:vAlign w:val="center"/>
          </w:tcPr>
          <w:p w:rsidR="00557911" w:rsidRDefault="00623804">
            <w:pPr>
              <w:spacing w:before="60" w:after="60"/>
              <w:rPr>
                <w:noProof/>
              </w:rPr>
            </w:pPr>
            <w:r>
              <w:rPr>
                <w:noProof/>
                <w:sz w:val="22"/>
              </w:rPr>
              <w:t>„Správní výdaje“</w:t>
            </w:r>
          </w:p>
        </w:tc>
      </w:tr>
    </w:tbl>
    <w:p w:rsidR="00557911" w:rsidRDefault="00623804">
      <w:pPr>
        <w:ind w:left="6480" w:firstLine="720"/>
        <w:jc w:val="center"/>
        <w:rPr>
          <w:noProof/>
          <w:sz w:val="20"/>
        </w:rPr>
      </w:pPr>
      <w:r>
        <w:rPr>
          <w:noProof/>
          <w:sz w:val="20"/>
        </w:rPr>
        <w:t>v milionech EUR (zaokrouhleno na tři desetinná místa)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57911">
        <w:tc>
          <w:tcPr>
            <w:tcW w:w="3600" w:type="dxa"/>
            <w:tcBorders>
              <w:top w:val="nil"/>
              <w:left w:val="nil"/>
              <w:right w:val="nil"/>
            </w:tcBorders>
            <w:vAlign w:val="center"/>
          </w:tcPr>
          <w:p w:rsidR="00557911" w:rsidRDefault="00557911">
            <w:pPr>
              <w:jc w:val="center"/>
              <w:rPr>
                <w:noProof/>
              </w:rPr>
            </w:pPr>
          </w:p>
        </w:tc>
        <w:tc>
          <w:tcPr>
            <w:tcW w:w="1560" w:type="dxa"/>
            <w:tcBorders>
              <w:top w:val="nil"/>
              <w:left w:val="nil"/>
              <w:right w:val="nil"/>
            </w:tcBorders>
          </w:tcPr>
          <w:p w:rsidR="00557911" w:rsidRDefault="00557911">
            <w:pPr>
              <w:rPr>
                <w:noProof/>
                <w:sz w:val="20"/>
              </w:rPr>
            </w:pPr>
          </w:p>
        </w:tc>
        <w:tc>
          <w:tcPr>
            <w:tcW w:w="534" w:type="dxa"/>
            <w:tcBorders>
              <w:top w:val="nil"/>
              <w:left w:val="nil"/>
            </w:tcBorders>
          </w:tcPr>
          <w:p w:rsidR="00557911" w:rsidRDefault="00557911">
            <w:pPr>
              <w:jc w:val="center"/>
              <w:rPr>
                <w:noProof/>
                <w:sz w:val="20"/>
              </w:rPr>
            </w:pPr>
          </w:p>
        </w:tc>
        <w:tc>
          <w:tcPr>
            <w:tcW w:w="1134" w:type="dxa"/>
            <w:vAlign w:val="center"/>
          </w:tcPr>
          <w:p w:rsidR="00557911" w:rsidRDefault="00623804">
            <w:pPr>
              <w:jc w:val="center"/>
              <w:rPr>
                <w:b/>
                <w:noProof/>
                <w:sz w:val="20"/>
              </w:rPr>
            </w:pPr>
            <w:r>
              <w:rPr>
                <w:b/>
                <w:noProof/>
                <w:sz w:val="20"/>
              </w:rPr>
              <w:t>2019</w:t>
            </w:r>
          </w:p>
          <w:p w:rsidR="00557911" w:rsidRDefault="00623804">
            <w:pPr>
              <w:jc w:val="center"/>
              <w:rPr>
                <w:i/>
                <w:noProof/>
                <w:sz w:val="20"/>
              </w:rPr>
            </w:pPr>
            <w:r>
              <w:rPr>
                <w:i/>
                <w:noProof/>
                <w:sz w:val="16"/>
              </w:rPr>
              <w:t>(od 1. 7. 2019)</w:t>
            </w:r>
          </w:p>
        </w:tc>
        <w:tc>
          <w:tcPr>
            <w:tcW w:w="1110" w:type="dxa"/>
          </w:tcPr>
          <w:p w:rsidR="00557911" w:rsidRDefault="00623804">
            <w:pPr>
              <w:jc w:val="center"/>
              <w:rPr>
                <w:noProof/>
                <w:sz w:val="20"/>
              </w:rPr>
            </w:pPr>
            <w:r>
              <w:rPr>
                <w:b/>
                <w:noProof/>
                <w:sz w:val="20"/>
              </w:rPr>
              <w:t>2020</w:t>
            </w:r>
          </w:p>
        </w:tc>
        <w:tc>
          <w:tcPr>
            <w:tcW w:w="1276" w:type="dxa"/>
          </w:tcPr>
          <w:p w:rsidR="00557911" w:rsidRDefault="00623804">
            <w:pPr>
              <w:jc w:val="center"/>
              <w:rPr>
                <w:b/>
                <w:noProof/>
                <w:sz w:val="20"/>
              </w:rPr>
            </w:pPr>
            <w:r>
              <w:rPr>
                <w:b/>
                <w:noProof/>
                <w:sz w:val="20"/>
              </w:rPr>
              <w:t>2021</w:t>
            </w:r>
          </w:p>
        </w:tc>
        <w:tc>
          <w:tcPr>
            <w:tcW w:w="1418" w:type="dxa"/>
          </w:tcPr>
          <w:p w:rsidR="00557911" w:rsidRDefault="00623804">
            <w:pPr>
              <w:jc w:val="center"/>
              <w:rPr>
                <w:b/>
                <w:noProof/>
                <w:sz w:val="20"/>
              </w:rPr>
            </w:pPr>
            <w:r>
              <w:rPr>
                <w:b/>
                <w:noProof/>
                <w:sz w:val="20"/>
              </w:rPr>
              <w:t>2022</w:t>
            </w:r>
          </w:p>
        </w:tc>
        <w:tc>
          <w:tcPr>
            <w:tcW w:w="3118" w:type="dxa"/>
          </w:tcPr>
          <w:p w:rsidR="00557911" w:rsidRDefault="00623804">
            <w:pPr>
              <w:jc w:val="center"/>
              <w:rPr>
                <w:b/>
                <w:noProof/>
                <w:sz w:val="20"/>
              </w:rPr>
            </w:pPr>
            <w:r>
              <w:rPr>
                <w:b/>
                <w:noProof/>
                <w:sz w:val="20"/>
              </w:rPr>
              <w:t>CELKEM</w:t>
            </w:r>
          </w:p>
        </w:tc>
      </w:tr>
      <w:tr w:rsidR="00557911">
        <w:tc>
          <w:tcPr>
            <w:tcW w:w="3600" w:type="dxa"/>
            <w:vAlign w:val="center"/>
          </w:tcPr>
          <w:p w:rsidR="00557911" w:rsidRDefault="00623804">
            <w:pPr>
              <w:spacing w:before="60" w:after="60"/>
              <w:jc w:val="center"/>
              <w:rPr>
                <w:noProof/>
              </w:rPr>
            </w:pPr>
            <w:r>
              <w:rPr>
                <w:noProof/>
                <w:sz w:val="22"/>
              </w:rPr>
              <w:t xml:space="preserve">GŘ: </w:t>
            </w:r>
            <w:r>
              <w:rPr>
                <w:noProof/>
              </w:rPr>
              <w:t>CNECT</w:t>
            </w:r>
          </w:p>
        </w:tc>
        <w:tc>
          <w:tcPr>
            <w:tcW w:w="10150" w:type="dxa"/>
            <w:gridSpan w:val="7"/>
          </w:tcPr>
          <w:p w:rsidR="00557911" w:rsidRDefault="00557911">
            <w:pPr>
              <w:spacing w:before="60" w:after="60"/>
              <w:jc w:val="center"/>
              <w:rPr>
                <w:noProof/>
                <w:sz w:val="22"/>
              </w:rPr>
            </w:pPr>
          </w:p>
        </w:tc>
      </w:tr>
      <w:tr w:rsidR="00557911">
        <w:trPr>
          <w:trHeight w:val="313"/>
        </w:trPr>
        <w:tc>
          <w:tcPr>
            <w:tcW w:w="5694" w:type="dxa"/>
            <w:gridSpan w:val="3"/>
            <w:vAlign w:val="center"/>
          </w:tcPr>
          <w:p w:rsidR="00557911" w:rsidRDefault="00623804">
            <w:pPr>
              <w:spacing w:before="20" w:after="20"/>
              <w:rPr>
                <w:noProof/>
              </w:rPr>
            </w:pPr>
            <w:r>
              <w:rPr>
                <w:noProof/>
                <w:sz w:val="22"/>
              </w:rPr>
              <w:sym w:font="Wingdings" w:char="F09F"/>
            </w:r>
            <w:r>
              <w:rPr>
                <w:noProof/>
                <w:sz w:val="22"/>
              </w:rPr>
              <w:t xml:space="preserve"> </w:t>
            </w:r>
            <w:r>
              <w:rPr>
                <w:noProof/>
              </w:rPr>
              <w:t>Lidské zdroje</w:t>
            </w:r>
          </w:p>
        </w:tc>
        <w:tc>
          <w:tcPr>
            <w:tcW w:w="1134" w:type="dxa"/>
            <w:vAlign w:val="center"/>
          </w:tcPr>
          <w:p w:rsidR="00557911" w:rsidRDefault="00623804">
            <w:pPr>
              <w:spacing w:before="20" w:after="20"/>
              <w:jc w:val="center"/>
              <w:rPr>
                <w:noProof/>
                <w:sz w:val="20"/>
              </w:rPr>
            </w:pPr>
            <w:r>
              <w:rPr>
                <w:noProof/>
                <w:sz w:val="20"/>
              </w:rPr>
              <w:t>0,216</w:t>
            </w:r>
          </w:p>
        </w:tc>
        <w:tc>
          <w:tcPr>
            <w:tcW w:w="1110" w:type="dxa"/>
            <w:vAlign w:val="center"/>
          </w:tcPr>
          <w:p w:rsidR="00557911" w:rsidRDefault="00623804">
            <w:pPr>
              <w:spacing w:before="20" w:after="20"/>
              <w:jc w:val="center"/>
              <w:rPr>
                <w:noProof/>
                <w:sz w:val="20"/>
              </w:rPr>
            </w:pPr>
            <w:r>
              <w:rPr>
                <w:noProof/>
                <w:sz w:val="20"/>
              </w:rPr>
              <w:t>0,846</w:t>
            </w:r>
          </w:p>
        </w:tc>
        <w:tc>
          <w:tcPr>
            <w:tcW w:w="1276" w:type="dxa"/>
            <w:vAlign w:val="center"/>
          </w:tcPr>
          <w:p w:rsidR="00557911" w:rsidRDefault="00623804">
            <w:pPr>
              <w:spacing w:before="20" w:after="20"/>
              <w:jc w:val="center"/>
              <w:rPr>
                <w:noProof/>
                <w:sz w:val="20"/>
              </w:rPr>
            </w:pPr>
            <w:r>
              <w:rPr>
                <w:noProof/>
                <w:sz w:val="20"/>
              </w:rPr>
              <w:t>0,846</w:t>
            </w:r>
          </w:p>
        </w:tc>
        <w:tc>
          <w:tcPr>
            <w:tcW w:w="1418" w:type="dxa"/>
            <w:vAlign w:val="center"/>
          </w:tcPr>
          <w:p w:rsidR="00557911" w:rsidRDefault="00623804">
            <w:pPr>
              <w:spacing w:before="20" w:after="20"/>
              <w:jc w:val="center"/>
              <w:rPr>
                <w:noProof/>
                <w:sz w:val="20"/>
              </w:rPr>
            </w:pPr>
            <w:r>
              <w:rPr>
                <w:noProof/>
                <w:sz w:val="20"/>
              </w:rPr>
              <w:t>0,846</w:t>
            </w:r>
          </w:p>
        </w:tc>
        <w:tc>
          <w:tcPr>
            <w:tcW w:w="3118" w:type="dxa"/>
            <w:vAlign w:val="center"/>
          </w:tcPr>
          <w:p w:rsidR="00557911" w:rsidRDefault="00623804">
            <w:pPr>
              <w:spacing w:before="20" w:after="20"/>
              <w:jc w:val="center"/>
              <w:rPr>
                <w:b/>
                <w:noProof/>
                <w:sz w:val="20"/>
              </w:rPr>
            </w:pPr>
            <w:r>
              <w:rPr>
                <w:b/>
                <w:noProof/>
                <w:sz w:val="20"/>
              </w:rPr>
              <w:t>2,754</w:t>
            </w:r>
          </w:p>
        </w:tc>
      </w:tr>
      <w:tr w:rsidR="00557911">
        <w:trPr>
          <w:trHeight w:val="351"/>
        </w:trPr>
        <w:tc>
          <w:tcPr>
            <w:tcW w:w="5694" w:type="dxa"/>
            <w:gridSpan w:val="3"/>
            <w:vAlign w:val="center"/>
          </w:tcPr>
          <w:p w:rsidR="00557911" w:rsidRDefault="00623804">
            <w:pPr>
              <w:spacing w:before="20" w:after="20"/>
              <w:rPr>
                <w:noProof/>
              </w:rPr>
            </w:pPr>
            <w:r>
              <w:rPr>
                <w:noProof/>
                <w:sz w:val="22"/>
              </w:rPr>
              <w:sym w:font="Wingdings" w:char="F09F"/>
            </w:r>
            <w:r>
              <w:rPr>
                <w:noProof/>
                <w:sz w:val="22"/>
              </w:rPr>
              <w:t xml:space="preserve"> </w:t>
            </w:r>
            <w:r>
              <w:rPr>
                <w:noProof/>
              </w:rPr>
              <w:t>Ostatní správní výdaje</w:t>
            </w:r>
          </w:p>
        </w:tc>
        <w:tc>
          <w:tcPr>
            <w:tcW w:w="1134" w:type="dxa"/>
            <w:vAlign w:val="center"/>
          </w:tcPr>
          <w:p w:rsidR="00557911" w:rsidRDefault="00623804">
            <w:pPr>
              <w:spacing w:before="20" w:after="20"/>
              <w:jc w:val="center"/>
              <w:rPr>
                <w:noProof/>
                <w:sz w:val="20"/>
              </w:rPr>
            </w:pPr>
            <w:r>
              <w:rPr>
                <w:noProof/>
                <w:sz w:val="20"/>
              </w:rPr>
              <w:t>0,102</w:t>
            </w:r>
          </w:p>
        </w:tc>
        <w:tc>
          <w:tcPr>
            <w:tcW w:w="1110" w:type="dxa"/>
            <w:vAlign w:val="center"/>
          </w:tcPr>
          <w:p w:rsidR="00557911" w:rsidRDefault="00623804">
            <w:pPr>
              <w:spacing w:before="20" w:after="20"/>
              <w:jc w:val="center"/>
              <w:rPr>
                <w:noProof/>
                <w:sz w:val="20"/>
              </w:rPr>
            </w:pPr>
            <w:r>
              <w:rPr>
                <w:noProof/>
                <w:sz w:val="20"/>
              </w:rPr>
              <w:t>0,235</w:t>
            </w:r>
          </w:p>
        </w:tc>
        <w:tc>
          <w:tcPr>
            <w:tcW w:w="1276" w:type="dxa"/>
            <w:vAlign w:val="center"/>
          </w:tcPr>
          <w:p w:rsidR="00557911" w:rsidRDefault="00623804">
            <w:pPr>
              <w:spacing w:before="20" w:after="20"/>
              <w:jc w:val="center"/>
              <w:rPr>
                <w:noProof/>
                <w:sz w:val="20"/>
              </w:rPr>
            </w:pPr>
            <w:r>
              <w:rPr>
                <w:noProof/>
                <w:sz w:val="20"/>
              </w:rPr>
              <w:t>0,238</w:t>
            </w:r>
          </w:p>
        </w:tc>
        <w:tc>
          <w:tcPr>
            <w:tcW w:w="1418" w:type="dxa"/>
            <w:vAlign w:val="center"/>
          </w:tcPr>
          <w:p w:rsidR="00557911" w:rsidRDefault="00623804">
            <w:pPr>
              <w:spacing w:before="20" w:after="20"/>
              <w:jc w:val="center"/>
              <w:rPr>
                <w:noProof/>
                <w:sz w:val="20"/>
              </w:rPr>
            </w:pPr>
            <w:r>
              <w:rPr>
                <w:noProof/>
                <w:sz w:val="20"/>
              </w:rPr>
              <w:t>0,242</w:t>
            </w:r>
          </w:p>
        </w:tc>
        <w:tc>
          <w:tcPr>
            <w:tcW w:w="3118" w:type="dxa"/>
            <w:vAlign w:val="center"/>
          </w:tcPr>
          <w:p w:rsidR="00557911" w:rsidRDefault="00623804">
            <w:pPr>
              <w:spacing w:before="20" w:after="20"/>
              <w:jc w:val="center"/>
              <w:rPr>
                <w:b/>
                <w:noProof/>
                <w:sz w:val="20"/>
              </w:rPr>
            </w:pPr>
            <w:r>
              <w:rPr>
                <w:b/>
                <w:noProof/>
                <w:sz w:val="20"/>
              </w:rPr>
              <w:t>0,817</w:t>
            </w:r>
          </w:p>
        </w:tc>
      </w:tr>
      <w:tr w:rsidR="00557911">
        <w:tc>
          <w:tcPr>
            <w:tcW w:w="3600" w:type="dxa"/>
            <w:vAlign w:val="center"/>
          </w:tcPr>
          <w:p w:rsidR="00557911" w:rsidRDefault="00623804">
            <w:pPr>
              <w:jc w:val="center"/>
              <w:rPr>
                <w:b/>
                <w:noProof/>
              </w:rPr>
            </w:pPr>
            <w:r>
              <w:rPr>
                <w:b/>
                <w:noProof/>
              </w:rPr>
              <w:t>CELKEM GŘ</w:t>
            </w:r>
            <w:r>
              <w:rPr>
                <w:noProof/>
              </w:rPr>
              <w:t xml:space="preserve"> CNECT</w:t>
            </w:r>
          </w:p>
        </w:tc>
        <w:tc>
          <w:tcPr>
            <w:tcW w:w="2094" w:type="dxa"/>
            <w:gridSpan w:val="2"/>
            <w:vAlign w:val="center"/>
          </w:tcPr>
          <w:p w:rsidR="00557911" w:rsidRDefault="00623804">
            <w:pPr>
              <w:rPr>
                <w:noProof/>
                <w:sz w:val="14"/>
              </w:rPr>
            </w:pPr>
            <w:r>
              <w:rPr>
                <w:noProof/>
                <w:sz w:val="18"/>
              </w:rPr>
              <w:t xml:space="preserve">Prostředky </w:t>
            </w:r>
          </w:p>
        </w:tc>
        <w:tc>
          <w:tcPr>
            <w:tcW w:w="1134" w:type="dxa"/>
            <w:vAlign w:val="center"/>
          </w:tcPr>
          <w:p w:rsidR="00557911" w:rsidRDefault="00623804">
            <w:pPr>
              <w:spacing w:before="20" w:after="20"/>
              <w:jc w:val="center"/>
              <w:rPr>
                <w:noProof/>
                <w:sz w:val="20"/>
              </w:rPr>
            </w:pPr>
            <w:r>
              <w:rPr>
                <w:noProof/>
                <w:sz w:val="20"/>
              </w:rPr>
              <w:t>0,318</w:t>
            </w:r>
          </w:p>
        </w:tc>
        <w:tc>
          <w:tcPr>
            <w:tcW w:w="1110" w:type="dxa"/>
            <w:vAlign w:val="center"/>
          </w:tcPr>
          <w:p w:rsidR="00557911" w:rsidRDefault="00623804">
            <w:pPr>
              <w:spacing w:before="20" w:after="20"/>
              <w:jc w:val="center"/>
              <w:rPr>
                <w:noProof/>
                <w:sz w:val="20"/>
              </w:rPr>
            </w:pPr>
            <w:r>
              <w:rPr>
                <w:noProof/>
                <w:sz w:val="20"/>
              </w:rPr>
              <w:t>1,081</w:t>
            </w:r>
          </w:p>
        </w:tc>
        <w:tc>
          <w:tcPr>
            <w:tcW w:w="1276" w:type="dxa"/>
            <w:vAlign w:val="center"/>
          </w:tcPr>
          <w:p w:rsidR="00557911" w:rsidRDefault="00623804">
            <w:pPr>
              <w:spacing w:before="20" w:after="20"/>
              <w:jc w:val="center"/>
              <w:rPr>
                <w:noProof/>
                <w:sz w:val="20"/>
              </w:rPr>
            </w:pPr>
            <w:r>
              <w:rPr>
                <w:noProof/>
                <w:sz w:val="20"/>
              </w:rPr>
              <w:t>1,084</w:t>
            </w:r>
          </w:p>
        </w:tc>
        <w:tc>
          <w:tcPr>
            <w:tcW w:w="1418" w:type="dxa"/>
            <w:vAlign w:val="center"/>
          </w:tcPr>
          <w:p w:rsidR="00557911" w:rsidRDefault="00623804">
            <w:pPr>
              <w:spacing w:before="20" w:after="20"/>
              <w:jc w:val="center"/>
              <w:rPr>
                <w:noProof/>
                <w:sz w:val="20"/>
              </w:rPr>
            </w:pPr>
            <w:r>
              <w:rPr>
                <w:noProof/>
                <w:sz w:val="20"/>
              </w:rPr>
              <w:t>1,088</w:t>
            </w:r>
          </w:p>
        </w:tc>
        <w:tc>
          <w:tcPr>
            <w:tcW w:w="3118" w:type="dxa"/>
            <w:vAlign w:val="center"/>
          </w:tcPr>
          <w:p w:rsidR="00557911" w:rsidRDefault="00623804">
            <w:pPr>
              <w:spacing w:before="20" w:after="20"/>
              <w:jc w:val="center"/>
              <w:rPr>
                <w:b/>
                <w:noProof/>
                <w:sz w:val="20"/>
              </w:rPr>
            </w:pPr>
            <w:r>
              <w:rPr>
                <w:b/>
                <w:noProof/>
                <w:sz w:val="20"/>
              </w:rPr>
              <w:t>3,571</w:t>
            </w:r>
          </w:p>
        </w:tc>
      </w:tr>
    </w:tbl>
    <w:p w:rsidR="00557911" w:rsidRDefault="00623804">
      <w:pPr>
        <w:rPr>
          <w:noProof/>
          <w:sz w:val="20"/>
          <w:u w:val="single"/>
        </w:rPr>
      </w:pPr>
      <w:r>
        <w:rPr>
          <w:noProof/>
          <w:sz w:val="20"/>
          <w:u w:val="single"/>
        </w:rPr>
        <w:t xml:space="preserve">Náklady na zaměstnance byly vypočítány podle plánovaného data náboru (předpokládá se, že zaměstnání bude zahájeno od 1. 7. 2019). </w:t>
      </w:r>
    </w:p>
    <w:p w:rsidR="00557911" w:rsidRDefault="00623804">
      <w:pPr>
        <w:rPr>
          <w:noProof/>
          <w:sz w:val="20"/>
          <w:u w:val="single"/>
        </w:rPr>
      </w:pPr>
      <w:r>
        <w:rPr>
          <w:noProof/>
          <w:sz w:val="20"/>
          <w:u w:val="single"/>
        </w:rPr>
        <w:t>Výhled zdrojů po roce 2020 je orientační a nejsou jím dotčeny návrhy Komise týkající se víceletého finančního rámce na období</w:t>
      </w:r>
      <w:r>
        <w:rPr>
          <w:noProof/>
          <w:sz w:val="20"/>
          <w:u w:val="single"/>
        </w:rPr>
        <w:t xml:space="preserve"> po roce 2020.</w:t>
      </w:r>
    </w:p>
    <w:p w:rsidR="00557911" w:rsidRDefault="00557911">
      <w:pPr>
        <w:rPr>
          <w:noProof/>
        </w:rPr>
      </w:pPr>
    </w:p>
    <w:p w:rsidR="00557911" w:rsidRDefault="00557911">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557911">
        <w:tc>
          <w:tcPr>
            <w:tcW w:w="3600" w:type="dxa"/>
            <w:shd w:val="thinDiagStripe" w:color="C0C0C0" w:fill="auto"/>
            <w:vAlign w:val="center"/>
          </w:tcPr>
          <w:p w:rsidR="00557911" w:rsidRDefault="00623804">
            <w:pPr>
              <w:jc w:val="center"/>
              <w:rPr>
                <w:b/>
                <w:noProof/>
              </w:rPr>
            </w:pPr>
            <w:r>
              <w:rPr>
                <w:b/>
                <w:noProof/>
              </w:rPr>
              <w:t>CELKEM prostředky</w:t>
            </w:r>
            <w:r>
              <w:rPr>
                <w:noProof/>
                <w:sz w:val="22"/>
              </w:rPr>
              <w:br/>
            </w:r>
            <w:r>
              <w:rPr>
                <w:b/>
                <w:noProof/>
                <w:sz w:val="22"/>
              </w:rPr>
              <w:t>na OKRUH 5</w:t>
            </w:r>
            <w:r>
              <w:rPr>
                <w:noProof/>
                <w:sz w:val="22"/>
              </w:rPr>
              <w:br/>
              <w:t>víceletého finančního rámce</w:t>
            </w:r>
            <w:r>
              <w:rPr>
                <w:b/>
                <w:noProof/>
                <w:sz w:val="22"/>
              </w:rPr>
              <w:t xml:space="preserve"> </w:t>
            </w:r>
          </w:p>
        </w:tc>
        <w:tc>
          <w:tcPr>
            <w:tcW w:w="2094" w:type="dxa"/>
            <w:vAlign w:val="center"/>
          </w:tcPr>
          <w:p w:rsidR="00557911" w:rsidRDefault="00623804">
            <w:pPr>
              <w:spacing w:before="40" w:after="40"/>
              <w:rPr>
                <w:noProof/>
              </w:rPr>
            </w:pPr>
            <w:r>
              <w:rPr>
                <w:noProof/>
                <w:sz w:val="18"/>
              </w:rPr>
              <w:t>(Závazky celkem = platby celkem)</w:t>
            </w:r>
          </w:p>
        </w:tc>
        <w:tc>
          <w:tcPr>
            <w:tcW w:w="1110" w:type="dxa"/>
            <w:vAlign w:val="center"/>
          </w:tcPr>
          <w:p w:rsidR="00557911" w:rsidRDefault="00623804">
            <w:pPr>
              <w:spacing w:before="20" w:after="20"/>
              <w:jc w:val="center"/>
              <w:rPr>
                <w:noProof/>
                <w:sz w:val="20"/>
              </w:rPr>
            </w:pPr>
            <w:r>
              <w:rPr>
                <w:noProof/>
                <w:sz w:val="20"/>
              </w:rPr>
              <w:t>0,318</w:t>
            </w:r>
          </w:p>
        </w:tc>
        <w:tc>
          <w:tcPr>
            <w:tcW w:w="1134" w:type="dxa"/>
            <w:vAlign w:val="center"/>
          </w:tcPr>
          <w:p w:rsidR="00557911" w:rsidRDefault="00623804">
            <w:pPr>
              <w:spacing w:before="20" w:after="20"/>
              <w:jc w:val="center"/>
              <w:rPr>
                <w:noProof/>
                <w:sz w:val="20"/>
              </w:rPr>
            </w:pPr>
            <w:r>
              <w:rPr>
                <w:noProof/>
                <w:sz w:val="20"/>
              </w:rPr>
              <w:t>1,081</w:t>
            </w:r>
          </w:p>
        </w:tc>
        <w:tc>
          <w:tcPr>
            <w:tcW w:w="1276" w:type="dxa"/>
            <w:vAlign w:val="center"/>
          </w:tcPr>
          <w:p w:rsidR="00557911" w:rsidRDefault="00623804">
            <w:pPr>
              <w:spacing w:before="20" w:after="20"/>
              <w:jc w:val="center"/>
              <w:rPr>
                <w:noProof/>
                <w:sz w:val="20"/>
              </w:rPr>
            </w:pPr>
            <w:r>
              <w:rPr>
                <w:noProof/>
                <w:sz w:val="20"/>
              </w:rPr>
              <w:t>1,084</w:t>
            </w:r>
          </w:p>
        </w:tc>
        <w:tc>
          <w:tcPr>
            <w:tcW w:w="1418" w:type="dxa"/>
            <w:vAlign w:val="center"/>
          </w:tcPr>
          <w:p w:rsidR="00557911" w:rsidRDefault="00623804">
            <w:pPr>
              <w:spacing w:before="20" w:after="20"/>
              <w:jc w:val="center"/>
              <w:rPr>
                <w:noProof/>
                <w:sz w:val="20"/>
              </w:rPr>
            </w:pPr>
            <w:r>
              <w:rPr>
                <w:noProof/>
                <w:sz w:val="20"/>
              </w:rPr>
              <w:t>1,088</w:t>
            </w:r>
          </w:p>
        </w:tc>
        <w:tc>
          <w:tcPr>
            <w:tcW w:w="3118" w:type="dxa"/>
            <w:vAlign w:val="center"/>
          </w:tcPr>
          <w:p w:rsidR="00557911" w:rsidRDefault="00623804">
            <w:pPr>
              <w:spacing w:before="20" w:after="20"/>
              <w:jc w:val="center"/>
              <w:rPr>
                <w:b/>
                <w:noProof/>
                <w:sz w:val="20"/>
              </w:rPr>
            </w:pPr>
            <w:r>
              <w:rPr>
                <w:b/>
                <w:noProof/>
                <w:sz w:val="20"/>
              </w:rPr>
              <w:t>3,571</w:t>
            </w:r>
          </w:p>
        </w:tc>
      </w:tr>
    </w:tbl>
    <w:p w:rsidR="00557911" w:rsidRDefault="00557911">
      <w:pPr>
        <w:ind w:left="6480" w:firstLine="720"/>
        <w:jc w:val="center"/>
        <w:rPr>
          <w:noProof/>
          <w:sz w:val="20"/>
        </w:rPr>
      </w:pPr>
    </w:p>
    <w:p w:rsidR="00557911" w:rsidRDefault="00623804">
      <w:pPr>
        <w:ind w:left="6480" w:firstLine="720"/>
        <w:jc w:val="center"/>
        <w:rPr>
          <w:noProof/>
          <w:sz w:val="20"/>
        </w:rPr>
      </w:pPr>
      <w:r>
        <w:rPr>
          <w:noProof/>
          <w:sz w:val="20"/>
        </w:rPr>
        <w:t>v milionech EUR (zaokrouhleno na tři desetinná místa)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57911">
        <w:tc>
          <w:tcPr>
            <w:tcW w:w="3600" w:type="dxa"/>
            <w:tcBorders>
              <w:top w:val="nil"/>
              <w:left w:val="nil"/>
              <w:right w:val="nil"/>
            </w:tcBorders>
            <w:vAlign w:val="center"/>
          </w:tcPr>
          <w:p w:rsidR="00557911" w:rsidRDefault="00557911">
            <w:pPr>
              <w:jc w:val="center"/>
              <w:rPr>
                <w:noProof/>
              </w:rPr>
            </w:pPr>
          </w:p>
        </w:tc>
        <w:tc>
          <w:tcPr>
            <w:tcW w:w="1560" w:type="dxa"/>
            <w:tcBorders>
              <w:top w:val="nil"/>
              <w:left w:val="nil"/>
              <w:right w:val="nil"/>
            </w:tcBorders>
          </w:tcPr>
          <w:p w:rsidR="00557911" w:rsidRDefault="00557911">
            <w:pPr>
              <w:rPr>
                <w:noProof/>
                <w:sz w:val="20"/>
              </w:rPr>
            </w:pPr>
          </w:p>
        </w:tc>
        <w:tc>
          <w:tcPr>
            <w:tcW w:w="534" w:type="dxa"/>
            <w:tcBorders>
              <w:top w:val="nil"/>
              <w:left w:val="nil"/>
            </w:tcBorders>
          </w:tcPr>
          <w:p w:rsidR="00557911" w:rsidRDefault="00557911">
            <w:pPr>
              <w:jc w:val="center"/>
              <w:rPr>
                <w:noProof/>
                <w:sz w:val="20"/>
              </w:rPr>
            </w:pPr>
          </w:p>
        </w:tc>
        <w:tc>
          <w:tcPr>
            <w:tcW w:w="1134" w:type="dxa"/>
            <w:vAlign w:val="center"/>
          </w:tcPr>
          <w:p w:rsidR="00557911" w:rsidRDefault="00623804">
            <w:pPr>
              <w:jc w:val="center"/>
              <w:rPr>
                <w:noProof/>
                <w:sz w:val="20"/>
              </w:rPr>
            </w:pPr>
            <w:r>
              <w:rPr>
                <w:b/>
                <w:noProof/>
                <w:sz w:val="20"/>
              </w:rPr>
              <w:t>2019</w:t>
            </w:r>
          </w:p>
        </w:tc>
        <w:tc>
          <w:tcPr>
            <w:tcW w:w="1110" w:type="dxa"/>
          </w:tcPr>
          <w:p w:rsidR="00557911" w:rsidRDefault="00623804">
            <w:pPr>
              <w:jc w:val="center"/>
              <w:rPr>
                <w:b/>
                <w:noProof/>
                <w:sz w:val="20"/>
              </w:rPr>
            </w:pPr>
            <w:r>
              <w:rPr>
                <w:b/>
                <w:noProof/>
                <w:sz w:val="20"/>
              </w:rPr>
              <w:t>2020</w:t>
            </w:r>
          </w:p>
        </w:tc>
        <w:tc>
          <w:tcPr>
            <w:tcW w:w="1276" w:type="dxa"/>
          </w:tcPr>
          <w:p w:rsidR="00557911" w:rsidRDefault="00623804">
            <w:pPr>
              <w:jc w:val="center"/>
              <w:rPr>
                <w:b/>
                <w:noProof/>
                <w:sz w:val="20"/>
              </w:rPr>
            </w:pPr>
            <w:r>
              <w:rPr>
                <w:b/>
                <w:noProof/>
                <w:sz w:val="20"/>
              </w:rPr>
              <w:t>2021</w:t>
            </w:r>
          </w:p>
        </w:tc>
        <w:tc>
          <w:tcPr>
            <w:tcW w:w="1418" w:type="dxa"/>
            <w:vAlign w:val="center"/>
          </w:tcPr>
          <w:p w:rsidR="00557911" w:rsidRDefault="00623804">
            <w:pPr>
              <w:jc w:val="center"/>
              <w:rPr>
                <w:noProof/>
                <w:sz w:val="20"/>
              </w:rPr>
            </w:pPr>
            <w:r>
              <w:rPr>
                <w:b/>
                <w:noProof/>
                <w:sz w:val="20"/>
              </w:rPr>
              <w:t>2022</w:t>
            </w:r>
          </w:p>
        </w:tc>
        <w:tc>
          <w:tcPr>
            <w:tcW w:w="3118" w:type="dxa"/>
            <w:vAlign w:val="center"/>
          </w:tcPr>
          <w:p w:rsidR="00557911" w:rsidRDefault="00623804">
            <w:pPr>
              <w:jc w:val="center"/>
              <w:rPr>
                <w:b/>
                <w:noProof/>
                <w:sz w:val="20"/>
              </w:rPr>
            </w:pPr>
            <w:r>
              <w:rPr>
                <w:b/>
                <w:noProof/>
                <w:sz w:val="20"/>
              </w:rPr>
              <w:t>CELKEM</w:t>
            </w:r>
          </w:p>
        </w:tc>
      </w:tr>
      <w:tr w:rsidR="00557911">
        <w:tc>
          <w:tcPr>
            <w:tcW w:w="3600" w:type="dxa"/>
            <w:vMerge w:val="restart"/>
            <w:shd w:val="clear" w:color="auto" w:fill="C0C0C0"/>
            <w:vAlign w:val="center"/>
          </w:tcPr>
          <w:p w:rsidR="00557911" w:rsidRDefault="00623804">
            <w:pPr>
              <w:jc w:val="center"/>
              <w:rPr>
                <w:b/>
                <w:noProof/>
              </w:rPr>
            </w:pPr>
            <w:r>
              <w:rPr>
                <w:b/>
                <w:noProof/>
              </w:rPr>
              <w:t>CELKEM prostředky</w:t>
            </w:r>
            <w:r>
              <w:rPr>
                <w:noProof/>
                <w:sz w:val="22"/>
              </w:rPr>
              <w:br/>
            </w:r>
            <w:r>
              <w:rPr>
                <w:b/>
                <w:noProof/>
                <w:sz w:val="22"/>
              </w:rPr>
              <w:t>z OKRUHU 1 až</w:t>
            </w:r>
            <w:r>
              <w:rPr>
                <w:b/>
                <w:noProof/>
                <w:sz w:val="22"/>
              </w:rPr>
              <w:t xml:space="preserve"> 5</w:t>
            </w:r>
            <w:r>
              <w:rPr>
                <w:noProof/>
                <w:sz w:val="22"/>
              </w:rPr>
              <w:br/>
              <w:t>víceletého finančního rámce</w:t>
            </w:r>
            <w:r>
              <w:rPr>
                <w:b/>
                <w:noProof/>
                <w:sz w:val="22"/>
              </w:rPr>
              <w:t xml:space="preserve"> </w:t>
            </w:r>
          </w:p>
        </w:tc>
        <w:tc>
          <w:tcPr>
            <w:tcW w:w="2094" w:type="dxa"/>
            <w:gridSpan w:val="2"/>
            <w:vAlign w:val="center"/>
          </w:tcPr>
          <w:p w:rsidR="00557911" w:rsidRDefault="00623804">
            <w:pPr>
              <w:rPr>
                <w:noProof/>
                <w:sz w:val="14"/>
              </w:rPr>
            </w:pPr>
            <w:r>
              <w:rPr>
                <w:noProof/>
                <w:sz w:val="18"/>
              </w:rPr>
              <w:t>Závazky</w:t>
            </w:r>
          </w:p>
        </w:tc>
        <w:tc>
          <w:tcPr>
            <w:tcW w:w="1134" w:type="dxa"/>
            <w:vAlign w:val="center"/>
          </w:tcPr>
          <w:p w:rsidR="00557911" w:rsidRDefault="00623804">
            <w:pPr>
              <w:spacing w:before="60" w:after="60"/>
              <w:jc w:val="center"/>
              <w:rPr>
                <w:noProof/>
                <w:sz w:val="20"/>
              </w:rPr>
            </w:pPr>
            <w:r>
              <w:rPr>
                <w:noProof/>
                <w:sz w:val="20"/>
              </w:rPr>
              <w:t>16,868</w:t>
            </w:r>
          </w:p>
        </w:tc>
        <w:tc>
          <w:tcPr>
            <w:tcW w:w="1110" w:type="dxa"/>
            <w:vAlign w:val="center"/>
          </w:tcPr>
          <w:p w:rsidR="00557911" w:rsidRDefault="00623804">
            <w:pPr>
              <w:spacing w:before="60" w:after="60"/>
              <w:jc w:val="center"/>
              <w:rPr>
                <w:noProof/>
                <w:sz w:val="20"/>
              </w:rPr>
            </w:pPr>
            <w:r>
              <w:rPr>
                <w:noProof/>
                <w:sz w:val="20"/>
              </w:rPr>
              <w:t>21,727</w:t>
            </w:r>
          </w:p>
        </w:tc>
        <w:tc>
          <w:tcPr>
            <w:tcW w:w="1276" w:type="dxa"/>
            <w:vAlign w:val="center"/>
          </w:tcPr>
          <w:p w:rsidR="00557911" w:rsidRDefault="00623804">
            <w:pPr>
              <w:spacing w:before="60" w:after="60"/>
              <w:jc w:val="center"/>
              <w:rPr>
                <w:noProof/>
                <w:sz w:val="20"/>
              </w:rPr>
            </w:pPr>
            <w:r>
              <w:rPr>
                <w:noProof/>
                <w:sz w:val="20"/>
              </w:rPr>
              <w:t>23,332</w:t>
            </w:r>
          </w:p>
        </w:tc>
        <w:tc>
          <w:tcPr>
            <w:tcW w:w="1418" w:type="dxa"/>
            <w:vAlign w:val="center"/>
          </w:tcPr>
          <w:p w:rsidR="00557911" w:rsidRDefault="00623804">
            <w:pPr>
              <w:spacing w:before="60" w:after="60"/>
              <w:jc w:val="center"/>
              <w:rPr>
                <w:noProof/>
                <w:sz w:val="20"/>
              </w:rPr>
            </w:pPr>
            <w:r>
              <w:rPr>
                <w:noProof/>
                <w:sz w:val="20"/>
              </w:rPr>
              <w:t>24,11</w:t>
            </w:r>
          </w:p>
        </w:tc>
        <w:tc>
          <w:tcPr>
            <w:tcW w:w="3118" w:type="dxa"/>
            <w:vAlign w:val="center"/>
          </w:tcPr>
          <w:p w:rsidR="00557911" w:rsidRDefault="00623804">
            <w:pPr>
              <w:spacing w:before="60" w:after="60"/>
              <w:jc w:val="center"/>
              <w:rPr>
                <w:b/>
                <w:noProof/>
                <w:sz w:val="20"/>
              </w:rPr>
            </w:pPr>
            <w:r>
              <w:rPr>
                <w:b/>
                <w:noProof/>
                <w:sz w:val="20"/>
              </w:rPr>
              <w:t>86,038</w:t>
            </w:r>
          </w:p>
        </w:tc>
      </w:tr>
      <w:tr w:rsidR="00557911">
        <w:tc>
          <w:tcPr>
            <w:tcW w:w="3600" w:type="dxa"/>
            <w:vMerge/>
            <w:vAlign w:val="center"/>
          </w:tcPr>
          <w:p w:rsidR="00557911" w:rsidRDefault="00557911">
            <w:pPr>
              <w:rPr>
                <w:b/>
                <w:noProof/>
              </w:rPr>
            </w:pPr>
          </w:p>
        </w:tc>
        <w:tc>
          <w:tcPr>
            <w:tcW w:w="2094" w:type="dxa"/>
            <w:gridSpan w:val="2"/>
            <w:vAlign w:val="center"/>
          </w:tcPr>
          <w:p w:rsidR="00557911" w:rsidRDefault="00623804">
            <w:pPr>
              <w:rPr>
                <w:noProof/>
                <w:sz w:val="14"/>
              </w:rPr>
            </w:pPr>
            <w:r>
              <w:rPr>
                <w:noProof/>
                <w:sz w:val="18"/>
              </w:rPr>
              <w:t>Platby</w:t>
            </w:r>
          </w:p>
        </w:tc>
        <w:tc>
          <w:tcPr>
            <w:tcW w:w="1134" w:type="dxa"/>
            <w:vAlign w:val="center"/>
          </w:tcPr>
          <w:p w:rsidR="00557911" w:rsidRDefault="00623804">
            <w:pPr>
              <w:spacing w:before="60" w:after="60"/>
              <w:jc w:val="center"/>
              <w:rPr>
                <w:noProof/>
                <w:sz w:val="20"/>
              </w:rPr>
            </w:pPr>
            <w:r>
              <w:rPr>
                <w:noProof/>
                <w:sz w:val="20"/>
              </w:rPr>
              <w:t>16,868</w:t>
            </w:r>
          </w:p>
        </w:tc>
        <w:tc>
          <w:tcPr>
            <w:tcW w:w="1110" w:type="dxa"/>
            <w:vAlign w:val="center"/>
          </w:tcPr>
          <w:p w:rsidR="00557911" w:rsidRDefault="00623804">
            <w:pPr>
              <w:spacing w:before="60" w:after="60"/>
              <w:jc w:val="center"/>
              <w:rPr>
                <w:noProof/>
                <w:sz w:val="20"/>
              </w:rPr>
            </w:pPr>
            <w:r>
              <w:rPr>
                <w:noProof/>
                <w:sz w:val="20"/>
              </w:rPr>
              <w:t>21,727</w:t>
            </w:r>
          </w:p>
        </w:tc>
        <w:tc>
          <w:tcPr>
            <w:tcW w:w="1276" w:type="dxa"/>
            <w:vAlign w:val="center"/>
          </w:tcPr>
          <w:p w:rsidR="00557911" w:rsidRDefault="00623804">
            <w:pPr>
              <w:spacing w:before="60" w:after="60"/>
              <w:jc w:val="center"/>
              <w:rPr>
                <w:noProof/>
                <w:sz w:val="20"/>
              </w:rPr>
            </w:pPr>
            <w:r>
              <w:rPr>
                <w:noProof/>
                <w:sz w:val="20"/>
              </w:rPr>
              <w:t>23,332</w:t>
            </w:r>
          </w:p>
        </w:tc>
        <w:tc>
          <w:tcPr>
            <w:tcW w:w="1418" w:type="dxa"/>
            <w:vAlign w:val="center"/>
          </w:tcPr>
          <w:p w:rsidR="00557911" w:rsidRDefault="00623804">
            <w:pPr>
              <w:spacing w:before="60" w:after="60"/>
              <w:jc w:val="center"/>
              <w:rPr>
                <w:noProof/>
                <w:sz w:val="20"/>
              </w:rPr>
            </w:pPr>
            <w:r>
              <w:rPr>
                <w:noProof/>
                <w:sz w:val="20"/>
              </w:rPr>
              <w:t>24,11</w:t>
            </w:r>
          </w:p>
        </w:tc>
        <w:tc>
          <w:tcPr>
            <w:tcW w:w="3118" w:type="dxa"/>
            <w:vAlign w:val="center"/>
          </w:tcPr>
          <w:p w:rsidR="00557911" w:rsidRDefault="00623804">
            <w:pPr>
              <w:spacing w:before="60" w:after="60"/>
              <w:jc w:val="center"/>
              <w:rPr>
                <w:b/>
                <w:noProof/>
                <w:sz w:val="20"/>
              </w:rPr>
            </w:pPr>
            <w:r>
              <w:rPr>
                <w:b/>
                <w:noProof/>
                <w:sz w:val="20"/>
              </w:rPr>
              <w:t>86,038</w:t>
            </w:r>
          </w:p>
        </w:tc>
      </w:tr>
    </w:tbl>
    <w:p w:rsidR="00557911" w:rsidRDefault="00557911">
      <w:pPr>
        <w:rPr>
          <w:noProof/>
        </w:rPr>
        <w:sectPr w:rsidR="00557911" w:rsidSect="00623804">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557911" w:rsidRDefault="00623804">
      <w:pPr>
        <w:pStyle w:val="ManualHeading3"/>
        <w:rPr>
          <w:bCs/>
          <w:noProof/>
          <w:szCs w:val="24"/>
        </w:rPr>
      </w:pPr>
      <w:r>
        <w:t>3.2.2.</w:t>
      </w:r>
      <w:r>
        <w:tab/>
      </w:r>
      <w:r>
        <w:rPr>
          <w:noProof/>
        </w:rPr>
        <w:t xml:space="preserve">Odhadovaný dopad na prostředky agentury </w:t>
      </w:r>
    </w:p>
    <w:p w:rsidR="00557911" w:rsidRDefault="00623804">
      <w:pPr>
        <w:pStyle w:val="Tiret1"/>
        <w:rPr>
          <w:noProof/>
        </w:rPr>
      </w:pPr>
      <w:r>
        <w:rPr>
          <w:noProof/>
        </w:rPr>
        <w:sym w:font="Wingdings" w:char="F0A8"/>
      </w:r>
      <w:r>
        <w:rPr>
          <w:noProof/>
        </w:rPr>
        <w:tab/>
        <w:t xml:space="preserve">Návrh/podnět nevyžaduje využití operačních prostředků </w:t>
      </w:r>
    </w:p>
    <w:p w:rsidR="00557911" w:rsidRDefault="00623804">
      <w:pPr>
        <w:pStyle w:val="Tiret1"/>
        <w:rPr>
          <w:noProof/>
        </w:rPr>
      </w:pPr>
      <w:r>
        <w:rPr>
          <w:noProof/>
        </w:rPr>
        <w:sym w:font="Wingdings" w:char="F078"/>
      </w:r>
      <w:r>
        <w:rPr>
          <w:noProof/>
        </w:rPr>
        <w:tab/>
        <w:t>Návrh/podnět vyžaduje využití operačních prostředků, jak je vysvětleno dále:</w:t>
      </w:r>
    </w:p>
    <w:p w:rsidR="00557911" w:rsidRDefault="00623804">
      <w:pPr>
        <w:jc w:val="right"/>
        <w:rPr>
          <w:noProof/>
          <w:sz w:val="20"/>
        </w:rPr>
      </w:pPr>
      <w:r>
        <w:rPr>
          <w:noProof/>
          <w:sz w:val="20"/>
        </w:rPr>
        <w:t>Prostředky na závazky v milionech EUR (zaokrouhleno na tři desetinná místa)</w:t>
      </w:r>
    </w:p>
    <w:p w:rsidR="00557911" w:rsidRDefault="00557911">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557911">
        <w:trPr>
          <w:cantSplit/>
          <w:jc w:val="center"/>
        </w:trPr>
        <w:tc>
          <w:tcPr>
            <w:tcW w:w="2806" w:type="pct"/>
            <w:vAlign w:val="center"/>
          </w:tcPr>
          <w:p w:rsidR="00557911" w:rsidRDefault="00623804">
            <w:pPr>
              <w:keepNext/>
              <w:keepLines/>
              <w:widowControl w:val="0"/>
              <w:ind w:right="-29"/>
              <w:jc w:val="center"/>
              <w:rPr>
                <w:noProof/>
                <w:sz w:val="20"/>
                <w:szCs w:val="20"/>
              </w:rPr>
            </w:pPr>
            <w:r>
              <w:rPr>
                <w:b/>
                <w:noProof/>
                <w:sz w:val="20"/>
              </w:rPr>
              <w:t>Uv</w:t>
            </w:r>
            <w:r>
              <w:rPr>
                <w:b/>
                <w:noProof/>
                <w:sz w:val="20"/>
              </w:rPr>
              <w:t>eďte cíle a výstupy</w:t>
            </w:r>
            <w:r>
              <w:rPr>
                <w:rStyle w:val="FootnoteReference"/>
                <w:noProof/>
              </w:rPr>
              <w:footnoteReference w:id="56"/>
            </w:r>
          </w:p>
          <w:p w:rsidR="00557911" w:rsidRDefault="00623804">
            <w:pPr>
              <w:keepNext/>
              <w:keepLines/>
              <w:widowControl w:val="0"/>
              <w:ind w:right="-29"/>
              <w:jc w:val="center"/>
              <w:rPr>
                <w:noProof/>
                <w:sz w:val="20"/>
                <w:szCs w:val="20"/>
              </w:rPr>
            </w:pPr>
            <w:r>
              <w:rPr>
                <w:noProof/>
                <w:sz w:val="20"/>
                <w:szCs w:val="20"/>
              </w:rPr>
              <w:sym w:font="Wingdings" w:char="F0F2"/>
            </w:r>
          </w:p>
        </w:tc>
        <w:tc>
          <w:tcPr>
            <w:tcW w:w="441" w:type="pct"/>
            <w:vAlign w:val="center"/>
          </w:tcPr>
          <w:p w:rsidR="00557911" w:rsidRDefault="00623804">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557911" w:rsidRDefault="00623804">
            <w:pPr>
              <w:keepNext/>
              <w:keepLines/>
              <w:widowControl w:val="0"/>
              <w:ind w:right="-29"/>
              <w:jc w:val="center"/>
              <w:rPr>
                <w:noProof/>
                <w:sz w:val="20"/>
                <w:szCs w:val="20"/>
              </w:rPr>
            </w:pPr>
            <w:r>
              <w:rPr>
                <w:b/>
                <w:noProof/>
                <w:sz w:val="20"/>
              </w:rPr>
              <w:t>2020</w:t>
            </w:r>
          </w:p>
        </w:tc>
        <w:tc>
          <w:tcPr>
            <w:tcW w:w="438" w:type="pct"/>
            <w:vAlign w:val="center"/>
          </w:tcPr>
          <w:p w:rsidR="00557911" w:rsidRDefault="00623804">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557911" w:rsidRDefault="00623804">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557911" w:rsidRDefault="00557911">
            <w:pPr>
              <w:keepNext/>
              <w:keepLines/>
              <w:widowControl w:val="0"/>
              <w:ind w:right="-29"/>
              <w:jc w:val="center"/>
              <w:rPr>
                <w:b/>
                <w:noProof/>
                <w:sz w:val="20"/>
                <w:szCs w:val="20"/>
              </w:rPr>
            </w:pPr>
          </w:p>
          <w:p w:rsidR="00557911" w:rsidRDefault="00623804">
            <w:pPr>
              <w:keepNext/>
              <w:keepLines/>
              <w:widowControl w:val="0"/>
              <w:ind w:right="-29"/>
              <w:jc w:val="center"/>
              <w:rPr>
                <w:b/>
                <w:noProof/>
                <w:sz w:val="20"/>
                <w:szCs w:val="20"/>
              </w:rPr>
            </w:pPr>
            <w:r>
              <w:rPr>
                <w:b/>
                <w:noProof/>
                <w:sz w:val="20"/>
              </w:rPr>
              <w:t>CELKEM</w:t>
            </w:r>
          </w:p>
          <w:p w:rsidR="00557911" w:rsidRDefault="00557911">
            <w:pPr>
              <w:keepNext/>
              <w:keepLines/>
              <w:widowControl w:val="0"/>
              <w:ind w:right="-29"/>
              <w:jc w:val="center"/>
              <w:rPr>
                <w:noProof/>
                <w:sz w:val="20"/>
                <w:szCs w:val="20"/>
              </w:rPr>
            </w:pPr>
          </w:p>
        </w:tc>
      </w:tr>
      <w:tr w:rsidR="00557911">
        <w:trPr>
          <w:trHeight w:val="425"/>
          <w:jc w:val="center"/>
        </w:trPr>
        <w:tc>
          <w:tcPr>
            <w:tcW w:w="2806" w:type="pct"/>
            <w:vAlign w:val="bottom"/>
          </w:tcPr>
          <w:p w:rsidR="00557911" w:rsidRDefault="00623804">
            <w:pPr>
              <w:keepNext/>
              <w:keepLines/>
              <w:widowControl w:val="0"/>
              <w:rPr>
                <w:b/>
                <w:bCs/>
                <w:noProof/>
                <w:sz w:val="20"/>
                <w:szCs w:val="20"/>
              </w:rPr>
            </w:pPr>
            <w:r>
              <w:rPr>
                <w:noProof/>
                <w:sz w:val="20"/>
              </w:rPr>
              <w:t>Zvýšení schopností a připravenosti členských států a podniků</w:t>
            </w:r>
          </w:p>
        </w:tc>
        <w:tc>
          <w:tcPr>
            <w:tcW w:w="441" w:type="pct"/>
            <w:vAlign w:val="center"/>
          </w:tcPr>
          <w:p w:rsidR="00557911" w:rsidRDefault="00623804">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557911" w:rsidRDefault="00623804">
            <w:pPr>
              <w:keepNext/>
              <w:keepLines/>
              <w:widowControl w:val="0"/>
              <w:jc w:val="center"/>
              <w:rPr>
                <w:noProof/>
                <w:sz w:val="20"/>
                <w:szCs w:val="20"/>
              </w:rPr>
            </w:pPr>
            <w:r>
              <w:rPr>
                <w:noProof/>
                <w:sz w:val="20"/>
              </w:rPr>
              <w:t xml:space="preserve">              1,900 </w:t>
            </w:r>
          </w:p>
        </w:tc>
        <w:tc>
          <w:tcPr>
            <w:tcW w:w="438" w:type="pct"/>
            <w:vAlign w:val="center"/>
          </w:tcPr>
          <w:p w:rsidR="00557911" w:rsidRDefault="00623804">
            <w:pPr>
              <w:jc w:val="center"/>
              <w:rPr>
                <w:noProof/>
                <w:sz w:val="20"/>
                <w:szCs w:val="20"/>
              </w:rPr>
            </w:pPr>
            <w:r>
              <w:rPr>
                <w:noProof/>
                <w:sz w:val="20"/>
              </w:rPr>
              <w:t xml:space="preserve">              1,931 </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557911" w:rsidRDefault="00623804">
            <w:pPr>
              <w:jc w:val="center"/>
              <w:rPr>
                <w:b/>
                <w:noProof/>
                <w:sz w:val="20"/>
                <w:szCs w:val="20"/>
                <w:highlight w:val="yellow"/>
              </w:rPr>
            </w:pPr>
            <w:r>
              <w:rPr>
                <w:noProof/>
                <w:sz w:val="20"/>
              </w:rPr>
              <w:t xml:space="preserve">                 7,208 </w:t>
            </w:r>
          </w:p>
        </w:tc>
      </w:tr>
      <w:tr w:rsidR="00557911">
        <w:trPr>
          <w:jc w:val="center"/>
        </w:trPr>
        <w:tc>
          <w:tcPr>
            <w:tcW w:w="2806" w:type="pct"/>
            <w:vAlign w:val="bottom"/>
          </w:tcPr>
          <w:p w:rsidR="00557911" w:rsidRDefault="00623804">
            <w:pPr>
              <w:keepNext/>
              <w:keepLines/>
              <w:widowControl w:val="0"/>
              <w:rPr>
                <w:noProof/>
                <w:sz w:val="20"/>
                <w:szCs w:val="20"/>
              </w:rPr>
            </w:pPr>
            <w:r>
              <w:rPr>
                <w:noProof/>
                <w:sz w:val="20"/>
              </w:rPr>
              <w:t>Zlepšení spolupráce a koordinace</w:t>
            </w:r>
            <w:r>
              <w:rPr>
                <w:noProof/>
                <w:sz w:val="20"/>
              </w:rPr>
              <w:t xml:space="preserve"> napříč členskými státy a orgány, institucemi a jinými subjekty EU</w:t>
            </w:r>
          </w:p>
        </w:tc>
        <w:tc>
          <w:tcPr>
            <w:tcW w:w="441" w:type="pct"/>
            <w:vAlign w:val="center"/>
          </w:tcPr>
          <w:p w:rsidR="00557911" w:rsidRDefault="00623804">
            <w:pPr>
              <w:jc w:val="center"/>
              <w:rPr>
                <w:noProof/>
                <w:sz w:val="20"/>
                <w:szCs w:val="20"/>
              </w:rPr>
            </w:pPr>
            <w:r>
              <w:rPr>
                <w:noProof/>
                <w:sz w:val="20"/>
              </w:rPr>
              <w:t xml:space="preserve">                  0,939 </w:t>
            </w:r>
          </w:p>
        </w:tc>
        <w:tc>
          <w:tcPr>
            <w:tcW w:w="439" w:type="pct"/>
            <w:tcBorders>
              <w:right w:val="single" w:sz="4" w:space="0" w:color="auto"/>
            </w:tcBorders>
            <w:vAlign w:val="center"/>
          </w:tcPr>
          <w:p w:rsidR="00557911" w:rsidRDefault="00623804">
            <w:pPr>
              <w:jc w:val="center"/>
              <w:rPr>
                <w:b/>
                <w:noProof/>
                <w:sz w:val="20"/>
                <w:szCs w:val="20"/>
              </w:rPr>
            </w:pPr>
            <w:r>
              <w:rPr>
                <w:noProof/>
                <w:sz w:val="20"/>
              </w:rPr>
              <w:t xml:space="preserve">              1,266 </w:t>
            </w:r>
          </w:p>
        </w:tc>
        <w:tc>
          <w:tcPr>
            <w:tcW w:w="438" w:type="pct"/>
            <w:vAlign w:val="center"/>
          </w:tcPr>
          <w:p w:rsidR="00557911" w:rsidRDefault="00623804">
            <w:pPr>
              <w:jc w:val="center"/>
              <w:rPr>
                <w:noProof/>
                <w:sz w:val="20"/>
                <w:szCs w:val="20"/>
              </w:rPr>
            </w:pPr>
            <w:r>
              <w:rPr>
                <w:noProof/>
                <w:sz w:val="20"/>
              </w:rPr>
              <w:t xml:space="preserve">              1,288</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557911" w:rsidRDefault="00623804">
            <w:pPr>
              <w:jc w:val="center"/>
              <w:rPr>
                <w:b/>
                <w:noProof/>
                <w:sz w:val="20"/>
                <w:szCs w:val="20"/>
                <w:highlight w:val="yellow"/>
              </w:rPr>
            </w:pPr>
            <w:r>
              <w:rPr>
                <w:noProof/>
                <w:sz w:val="20"/>
              </w:rPr>
              <w:t xml:space="preserve">                 4,806 </w:t>
            </w:r>
          </w:p>
        </w:tc>
      </w:tr>
      <w:tr w:rsidR="00557911">
        <w:trPr>
          <w:jc w:val="center"/>
        </w:trPr>
        <w:tc>
          <w:tcPr>
            <w:tcW w:w="2806" w:type="pct"/>
            <w:vAlign w:val="bottom"/>
          </w:tcPr>
          <w:p w:rsidR="00557911" w:rsidRDefault="00623804">
            <w:pPr>
              <w:keepNext/>
              <w:keepLines/>
              <w:widowControl w:val="0"/>
              <w:rPr>
                <w:noProof/>
                <w:sz w:val="20"/>
                <w:szCs w:val="20"/>
              </w:rPr>
            </w:pPr>
            <w:r>
              <w:rPr>
                <w:noProof/>
                <w:sz w:val="20"/>
              </w:rPr>
              <w:t xml:space="preserve">Zvýšení schopnost na úrovni EU doplňovat opatření členských států, </w:t>
            </w:r>
            <w:r>
              <w:rPr>
                <w:noProof/>
                <w:sz w:val="20"/>
              </w:rPr>
              <w:br/>
              <w:t xml:space="preserve">zejména v </w:t>
            </w:r>
            <w:r>
              <w:rPr>
                <w:noProof/>
                <w:sz w:val="20"/>
              </w:rPr>
              <w:t>případě přeshraničních kybernetických krizí</w:t>
            </w:r>
          </w:p>
        </w:tc>
        <w:tc>
          <w:tcPr>
            <w:tcW w:w="441" w:type="pct"/>
            <w:vAlign w:val="center"/>
          </w:tcPr>
          <w:p w:rsidR="00557911" w:rsidRDefault="00623804">
            <w:pPr>
              <w:jc w:val="center"/>
              <w:rPr>
                <w:noProof/>
                <w:sz w:val="20"/>
                <w:szCs w:val="20"/>
              </w:rPr>
            </w:pPr>
            <w:r>
              <w:rPr>
                <w:noProof/>
                <w:sz w:val="20"/>
              </w:rPr>
              <w:t xml:space="preserve">                  0,704 </w:t>
            </w:r>
          </w:p>
        </w:tc>
        <w:tc>
          <w:tcPr>
            <w:tcW w:w="439" w:type="pct"/>
            <w:tcBorders>
              <w:right w:val="single" w:sz="4" w:space="0" w:color="auto"/>
            </w:tcBorders>
            <w:vAlign w:val="center"/>
          </w:tcPr>
          <w:p w:rsidR="00557911" w:rsidRDefault="00623804">
            <w:pPr>
              <w:jc w:val="center"/>
              <w:rPr>
                <w:b/>
                <w:noProof/>
                <w:sz w:val="20"/>
                <w:szCs w:val="20"/>
              </w:rPr>
            </w:pPr>
            <w:r>
              <w:rPr>
                <w:noProof/>
                <w:sz w:val="20"/>
              </w:rPr>
              <w:t xml:space="preserve">                 0,950 </w:t>
            </w:r>
          </w:p>
        </w:tc>
        <w:tc>
          <w:tcPr>
            <w:tcW w:w="438" w:type="pct"/>
            <w:vAlign w:val="center"/>
          </w:tcPr>
          <w:p w:rsidR="00557911" w:rsidRDefault="00623804">
            <w:pPr>
              <w:jc w:val="center"/>
              <w:rPr>
                <w:noProof/>
                <w:sz w:val="20"/>
                <w:szCs w:val="20"/>
              </w:rPr>
            </w:pPr>
            <w:r>
              <w:rPr>
                <w:noProof/>
                <w:sz w:val="20"/>
              </w:rPr>
              <w:t xml:space="preserve">                 0,965</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557911" w:rsidRDefault="00623804">
            <w:pPr>
              <w:jc w:val="center"/>
              <w:rPr>
                <w:b/>
                <w:noProof/>
                <w:sz w:val="20"/>
                <w:szCs w:val="20"/>
                <w:highlight w:val="yellow"/>
              </w:rPr>
            </w:pPr>
            <w:r>
              <w:rPr>
                <w:noProof/>
                <w:sz w:val="20"/>
              </w:rPr>
              <w:t xml:space="preserve">                 3,604 </w:t>
            </w:r>
          </w:p>
        </w:tc>
      </w:tr>
      <w:tr w:rsidR="00557911">
        <w:trPr>
          <w:jc w:val="center"/>
        </w:trPr>
        <w:tc>
          <w:tcPr>
            <w:tcW w:w="2806" w:type="pct"/>
            <w:vAlign w:val="bottom"/>
          </w:tcPr>
          <w:p w:rsidR="00557911" w:rsidRDefault="00623804">
            <w:pPr>
              <w:keepNext/>
              <w:keepLines/>
              <w:widowControl w:val="0"/>
              <w:rPr>
                <w:noProof/>
                <w:sz w:val="20"/>
                <w:szCs w:val="20"/>
              </w:rPr>
            </w:pPr>
            <w:r>
              <w:rPr>
                <w:noProof/>
                <w:sz w:val="20"/>
              </w:rPr>
              <w:t xml:space="preserve">Zvyšování informovanosti občanů a podniků o otázkách týkajících se kybernetické bezpečnosti </w:t>
            </w:r>
          </w:p>
        </w:tc>
        <w:tc>
          <w:tcPr>
            <w:tcW w:w="441" w:type="pct"/>
            <w:vAlign w:val="center"/>
          </w:tcPr>
          <w:p w:rsidR="00557911" w:rsidRDefault="00623804">
            <w:pPr>
              <w:jc w:val="center"/>
              <w:rPr>
                <w:noProof/>
                <w:sz w:val="20"/>
                <w:szCs w:val="20"/>
              </w:rPr>
            </w:pPr>
            <w:r>
              <w:rPr>
                <w:noProof/>
                <w:sz w:val="20"/>
              </w:rPr>
              <w:t xml:space="preserve">                  0,704 </w:t>
            </w:r>
          </w:p>
        </w:tc>
        <w:tc>
          <w:tcPr>
            <w:tcW w:w="439" w:type="pct"/>
            <w:tcBorders>
              <w:right w:val="single" w:sz="4" w:space="0" w:color="auto"/>
            </w:tcBorders>
            <w:vAlign w:val="center"/>
          </w:tcPr>
          <w:p w:rsidR="00557911" w:rsidRDefault="00623804">
            <w:pPr>
              <w:jc w:val="center"/>
              <w:rPr>
                <w:b/>
                <w:noProof/>
                <w:sz w:val="20"/>
                <w:szCs w:val="20"/>
              </w:rPr>
            </w:pPr>
            <w:r>
              <w:rPr>
                <w:noProof/>
                <w:sz w:val="20"/>
              </w:rPr>
              <w:t xml:space="preserve">                 0,950 </w:t>
            </w:r>
          </w:p>
        </w:tc>
        <w:tc>
          <w:tcPr>
            <w:tcW w:w="438" w:type="pct"/>
            <w:vAlign w:val="center"/>
          </w:tcPr>
          <w:p w:rsidR="00557911" w:rsidRDefault="00623804">
            <w:pPr>
              <w:jc w:val="center"/>
              <w:rPr>
                <w:noProof/>
                <w:sz w:val="20"/>
                <w:szCs w:val="20"/>
              </w:rPr>
            </w:pPr>
            <w:r>
              <w:rPr>
                <w:noProof/>
                <w:sz w:val="20"/>
              </w:rPr>
              <w:t xml:space="preserve">                 0,965 </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557911" w:rsidRDefault="00623804">
            <w:pPr>
              <w:jc w:val="center"/>
              <w:rPr>
                <w:b/>
                <w:noProof/>
                <w:sz w:val="20"/>
                <w:szCs w:val="20"/>
                <w:highlight w:val="yellow"/>
              </w:rPr>
            </w:pPr>
            <w:r>
              <w:rPr>
                <w:noProof/>
                <w:sz w:val="20"/>
              </w:rPr>
              <w:t xml:space="preserve">                 3,604 </w:t>
            </w:r>
          </w:p>
        </w:tc>
      </w:tr>
      <w:tr w:rsidR="00557911">
        <w:trPr>
          <w:jc w:val="center"/>
        </w:trPr>
        <w:tc>
          <w:tcPr>
            <w:tcW w:w="2806" w:type="pct"/>
            <w:vAlign w:val="bottom"/>
          </w:tcPr>
          <w:p w:rsidR="00557911" w:rsidRDefault="00623804">
            <w:pPr>
              <w:keepNext/>
              <w:keepLines/>
              <w:widowControl w:val="0"/>
              <w:rPr>
                <w:noProof/>
                <w:sz w:val="20"/>
                <w:szCs w:val="20"/>
              </w:rPr>
            </w:pPr>
            <w:r>
              <w:rPr>
                <w:noProof/>
                <w:sz w:val="20"/>
              </w:rPr>
              <w:t xml:space="preserve">Posílení důvěry v jednotný digitální trh </w:t>
            </w:r>
            <w:r>
              <w:rPr>
                <w:noProof/>
                <w:sz w:val="20"/>
              </w:rPr>
              <w:t>a digitální inovace zvýšením celkové transparentnosti záruky kybernetické bezpečnosti produktů a služeb IKT</w:t>
            </w:r>
          </w:p>
        </w:tc>
        <w:tc>
          <w:tcPr>
            <w:tcW w:w="441" w:type="pct"/>
            <w:vAlign w:val="center"/>
          </w:tcPr>
          <w:p w:rsidR="00557911" w:rsidRDefault="00623804">
            <w:pPr>
              <w:jc w:val="center"/>
              <w:rPr>
                <w:noProof/>
                <w:sz w:val="20"/>
                <w:szCs w:val="20"/>
              </w:rPr>
            </w:pPr>
            <w:r>
              <w:rPr>
                <w:noProof/>
                <w:sz w:val="20"/>
              </w:rPr>
              <w:t xml:space="preserve">                  0,939 </w:t>
            </w:r>
          </w:p>
        </w:tc>
        <w:tc>
          <w:tcPr>
            <w:tcW w:w="439" w:type="pct"/>
            <w:tcBorders>
              <w:right w:val="single" w:sz="4" w:space="0" w:color="auto"/>
            </w:tcBorders>
            <w:vAlign w:val="center"/>
          </w:tcPr>
          <w:p w:rsidR="00557911" w:rsidRDefault="00623804">
            <w:pPr>
              <w:jc w:val="center"/>
              <w:rPr>
                <w:b/>
                <w:noProof/>
                <w:sz w:val="20"/>
                <w:szCs w:val="20"/>
              </w:rPr>
            </w:pPr>
            <w:r>
              <w:rPr>
                <w:noProof/>
                <w:sz w:val="20"/>
              </w:rPr>
              <w:t xml:space="preserve">              1,266 </w:t>
            </w:r>
          </w:p>
        </w:tc>
        <w:tc>
          <w:tcPr>
            <w:tcW w:w="438" w:type="pct"/>
            <w:vAlign w:val="center"/>
          </w:tcPr>
          <w:p w:rsidR="00557911" w:rsidRDefault="00623804">
            <w:pPr>
              <w:jc w:val="center"/>
              <w:rPr>
                <w:noProof/>
                <w:sz w:val="20"/>
                <w:szCs w:val="20"/>
              </w:rPr>
            </w:pPr>
            <w:r>
              <w:rPr>
                <w:noProof/>
                <w:sz w:val="20"/>
              </w:rPr>
              <w:t xml:space="preserve">              1,288 </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557911" w:rsidRDefault="00623804">
            <w:pPr>
              <w:jc w:val="center"/>
              <w:rPr>
                <w:b/>
                <w:noProof/>
                <w:sz w:val="20"/>
                <w:szCs w:val="20"/>
                <w:highlight w:val="yellow"/>
              </w:rPr>
            </w:pPr>
            <w:r>
              <w:rPr>
                <w:noProof/>
                <w:sz w:val="20"/>
              </w:rPr>
              <w:t xml:space="preserve">                 4,806 </w:t>
            </w:r>
          </w:p>
        </w:tc>
      </w:tr>
      <w:tr w:rsidR="00557911">
        <w:trPr>
          <w:jc w:val="center"/>
        </w:trPr>
        <w:tc>
          <w:tcPr>
            <w:tcW w:w="2806" w:type="pct"/>
            <w:vAlign w:val="center"/>
          </w:tcPr>
          <w:p w:rsidR="00557911" w:rsidRDefault="00623804">
            <w:pPr>
              <w:keepNext/>
              <w:keepLines/>
              <w:widowControl w:val="0"/>
              <w:ind w:right="-29"/>
              <w:rPr>
                <w:b/>
                <w:noProof/>
                <w:sz w:val="20"/>
                <w:szCs w:val="20"/>
              </w:rPr>
            </w:pPr>
            <w:r>
              <w:rPr>
                <w:b/>
                <w:noProof/>
                <w:sz w:val="20"/>
              </w:rPr>
              <w:t>NÁKLADY CELKEM</w:t>
            </w:r>
          </w:p>
        </w:tc>
        <w:tc>
          <w:tcPr>
            <w:tcW w:w="441" w:type="pct"/>
            <w:vAlign w:val="center"/>
          </w:tcPr>
          <w:p w:rsidR="00557911" w:rsidRDefault="00623804">
            <w:pPr>
              <w:jc w:val="center"/>
              <w:rPr>
                <w:b/>
                <w:noProof/>
                <w:sz w:val="20"/>
                <w:szCs w:val="20"/>
              </w:rPr>
            </w:pPr>
            <w:r>
              <w:rPr>
                <w:noProof/>
                <w:sz w:val="20"/>
              </w:rPr>
              <w:t xml:space="preserve">               4,694 </w:t>
            </w:r>
          </w:p>
        </w:tc>
        <w:tc>
          <w:tcPr>
            <w:tcW w:w="439" w:type="pct"/>
            <w:tcBorders>
              <w:right w:val="single" w:sz="4" w:space="0" w:color="auto"/>
            </w:tcBorders>
            <w:vAlign w:val="center"/>
          </w:tcPr>
          <w:p w:rsidR="00557911" w:rsidRDefault="00623804">
            <w:pPr>
              <w:jc w:val="center"/>
              <w:rPr>
                <w:b/>
                <w:noProof/>
                <w:sz w:val="20"/>
                <w:szCs w:val="20"/>
              </w:rPr>
            </w:pPr>
            <w:r>
              <w:rPr>
                <w:noProof/>
                <w:sz w:val="20"/>
              </w:rPr>
              <w:t xml:space="preserve">              6,332</w:t>
            </w:r>
          </w:p>
        </w:tc>
        <w:tc>
          <w:tcPr>
            <w:tcW w:w="438" w:type="pct"/>
            <w:vAlign w:val="center"/>
          </w:tcPr>
          <w:p w:rsidR="00557911" w:rsidRDefault="00623804">
            <w:pPr>
              <w:jc w:val="center"/>
              <w:rPr>
                <w:noProof/>
                <w:sz w:val="20"/>
                <w:szCs w:val="20"/>
              </w:rPr>
            </w:pPr>
            <w:r>
              <w:rPr>
                <w:noProof/>
                <w:sz w:val="20"/>
              </w:rPr>
              <w:t xml:space="preserve">              6,437</w:t>
            </w:r>
          </w:p>
        </w:tc>
        <w:tc>
          <w:tcPr>
            <w:tcW w:w="438" w:type="pct"/>
            <w:tcBorders>
              <w:right w:val="single" w:sz="4" w:space="0" w:color="auto"/>
            </w:tcBorders>
            <w:vAlign w:val="center"/>
          </w:tcPr>
          <w:p w:rsidR="00557911" w:rsidRDefault="00623804">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557911" w:rsidRDefault="00623804">
            <w:pPr>
              <w:jc w:val="center"/>
              <w:rPr>
                <w:b/>
                <w:noProof/>
                <w:sz w:val="20"/>
                <w:szCs w:val="20"/>
              </w:rPr>
            </w:pPr>
            <w:r>
              <w:rPr>
                <w:noProof/>
                <w:sz w:val="20"/>
              </w:rPr>
              <w:t xml:space="preserve">               24,028</w:t>
            </w:r>
          </w:p>
        </w:tc>
      </w:tr>
    </w:tbl>
    <w:p w:rsidR="00557911" w:rsidRDefault="00557911">
      <w:pPr>
        <w:jc w:val="right"/>
        <w:rPr>
          <w:noProof/>
          <w:sz w:val="20"/>
        </w:rPr>
      </w:pPr>
    </w:p>
    <w:p w:rsidR="00557911" w:rsidRDefault="00557911">
      <w:pPr>
        <w:rPr>
          <w:noProof/>
        </w:rPr>
        <w:sectPr w:rsidR="00557911" w:rsidSect="00623804">
          <w:pgSz w:w="15840" w:h="12240" w:orient="landscape"/>
          <w:pgMar w:top="1418" w:right="902" w:bottom="902" w:left="567" w:header="709" w:footer="709" w:gutter="0"/>
          <w:cols w:space="720"/>
          <w:docGrid w:linePitch="326"/>
        </w:sectPr>
      </w:pPr>
    </w:p>
    <w:p w:rsidR="00557911" w:rsidRDefault="00623804">
      <w:pPr>
        <w:pStyle w:val="ManualHeading3"/>
        <w:rPr>
          <w:bCs/>
          <w:noProof/>
          <w:szCs w:val="24"/>
        </w:rPr>
      </w:pPr>
      <w:r>
        <w:t>3.2.3.</w:t>
      </w:r>
      <w:r>
        <w:tab/>
      </w:r>
      <w:r>
        <w:rPr>
          <w:noProof/>
        </w:rPr>
        <w:t xml:space="preserve">Odhadovaný dopad na lidské zdroje agentury </w:t>
      </w:r>
    </w:p>
    <w:p w:rsidR="00557911" w:rsidRDefault="00623804">
      <w:pPr>
        <w:pStyle w:val="ManualHeading4"/>
        <w:rPr>
          <w:bCs/>
          <w:noProof/>
          <w:szCs w:val="24"/>
        </w:rPr>
      </w:pPr>
      <w:r>
        <w:t>3.2.3.1.</w:t>
      </w:r>
      <w:r>
        <w:tab/>
      </w:r>
      <w:r>
        <w:rPr>
          <w:noProof/>
        </w:rPr>
        <w:t xml:space="preserve">Shrnutí </w:t>
      </w:r>
    </w:p>
    <w:p w:rsidR="00557911" w:rsidRDefault="00623804">
      <w:pPr>
        <w:pStyle w:val="Tiret1"/>
        <w:rPr>
          <w:noProof/>
        </w:rPr>
      </w:pPr>
      <w:r>
        <w:rPr>
          <w:noProof/>
        </w:rPr>
        <w:sym w:font="Wingdings" w:char="F0A8"/>
      </w:r>
      <w:r>
        <w:rPr>
          <w:noProof/>
        </w:rPr>
        <w:tab/>
      </w:r>
      <w:r>
        <w:rPr>
          <w:noProof/>
        </w:rPr>
        <w:t xml:space="preserve">Návrh/podnět nevyžaduje využití prostředků správní povahy. </w:t>
      </w:r>
    </w:p>
    <w:p w:rsidR="00557911" w:rsidRDefault="00623804">
      <w:pPr>
        <w:pStyle w:val="Tiret1"/>
        <w:rPr>
          <w:noProof/>
        </w:rPr>
      </w:pPr>
      <w:r>
        <w:rPr>
          <w:noProof/>
        </w:rPr>
        <w:sym w:font="Wingdings" w:char="F078"/>
      </w:r>
      <w:r>
        <w:rPr>
          <w:noProof/>
        </w:rPr>
        <w:tab/>
        <w:t>Návrh/podnět vyžaduje využití prostředků správní povahy, jak je vysvětleno dále:</w:t>
      </w:r>
    </w:p>
    <w:p w:rsidR="00557911" w:rsidRDefault="00623804">
      <w:pPr>
        <w:rPr>
          <w:noProof/>
          <w:sz w:val="20"/>
        </w:rPr>
      </w:pPr>
      <w:r>
        <w:rPr>
          <w:noProof/>
          <w:sz w:val="20"/>
        </w:rPr>
        <w:t>v milionech EUR (zaokrouhleno na tři desetinná místa)</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557911">
        <w:trPr>
          <w:trHeight w:val="585"/>
        </w:trPr>
        <w:tc>
          <w:tcPr>
            <w:tcW w:w="3717" w:type="dxa"/>
          </w:tcPr>
          <w:p w:rsidR="00557911" w:rsidRDefault="00557911">
            <w:pPr>
              <w:rPr>
                <w:noProof/>
              </w:rPr>
            </w:pPr>
          </w:p>
        </w:tc>
        <w:tc>
          <w:tcPr>
            <w:tcW w:w="1144" w:type="dxa"/>
            <w:vAlign w:val="center"/>
          </w:tcPr>
          <w:p w:rsidR="00557911" w:rsidRDefault="00623804">
            <w:pPr>
              <w:jc w:val="center"/>
              <w:rPr>
                <w:noProof/>
              </w:rPr>
            </w:pPr>
            <w:r>
              <w:rPr>
                <w:b/>
                <w:noProof/>
                <w:sz w:val="20"/>
              </w:rPr>
              <w:t>3./4. čtvrtletí 2019</w:t>
            </w:r>
          </w:p>
        </w:tc>
        <w:tc>
          <w:tcPr>
            <w:tcW w:w="1302" w:type="dxa"/>
            <w:vAlign w:val="center"/>
          </w:tcPr>
          <w:p w:rsidR="00557911" w:rsidRDefault="00623804">
            <w:pPr>
              <w:jc w:val="center"/>
              <w:rPr>
                <w:b/>
                <w:noProof/>
                <w:sz w:val="20"/>
              </w:rPr>
            </w:pPr>
            <w:r>
              <w:rPr>
                <w:b/>
                <w:noProof/>
                <w:sz w:val="20"/>
              </w:rPr>
              <w:t>2020</w:t>
            </w:r>
          </w:p>
        </w:tc>
        <w:tc>
          <w:tcPr>
            <w:tcW w:w="1302" w:type="dxa"/>
            <w:vAlign w:val="center"/>
          </w:tcPr>
          <w:p w:rsidR="00557911" w:rsidRDefault="00623804">
            <w:pPr>
              <w:jc w:val="center"/>
              <w:rPr>
                <w:b/>
                <w:noProof/>
                <w:sz w:val="20"/>
              </w:rPr>
            </w:pPr>
            <w:r>
              <w:rPr>
                <w:b/>
                <w:noProof/>
                <w:sz w:val="20"/>
              </w:rPr>
              <w:t>2021</w:t>
            </w:r>
          </w:p>
        </w:tc>
        <w:tc>
          <w:tcPr>
            <w:tcW w:w="1302" w:type="dxa"/>
            <w:vAlign w:val="center"/>
          </w:tcPr>
          <w:p w:rsidR="00557911" w:rsidRDefault="00623804">
            <w:pPr>
              <w:jc w:val="center"/>
              <w:rPr>
                <w:noProof/>
              </w:rPr>
            </w:pPr>
            <w:r>
              <w:rPr>
                <w:b/>
                <w:noProof/>
                <w:sz w:val="20"/>
              </w:rPr>
              <w:t>2022</w:t>
            </w:r>
          </w:p>
        </w:tc>
      </w:tr>
      <w:tr w:rsidR="00557911">
        <w:trPr>
          <w:trHeight w:val="585"/>
        </w:trPr>
        <w:tc>
          <w:tcPr>
            <w:tcW w:w="3717" w:type="dxa"/>
            <w:shd w:val="clear" w:color="auto" w:fill="CCCCCC"/>
            <w:vAlign w:val="center"/>
          </w:tcPr>
          <w:p w:rsidR="00557911" w:rsidRDefault="00623804">
            <w:pPr>
              <w:rPr>
                <w:noProof/>
              </w:rPr>
            </w:pPr>
            <w:r>
              <w:rPr>
                <w:noProof/>
              </w:rPr>
              <w:t>Dočasní úředníci (tří</w:t>
            </w:r>
            <w:r>
              <w:rPr>
                <w:noProof/>
              </w:rPr>
              <w:t>dy AD)</w:t>
            </w:r>
          </w:p>
        </w:tc>
        <w:tc>
          <w:tcPr>
            <w:tcW w:w="1144" w:type="dxa"/>
          </w:tcPr>
          <w:p w:rsidR="00557911" w:rsidRDefault="00623804">
            <w:pPr>
              <w:jc w:val="center"/>
              <w:rPr>
                <w:noProof/>
              </w:rPr>
            </w:pPr>
            <w:r>
              <w:rPr>
                <w:noProof/>
                <w:sz w:val="22"/>
              </w:rPr>
              <w:t>4,242</w:t>
            </w:r>
          </w:p>
        </w:tc>
        <w:tc>
          <w:tcPr>
            <w:tcW w:w="1302" w:type="dxa"/>
          </w:tcPr>
          <w:p w:rsidR="00557911" w:rsidRDefault="00623804">
            <w:pPr>
              <w:jc w:val="center"/>
              <w:rPr>
                <w:noProof/>
              </w:rPr>
            </w:pPr>
            <w:r>
              <w:rPr>
                <w:noProof/>
                <w:sz w:val="22"/>
              </w:rPr>
              <w:t>5,695</w:t>
            </w:r>
          </w:p>
        </w:tc>
        <w:tc>
          <w:tcPr>
            <w:tcW w:w="1302" w:type="dxa"/>
          </w:tcPr>
          <w:p w:rsidR="00557911" w:rsidRDefault="00623804">
            <w:pPr>
              <w:jc w:val="center"/>
              <w:rPr>
                <w:noProof/>
              </w:rPr>
            </w:pPr>
            <w:r>
              <w:rPr>
                <w:noProof/>
                <w:sz w:val="22"/>
              </w:rPr>
              <w:t>6,381</w:t>
            </w:r>
          </w:p>
        </w:tc>
        <w:tc>
          <w:tcPr>
            <w:tcW w:w="1302" w:type="dxa"/>
          </w:tcPr>
          <w:p w:rsidR="00557911" w:rsidRDefault="00623804">
            <w:pPr>
              <w:jc w:val="center"/>
              <w:rPr>
                <w:noProof/>
              </w:rPr>
            </w:pPr>
            <w:r>
              <w:rPr>
                <w:noProof/>
                <w:sz w:val="22"/>
              </w:rPr>
              <w:t>6,709</w:t>
            </w:r>
          </w:p>
        </w:tc>
      </w:tr>
      <w:tr w:rsidR="00557911">
        <w:trPr>
          <w:trHeight w:val="585"/>
        </w:trPr>
        <w:tc>
          <w:tcPr>
            <w:tcW w:w="3717" w:type="dxa"/>
            <w:vAlign w:val="center"/>
          </w:tcPr>
          <w:p w:rsidR="00557911" w:rsidRDefault="00623804">
            <w:pPr>
              <w:rPr>
                <w:noProof/>
              </w:rPr>
            </w:pPr>
            <w:r>
              <w:rPr>
                <w:noProof/>
              </w:rPr>
              <w:t>Dočasní úředníci (třídy AST)</w:t>
            </w:r>
          </w:p>
        </w:tc>
        <w:tc>
          <w:tcPr>
            <w:tcW w:w="1144" w:type="dxa"/>
          </w:tcPr>
          <w:p w:rsidR="00557911" w:rsidRDefault="00623804">
            <w:pPr>
              <w:jc w:val="center"/>
              <w:rPr>
                <w:noProof/>
              </w:rPr>
            </w:pPr>
            <w:r>
              <w:rPr>
                <w:noProof/>
                <w:sz w:val="22"/>
              </w:rPr>
              <w:t>1,601</w:t>
            </w:r>
          </w:p>
        </w:tc>
        <w:tc>
          <w:tcPr>
            <w:tcW w:w="1302" w:type="dxa"/>
          </w:tcPr>
          <w:p w:rsidR="00557911" w:rsidRDefault="00623804">
            <w:pPr>
              <w:jc w:val="center"/>
              <w:rPr>
                <w:noProof/>
              </w:rPr>
            </w:pPr>
            <w:r>
              <w:rPr>
                <w:noProof/>
                <w:sz w:val="22"/>
              </w:rPr>
              <w:t>1,998</w:t>
            </w:r>
          </w:p>
        </w:tc>
        <w:tc>
          <w:tcPr>
            <w:tcW w:w="1302" w:type="dxa"/>
          </w:tcPr>
          <w:p w:rsidR="00557911" w:rsidRDefault="00623804">
            <w:pPr>
              <w:jc w:val="center"/>
              <w:rPr>
                <w:noProof/>
              </w:rPr>
            </w:pPr>
            <w:r>
              <w:rPr>
                <w:noProof/>
                <w:sz w:val="22"/>
              </w:rPr>
              <w:t>2,217</w:t>
            </w:r>
          </w:p>
        </w:tc>
        <w:tc>
          <w:tcPr>
            <w:tcW w:w="1302" w:type="dxa"/>
          </w:tcPr>
          <w:p w:rsidR="00557911" w:rsidRDefault="00623804">
            <w:pPr>
              <w:jc w:val="center"/>
              <w:rPr>
                <w:noProof/>
              </w:rPr>
            </w:pPr>
            <w:r>
              <w:rPr>
                <w:noProof/>
                <w:sz w:val="22"/>
              </w:rPr>
              <w:t>2,217</w:t>
            </w:r>
          </w:p>
        </w:tc>
      </w:tr>
      <w:tr w:rsidR="00557911">
        <w:trPr>
          <w:trHeight w:val="585"/>
        </w:trPr>
        <w:tc>
          <w:tcPr>
            <w:tcW w:w="3717" w:type="dxa"/>
            <w:vAlign w:val="center"/>
          </w:tcPr>
          <w:p w:rsidR="00557911" w:rsidRDefault="00623804">
            <w:pPr>
              <w:rPr>
                <w:noProof/>
              </w:rPr>
            </w:pPr>
            <w:r>
              <w:rPr>
                <w:noProof/>
              </w:rPr>
              <w:t>Smluvní zaměstnanci</w:t>
            </w:r>
          </w:p>
        </w:tc>
        <w:tc>
          <w:tcPr>
            <w:tcW w:w="1144" w:type="dxa"/>
          </w:tcPr>
          <w:p w:rsidR="00557911" w:rsidRDefault="00623804">
            <w:pPr>
              <w:jc w:val="center"/>
              <w:rPr>
                <w:noProof/>
              </w:rPr>
            </w:pPr>
            <w:r>
              <w:rPr>
                <w:noProof/>
                <w:sz w:val="22"/>
              </w:rPr>
              <w:t>2,041</w:t>
            </w:r>
          </w:p>
        </w:tc>
        <w:tc>
          <w:tcPr>
            <w:tcW w:w="1302" w:type="dxa"/>
          </w:tcPr>
          <w:p w:rsidR="00557911" w:rsidRDefault="00623804">
            <w:pPr>
              <w:jc w:val="center"/>
              <w:rPr>
                <w:noProof/>
              </w:rPr>
            </w:pPr>
            <w:r>
              <w:rPr>
                <w:noProof/>
                <w:sz w:val="22"/>
              </w:rPr>
              <w:t>2,041</w:t>
            </w:r>
          </w:p>
        </w:tc>
        <w:tc>
          <w:tcPr>
            <w:tcW w:w="1302" w:type="dxa"/>
          </w:tcPr>
          <w:p w:rsidR="00557911" w:rsidRDefault="00623804">
            <w:pPr>
              <w:jc w:val="center"/>
              <w:rPr>
                <w:noProof/>
              </w:rPr>
            </w:pPr>
            <w:r>
              <w:rPr>
                <w:noProof/>
                <w:sz w:val="22"/>
              </w:rPr>
              <w:t>2,041</w:t>
            </w:r>
          </w:p>
        </w:tc>
        <w:tc>
          <w:tcPr>
            <w:tcW w:w="1302" w:type="dxa"/>
          </w:tcPr>
          <w:p w:rsidR="00557911" w:rsidRDefault="00623804">
            <w:pPr>
              <w:jc w:val="center"/>
              <w:rPr>
                <w:noProof/>
              </w:rPr>
            </w:pPr>
            <w:r>
              <w:rPr>
                <w:noProof/>
                <w:sz w:val="22"/>
              </w:rPr>
              <w:t>2,041</w:t>
            </w:r>
          </w:p>
        </w:tc>
      </w:tr>
      <w:tr w:rsidR="00557911">
        <w:trPr>
          <w:trHeight w:val="585"/>
        </w:trPr>
        <w:tc>
          <w:tcPr>
            <w:tcW w:w="3717" w:type="dxa"/>
            <w:shd w:val="clear" w:color="auto" w:fill="CCCCCC"/>
            <w:vAlign w:val="center"/>
          </w:tcPr>
          <w:p w:rsidR="00557911" w:rsidRDefault="00623804">
            <w:pPr>
              <w:rPr>
                <w:noProof/>
              </w:rPr>
            </w:pPr>
            <w:r>
              <w:rPr>
                <w:noProof/>
              </w:rPr>
              <w:t>Vyslaní národní odborníci</w:t>
            </w:r>
          </w:p>
        </w:tc>
        <w:tc>
          <w:tcPr>
            <w:tcW w:w="1144" w:type="dxa"/>
          </w:tcPr>
          <w:p w:rsidR="00557911" w:rsidRDefault="00623804">
            <w:pPr>
              <w:jc w:val="center"/>
              <w:rPr>
                <w:noProof/>
              </w:rPr>
            </w:pPr>
            <w:r>
              <w:rPr>
                <w:noProof/>
                <w:sz w:val="22"/>
              </w:rPr>
              <w:t>0,306</w:t>
            </w:r>
          </w:p>
        </w:tc>
        <w:tc>
          <w:tcPr>
            <w:tcW w:w="1302" w:type="dxa"/>
          </w:tcPr>
          <w:p w:rsidR="00557911" w:rsidRDefault="00623804">
            <w:pPr>
              <w:jc w:val="center"/>
              <w:rPr>
                <w:noProof/>
              </w:rPr>
            </w:pPr>
            <w:r>
              <w:rPr>
                <w:noProof/>
                <w:sz w:val="22"/>
              </w:rPr>
              <w:t>0,447</w:t>
            </w:r>
          </w:p>
        </w:tc>
        <w:tc>
          <w:tcPr>
            <w:tcW w:w="1302" w:type="dxa"/>
          </w:tcPr>
          <w:p w:rsidR="00557911" w:rsidRDefault="00623804">
            <w:pPr>
              <w:jc w:val="center"/>
              <w:rPr>
                <w:noProof/>
              </w:rPr>
            </w:pPr>
            <w:r>
              <w:rPr>
                <w:noProof/>
                <w:sz w:val="22"/>
              </w:rPr>
              <w:t>0,656</w:t>
            </w:r>
          </w:p>
        </w:tc>
        <w:tc>
          <w:tcPr>
            <w:tcW w:w="1302" w:type="dxa"/>
          </w:tcPr>
          <w:p w:rsidR="00557911" w:rsidRDefault="00623804">
            <w:pPr>
              <w:jc w:val="center"/>
              <w:rPr>
                <w:noProof/>
              </w:rPr>
            </w:pPr>
            <w:r>
              <w:rPr>
                <w:noProof/>
                <w:sz w:val="22"/>
              </w:rPr>
              <w:t>0,796</w:t>
            </w:r>
          </w:p>
        </w:tc>
      </w:tr>
      <w:tr w:rsidR="00557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557911" w:rsidRDefault="00623804">
            <w:pPr>
              <w:rPr>
                <w:b/>
                <w:noProof/>
              </w:rPr>
            </w:pPr>
            <w:r>
              <w:rPr>
                <w:b/>
                <w:noProof/>
              </w:rPr>
              <w:t>CELKEM</w:t>
            </w:r>
          </w:p>
        </w:tc>
        <w:tc>
          <w:tcPr>
            <w:tcW w:w="1144" w:type="dxa"/>
            <w:tcBorders>
              <w:top w:val="single" w:sz="12" w:space="0" w:color="auto"/>
              <w:left w:val="single" w:sz="2" w:space="0" w:color="auto"/>
              <w:bottom w:val="single" w:sz="12" w:space="0" w:color="auto"/>
              <w:right w:val="single" w:sz="2" w:space="0" w:color="auto"/>
            </w:tcBorders>
            <w:vAlign w:val="center"/>
          </w:tcPr>
          <w:p w:rsidR="00557911" w:rsidRDefault="00623804">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557911" w:rsidRDefault="00557911">
            <w:pPr>
              <w:jc w:val="center"/>
              <w:rPr>
                <w:b/>
                <w:noProof/>
                <w:sz w:val="22"/>
              </w:rPr>
            </w:pPr>
          </w:p>
          <w:p w:rsidR="00557911" w:rsidRDefault="00623804">
            <w:pPr>
              <w:jc w:val="center"/>
              <w:rPr>
                <w:b/>
                <w:noProof/>
                <w:sz w:val="22"/>
              </w:rPr>
            </w:pPr>
            <w:r>
              <w:rPr>
                <w:b/>
                <w:noProof/>
                <w:sz w:val="22"/>
              </w:rPr>
              <w:t>10,181</w:t>
            </w:r>
          </w:p>
          <w:p w:rsidR="00557911" w:rsidRDefault="00557911">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557911" w:rsidRDefault="00623804">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557911" w:rsidRDefault="00557911">
            <w:pPr>
              <w:jc w:val="center"/>
              <w:rPr>
                <w:b/>
                <w:noProof/>
                <w:sz w:val="22"/>
              </w:rPr>
            </w:pPr>
          </w:p>
          <w:p w:rsidR="00557911" w:rsidRDefault="00623804">
            <w:pPr>
              <w:jc w:val="center"/>
              <w:rPr>
                <w:b/>
                <w:noProof/>
                <w:sz w:val="22"/>
              </w:rPr>
            </w:pPr>
            <w:r>
              <w:rPr>
                <w:b/>
                <w:noProof/>
                <w:sz w:val="22"/>
              </w:rPr>
              <w:t>11,763</w:t>
            </w:r>
          </w:p>
          <w:p w:rsidR="00557911" w:rsidRDefault="00557911">
            <w:pPr>
              <w:jc w:val="center"/>
              <w:rPr>
                <w:b/>
                <w:noProof/>
              </w:rPr>
            </w:pPr>
          </w:p>
        </w:tc>
      </w:tr>
    </w:tbl>
    <w:p w:rsidR="00557911" w:rsidRDefault="00623804">
      <w:pPr>
        <w:rPr>
          <w:noProof/>
          <w:sz w:val="20"/>
          <w:u w:val="single"/>
        </w:rPr>
      </w:pPr>
      <w:r>
        <w:rPr>
          <w:noProof/>
          <w:sz w:val="20"/>
          <w:u w:val="single"/>
        </w:rPr>
        <w:t xml:space="preserve">Náklady na zaměstnance byly </w:t>
      </w:r>
      <w:r>
        <w:rPr>
          <w:noProof/>
          <w:sz w:val="20"/>
          <w:u w:val="single"/>
        </w:rPr>
        <w:t>vypočítány podle plánovaného data náboru (u současných zaměstnanců agentury ENISA byla plná zaměstnanost předpokládána od 1. 1. 2019). V případě nových zaměstnanců se předpokládalo  postupné zaměstnávání od 1. 7. 2019 a dosažení plné zaměstnanosti v roce 2</w:t>
      </w:r>
      <w:r>
        <w:rPr>
          <w:noProof/>
          <w:sz w:val="20"/>
          <w:u w:val="single"/>
        </w:rPr>
        <w:t>022. Výhled zdrojů po roce 2020 je orientační a nejsou jím dotčeny návrhy Komise týkající se víceletého finančního rámce na období po roce 2020.</w:t>
      </w:r>
    </w:p>
    <w:p w:rsidR="00557911" w:rsidRDefault="00557911">
      <w:pPr>
        <w:rPr>
          <w:noProof/>
          <w:sz w:val="20"/>
          <w:u w:val="single"/>
        </w:rPr>
      </w:pPr>
    </w:p>
    <w:p w:rsidR="00557911" w:rsidRDefault="00623804">
      <w:pPr>
        <w:rPr>
          <w:noProof/>
          <w:u w:val="single"/>
        </w:rPr>
      </w:pPr>
      <w:r>
        <w:rPr>
          <w:noProof/>
          <w:u w:val="single"/>
        </w:rPr>
        <w:t>Odhadovaný dopad na zaměstnance (dodatečné plné pracovní úvazky) – plán pracovních míst</w:t>
      </w:r>
    </w:p>
    <w:tbl>
      <w:tblPr>
        <w:tblW w:w="5000" w:type="pct"/>
        <w:tblCellMar>
          <w:left w:w="0" w:type="dxa"/>
          <w:right w:w="0" w:type="dxa"/>
        </w:tblCellMar>
        <w:tblLook w:val="04A0" w:firstRow="1" w:lastRow="0" w:firstColumn="1" w:lastColumn="0" w:noHBand="0" w:noVBand="1"/>
      </w:tblPr>
      <w:tblGrid>
        <w:gridCol w:w="2476"/>
        <w:gridCol w:w="2661"/>
        <w:gridCol w:w="1200"/>
        <w:gridCol w:w="877"/>
        <w:gridCol w:w="884"/>
        <w:gridCol w:w="1093"/>
      </w:tblGrid>
      <w:tr w:rsidR="0055791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57911" w:rsidRDefault="00623804">
            <w:pPr>
              <w:jc w:val="center"/>
              <w:rPr>
                <w:rFonts w:ascii="Calibri" w:eastAsia="Calibri" w:hAnsi="Calibri" w:cs="Calibri"/>
                <w:noProof/>
                <w:sz w:val="22"/>
              </w:rPr>
            </w:pPr>
            <w:r>
              <w:rPr>
                <w:noProof/>
              </w:rPr>
              <w:t>Funkční skupina a tříd</w:t>
            </w:r>
            <w:r>
              <w:rPr>
                <w:noProof/>
              </w:rPr>
              <w:t>a</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7911" w:rsidRDefault="00623804">
            <w:pPr>
              <w:jc w:val="center"/>
              <w:rPr>
                <w:rFonts w:eastAsia="Calibri"/>
                <w:noProof/>
                <w:sz w:val="22"/>
              </w:rPr>
            </w:pPr>
            <w:r>
              <w:rPr>
                <w:noProof/>
                <w:sz w:val="22"/>
              </w:rPr>
              <w:t>2017</w:t>
            </w:r>
          </w:p>
          <w:p w:rsidR="00557911" w:rsidRDefault="00623804">
            <w:pPr>
              <w:jc w:val="center"/>
              <w:rPr>
                <w:rFonts w:eastAsia="Calibri"/>
                <w:b/>
                <w:noProof/>
                <w:sz w:val="22"/>
              </w:rPr>
            </w:pPr>
            <w:r>
              <w:rPr>
                <w:b/>
                <w:noProof/>
                <w:sz w:val="22"/>
              </w:rPr>
              <w:t>Stávající agentura ENISA</w:t>
            </w:r>
          </w:p>
        </w:tc>
        <w:tc>
          <w:tcPr>
            <w:tcW w:w="606" w:type="pct"/>
            <w:tcBorders>
              <w:top w:val="single" w:sz="8" w:space="0" w:color="auto"/>
              <w:left w:val="single" w:sz="8" w:space="0" w:color="auto"/>
              <w:bottom w:val="single" w:sz="8" w:space="0" w:color="auto"/>
              <w:right w:val="single" w:sz="8" w:space="0" w:color="auto"/>
            </w:tcBorders>
            <w:vAlign w:val="center"/>
          </w:tcPr>
          <w:p w:rsidR="00557911" w:rsidRDefault="00557911">
            <w:pPr>
              <w:spacing w:before="0" w:after="0"/>
              <w:jc w:val="center"/>
              <w:rPr>
                <w:rFonts w:eastAsia="Calibri"/>
                <w:noProof/>
                <w:sz w:val="22"/>
              </w:rPr>
            </w:pPr>
          </w:p>
          <w:p w:rsidR="00557911" w:rsidRDefault="00623804">
            <w:pPr>
              <w:spacing w:before="0" w:after="0"/>
              <w:jc w:val="center"/>
              <w:rPr>
                <w:rFonts w:eastAsia="Calibri"/>
                <w:noProof/>
                <w:sz w:val="22"/>
              </w:rPr>
            </w:pPr>
            <w:r>
              <w:rPr>
                <w:noProof/>
                <w:sz w:val="22"/>
              </w:rPr>
              <w:t>3./4. čtvrtletí 2019</w:t>
            </w:r>
          </w:p>
          <w:p w:rsidR="00557911" w:rsidRDefault="00557911">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557911" w:rsidRDefault="00557911">
            <w:pPr>
              <w:spacing w:before="0" w:after="0"/>
              <w:jc w:val="center"/>
              <w:rPr>
                <w:rFonts w:eastAsia="Calibri"/>
                <w:noProof/>
                <w:sz w:val="22"/>
              </w:rPr>
            </w:pPr>
          </w:p>
          <w:p w:rsidR="00557911" w:rsidRDefault="00623804">
            <w:pPr>
              <w:spacing w:before="0" w:after="0"/>
              <w:jc w:val="center"/>
              <w:rPr>
                <w:rFonts w:eastAsia="Calibri"/>
                <w:noProof/>
                <w:sz w:val="22"/>
              </w:rPr>
            </w:pPr>
            <w:r>
              <w:rPr>
                <w:noProof/>
                <w:sz w:val="22"/>
              </w:rPr>
              <w:t>2022</w:t>
            </w: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623804">
            <w:pPr>
              <w:spacing w:before="0" w:after="0"/>
              <w:jc w:val="center"/>
              <w:rPr>
                <w:noProof/>
                <w:szCs w:val="24"/>
              </w:rPr>
            </w:pPr>
            <w:r>
              <w:rPr>
                <w:noProof/>
              </w:rPr>
              <w:t>1</w:t>
            </w: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57911" w:rsidRDefault="00623804">
            <w:pPr>
              <w:spacing w:before="0" w:after="0"/>
              <w:jc w:val="center"/>
              <w:rPr>
                <w:noProof/>
                <w:szCs w:val="24"/>
              </w:rPr>
            </w:pPr>
            <w:r>
              <w:rPr>
                <w:noProof/>
              </w:rPr>
              <w:t>2</w:t>
            </w: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557911">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Celkem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57911" w:rsidRDefault="00623804">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557911" w:rsidRDefault="00623804">
            <w:pPr>
              <w:spacing w:before="0" w:after="0"/>
              <w:jc w:val="center"/>
              <w:rPr>
                <w:noProof/>
                <w:szCs w:val="24"/>
              </w:rPr>
            </w:pPr>
            <w:r>
              <w:rPr>
                <w:noProof/>
              </w:rPr>
              <w:t>3</w:t>
            </w: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57911" w:rsidRDefault="00623804">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57911" w:rsidRDefault="00623804">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623804">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szCs w:val="24"/>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Celkem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7911" w:rsidRDefault="00623804">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557911" w:rsidRDefault="00623804">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557911" w:rsidRDefault="00557911">
            <w:pPr>
              <w:spacing w:before="0" w:after="0"/>
              <w:jc w:val="center"/>
              <w:rPr>
                <w:noProof/>
                <w:szCs w:val="24"/>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57911" w:rsidRDefault="00623804">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57911" w:rsidRDefault="00557911">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42"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621" w:type="pct"/>
            <w:tcBorders>
              <w:top w:val="nil"/>
              <w:left w:val="single" w:sz="8" w:space="0" w:color="auto"/>
              <w:bottom w:val="nil"/>
              <w:right w:val="single" w:sz="8" w:space="0" w:color="auto"/>
            </w:tcBorders>
            <w:vAlign w:val="center"/>
          </w:tcPr>
          <w:p w:rsidR="00557911" w:rsidRDefault="00557911">
            <w:pPr>
              <w:spacing w:before="0" w:after="0"/>
              <w:jc w:val="center"/>
              <w:rPr>
                <w:noProof/>
              </w:rPr>
            </w:pPr>
          </w:p>
        </w:tc>
        <w:tc>
          <w:tcPr>
            <w:tcW w:w="735" w:type="pct"/>
            <w:tcBorders>
              <w:top w:val="nil"/>
              <w:left w:val="single" w:sz="8" w:space="0" w:color="auto"/>
              <w:bottom w:val="nil"/>
              <w:right w:val="single" w:sz="8" w:space="0" w:color="auto"/>
            </w:tcBorders>
          </w:tcPr>
          <w:p w:rsidR="00557911" w:rsidRDefault="00557911">
            <w:pPr>
              <w:spacing w:before="0" w:after="0"/>
              <w:jc w:val="center"/>
              <w:rPr>
                <w:noProof/>
              </w:rPr>
            </w:pPr>
          </w:p>
        </w:tc>
      </w:tr>
      <w:tr w:rsidR="00557911">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57911" w:rsidRDefault="00623804">
            <w:pPr>
              <w:spacing w:before="0" w:after="0"/>
              <w:jc w:val="center"/>
              <w:rPr>
                <w:rFonts w:ascii="Calibri" w:eastAsia="Calibri" w:hAnsi="Calibri" w:cs="Calibri"/>
                <w:noProof/>
                <w:sz w:val="22"/>
              </w:rPr>
            </w:pPr>
            <w:r>
              <w:rPr>
                <w:noProof/>
              </w:rPr>
              <w:t>Celkem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7911" w:rsidRDefault="00557911">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557911" w:rsidRDefault="00557911">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557911" w:rsidRDefault="00557911">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557911" w:rsidRDefault="00557911">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557911" w:rsidRDefault="00557911">
            <w:pPr>
              <w:spacing w:before="0" w:after="0"/>
              <w:jc w:val="center"/>
              <w:rPr>
                <w:noProof/>
                <w:sz w:val="20"/>
                <w:szCs w:val="20"/>
              </w:rPr>
            </w:pPr>
          </w:p>
        </w:tc>
      </w:tr>
      <w:tr w:rsidR="00557911">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557911" w:rsidRDefault="00623804">
            <w:pPr>
              <w:spacing w:before="0" w:after="0"/>
              <w:jc w:val="center"/>
              <w:rPr>
                <w:noProof/>
              </w:rPr>
            </w:pPr>
            <w:r>
              <w:rPr>
                <w:noProof/>
              </w:rPr>
              <w:t>CELKOVÝ SOUČET</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557911" w:rsidRDefault="00623804">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57911" w:rsidRDefault="00623804">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57911" w:rsidRDefault="00623804">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57911" w:rsidRDefault="00623804">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57911" w:rsidRDefault="00623804">
            <w:pPr>
              <w:spacing w:before="0" w:after="0"/>
              <w:jc w:val="center"/>
              <w:rPr>
                <w:noProof/>
                <w:szCs w:val="20"/>
              </w:rPr>
            </w:pPr>
            <w:r>
              <w:rPr>
                <w:noProof/>
              </w:rPr>
              <w:t>3</w:t>
            </w:r>
          </w:p>
        </w:tc>
      </w:tr>
    </w:tbl>
    <w:p w:rsidR="00557911" w:rsidRDefault="00557911">
      <w:pPr>
        <w:rPr>
          <w:noProof/>
        </w:rPr>
      </w:pPr>
    </w:p>
    <w:p w:rsidR="00557911" w:rsidRDefault="00623804">
      <w:pPr>
        <w:spacing w:before="0" w:after="0"/>
        <w:rPr>
          <w:noProof/>
        </w:rPr>
      </w:pPr>
      <w:r>
        <w:rPr>
          <w:noProof/>
        </w:rPr>
        <w:t xml:space="preserve">Úkoly dodatečných zaměstnanců třídy AD/AST za účelem dosažení cílů nástroje popsaných v oddíle 1.4.2: </w:t>
      </w:r>
    </w:p>
    <w:p w:rsidR="00557911" w:rsidRDefault="00557911">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557911">
        <w:tc>
          <w:tcPr>
            <w:tcW w:w="4253" w:type="dxa"/>
          </w:tcPr>
          <w:p w:rsidR="00557911" w:rsidRDefault="00623804">
            <w:pPr>
              <w:spacing w:before="0" w:after="0"/>
              <w:jc w:val="center"/>
              <w:rPr>
                <w:b/>
                <w:noProof/>
              </w:rPr>
            </w:pPr>
            <w:r>
              <w:rPr>
                <w:b/>
                <w:noProof/>
              </w:rPr>
              <w:t>Úkoly</w:t>
            </w:r>
          </w:p>
        </w:tc>
        <w:tc>
          <w:tcPr>
            <w:tcW w:w="992" w:type="dxa"/>
          </w:tcPr>
          <w:p w:rsidR="00557911" w:rsidRDefault="00623804">
            <w:pPr>
              <w:spacing w:before="0" w:after="0"/>
              <w:jc w:val="center"/>
              <w:rPr>
                <w:noProof/>
              </w:rPr>
            </w:pPr>
            <w:r>
              <w:rPr>
                <w:noProof/>
              </w:rPr>
              <w:t>AD</w:t>
            </w:r>
          </w:p>
        </w:tc>
        <w:tc>
          <w:tcPr>
            <w:tcW w:w="992" w:type="dxa"/>
          </w:tcPr>
          <w:p w:rsidR="00557911" w:rsidRDefault="00623804">
            <w:pPr>
              <w:spacing w:before="0" w:after="0"/>
              <w:jc w:val="center"/>
              <w:rPr>
                <w:noProof/>
              </w:rPr>
            </w:pPr>
            <w:r>
              <w:rPr>
                <w:noProof/>
              </w:rPr>
              <w:t>AST</w:t>
            </w:r>
          </w:p>
        </w:tc>
        <w:tc>
          <w:tcPr>
            <w:tcW w:w="851" w:type="dxa"/>
          </w:tcPr>
          <w:p w:rsidR="00557911" w:rsidRDefault="00623804">
            <w:pPr>
              <w:spacing w:before="0" w:after="0"/>
              <w:jc w:val="center"/>
              <w:rPr>
                <w:noProof/>
              </w:rPr>
            </w:pPr>
            <w:r>
              <w:rPr>
                <w:noProof/>
              </w:rPr>
              <w:t>VNO</w:t>
            </w:r>
          </w:p>
        </w:tc>
        <w:tc>
          <w:tcPr>
            <w:tcW w:w="1384" w:type="dxa"/>
          </w:tcPr>
          <w:p w:rsidR="00557911" w:rsidRDefault="00623804">
            <w:pPr>
              <w:spacing w:before="0" w:after="0"/>
              <w:jc w:val="center"/>
              <w:rPr>
                <w:noProof/>
              </w:rPr>
            </w:pPr>
            <w:r>
              <w:rPr>
                <w:noProof/>
              </w:rPr>
              <w:t xml:space="preserve">Celkem </w:t>
            </w:r>
          </w:p>
        </w:tc>
      </w:tr>
      <w:tr w:rsidR="00557911">
        <w:tc>
          <w:tcPr>
            <w:tcW w:w="4253" w:type="dxa"/>
          </w:tcPr>
          <w:p w:rsidR="00557911" w:rsidRDefault="00623804">
            <w:pPr>
              <w:spacing w:before="0" w:after="0"/>
              <w:jc w:val="left"/>
              <w:rPr>
                <w:noProof/>
              </w:rPr>
            </w:pPr>
            <w:r>
              <w:rPr>
                <w:noProof/>
              </w:rPr>
              <w:t xml:space="preserve">Tvorba politiky a budování kapacit </w:t>
            </w:r>
          </w:p>
        </w:tc>
        <w:tc>
          <w:tcPr>
            <w:tcW w:w="992" w:type="dxa"/>
          </w:tcPr>
          <w:p w:rsidR="00557911" w:rsidRDefault="00623804">
            <w:pPr>
              <w:spacing w:before="0" w:after="0"/>
              <w:jc w:val="center"/>
              <w:rPr>
                <w:noProof/>
              </w:rPr>
            </w:pPr>
            <w:r>
              <w:rPr>
                <w:noProof/>
              </w:rPr>
              <w:t>8</w:t>
            </w:r>
          </w:p>
        </w:tc>
        <w:tc>
          <w:tcPr>
            <w:tcW w:w="992" w:type="dxa"/>
          </w:tcPr>
          <w:p w:rsidR="00557911" w:rsidRDefault="00623804">
            <w:pPr>
              <w:spacing w:before="0" w:after="0"/>
              <w:jc w:val="center"/>
              <w:rPr>
                <w:noProof/>
              </w:rPr>
            </w:pPr>
            <w:r>
              <w:rPr>
                <w:noProof/>
              </w:rPr>
              <w:t>1</w:t>
            </w:r>
          </w:p>
        </w:tc>
        <w:tc>
          <w:tcPr>
            <w:tcW w:w="851" w:type="dxa"/>
          </w:tcPr>
          <w:p w:rsidR="00557911" w:rsidRDefault="00557911">
            <w:pPr>
              <w:spacing w:before="0" w:after="0"/>
              <w:jc w:val="center"/>
              <w:rPr>
                <w:noProof/>
              </w:rPr>
            </w:pPr>
          </w:p>
        </w:tc>
        <w:tc>
          <w:tcPr>
            <w:tcW w:w="1384" w:type="dxa"/>
          </w:tcPr>
          <w:p w:rsidR="00557911" w:rsidRDefault="00623804">
            <w:pPr>
              <w:spacing w:before="0" w:after="0"/>
              <w:jc w:val="center"/>
              <w:rPr>
                <w:noProof/>
              </w:rPr>
            </w:pPr>
            <w:r>
              <w:rPr>
                <w:noProof/>
              </w:rPr>
              <w:t>9</w:t>
            </w:r>
          </w:p>
        </w:tc>
      </w:tr>
      <w:tr w:rsidR="00557911">
        <w:tc>
          <w:tcPr>
            <w:tcW w:w="4253" w:type="dxa"/>
          </w:tcPr>
          <w:p w:rsidR="00557911" w:rsidRDefault="00623804">
            <w:pPr>
              <w:spacing w:before="0" w:after="0"/>
              <w:jc w:val="left"/>
              <w:rPr>
                <w:noProof/>
              </w:rPr>
            </w:pPr>
            <w:r>
              <w:rPr>
                <w:noProof/>
              </w:rPr>
              <w:t>Operativní spolupráce</w:t>
            </w:r>
          </w:p>
        </w:tc>
        <w:tc>
          <w:tcPr>
            <w:tcW w:w="992" w:type="dxa"/>
          </w:tcPr>
          <w:p w:rsidR="00557911" w:rsidRDefault="00623804">
            <w:pPr>
              <w:spacing w:before="0" w:after="0"/>
              <w:jc w:val="center"/>
              <w:rPr>
                <w:noProof/>
              </w:rPr>
            </w:pPr>
            <w:r>
              <w:rPr>
                <w:noProof/>
              </w:rPr>
              <w:t>8</w:t>
            </w:r>
          </w:p>
        </w:tc>
        <w:tc>
          <w:tcPr>
            <w:tcW w:w="992" w:type="dxa"/>
          </w:tcPr>
          <w:p w:rsidR="00557911" w:rsidRDefault="00623804">
            <w:pPr>
              <w:spacing w:before="0" w:after="0"/>
              <w:jc w:val="center"/>
              <w:rPr>
                <w:noProof/>
              </w:rPr>
            </w:pPr>
            <w:r>
              <w:rPr>
                <w:noProof/>
              </w:rPr>
              <w:t>1</w:t>
            </w:r>
          </w:p>
        </w:tc>
        <w:tc>
          <w:tcPr>
            <w:tcW w:w="851" w:type="dxa"/>
          </w:tcPr>
          <w:p w:rsidR="00557911" w:rsidRDefault="00623804">
            <w:pPr>
              <w:spacing w:before="0" w:after="0"/>
              <w:jc w:val="center"/>
              <w:rPr>
                <w:noProof/>
              </w:rPr>
            </w:pPr>
            <w:r>
              <w:rPr>
                <w:noProof/>
              </w:rPr>
              <w:t>7</w:t>
            </w:r>
          </w:p>
        </w:tc>
        <w:tc>
          <w:tcPr>
            <w:tcW w:w="1384" w:type="dxa"/>
          </w:tcPr>
          <w:p w:rsidR="00557911" w:rsidRDefault="00623804">
            <w:pPr>
              <w:spacing w:before="0" w:after="0"/>
              <w:jc w:val="center"/>
              <w:rPr>
                <w:noProof/>
              </w:rPr>
            </w:pPr>
            <w:r>
              <w:rPr>
                <w:noProof/>
              </w:rPr>
              <w:t>16</w:t>
            </w:r>
          </w:p>
        </w:tc>
      </w:tr>
      <w:tr w:rsidR="00557911">
        <w:tc>
          <w:tcPr>
            <w:tcW w:w="4253" w:type="dxa"/>
          </w:tcPr>
          <w:p w:rsidR="00557911" w:rsidRDefault="00623804">
            <w:pPr>
              <w:spacing w:before="0" w:after="0"/>
              <w:jc w:val="left"/>
              <w:rPr>
                <w:noProof/>
              </w:rPr>
            </w:pPr>
            <w:r>
              <w:rPr>
                <w:noProof/>
              </w:rPr>
              <w:t xml:space="preserve">Certifikace (úkoly </w:t>
            </w:r>
            <w:r>
              <w:rPr>
                <w:noProof/>
              </w:rPr>
              <w:t>související s trhem)</w:t>
            </w:r>
          </w:p>
        </w:tc>
        <w:tc>
          <w:tcPr>
            <w:tcW w:w="992" w:type="dxa"/>
          </w:tcPr>
          <w:p w:rsidR="00557911" w:rsidRDefault="00623804">
            <w:pPr>
              <w:spacing w:before="0" w:after="0"/>
              <w:jc w:val="center"/>
              <w:rPr>
                <w:noProof/>
              </w:rPr>
            </w:pPr>
            <w:r>
              <w:rPr>
                <w:noProof/>
              </w:rPr>
              <w:t>9</w:t>
            </w:r>
          </w:p>
        </w:tc>
        <w:tc>
          <w:tcPr>
            <w:tcW w:w="992" w:type="dxa"/>
          </w:tcPr>
          <w:p w:rsidR="00557911" w:rsidRDefault="00623804">
            <w:pPr>
              <w:spacing w:before="0" w:after="0"/>
              <w:jc w:val="center"/>
              <w:rPr>
                <w:noProof/>
              </w:rPr>
            </w:pPr>
            <w:r>
              <w:rPr>
                <w:noProof/>
              </w:rPr>
              <w:t>3</w:t>
            </w:r>
          </w:p>
        </w:tc>
        <w:tc>
          <w:tcPr>
            <w:tcW w:w="851" w:type="dxa"/>
          </w:tcPr>
          <w:p w:rsidR="00557911" w:rsidRDefault="00623804">
            <w:pPr>
              <w:spacing w:before="0" w:after="0"/>
              <w:jc w:val="center"/>
              <w:rPr>
                <w:noProof/>
              </w:rPr>
            </w:pPr>
            <w:r>
              <w:rPr>
                <w:noProof/>
              </w:rPr>
              <w:t>2</w:t>
            </w:r>
          </w:p>
        </w:tc>
        <w:tc>
          <w:tcPr>
            <w:tcW w:w="1384" w:type="dxa"/>
          </w:tcPr>
          <w:p w:rsidR="00557911" w:rsidRDefault="00623804">
            <w:pPr>
              <w:spacing w:before="0" w:after="0"/>
              <w:jc w:val="center"/>
              <w:rPr>
                <w:noProof/>
              </w:rPr>
            </w:pPr>
            <w:r>
              <w:rPr>
                <w:noProof/>
              </w:rPr>
              <w:t>14</w:t>
            </w:r>
          </w:p>
        </w:tc>
      </w:tr>
      <w:tr w:rsidR="00557911">
        <w:tc>
          <w:tcPr>
            <w:tcW w:w="4253" w:type="dxa"/>
          </w:tcPr>
          <w:p w:rsidR="00557911" w:rsidRDefault="00623804">
            <w:pPr>
              <w:spacing w:before="0" w:after="0"/>
              <w:jc w:val="left"/>
              <w:rPr>
                <w:noProof/>
              </w:rPr>
            </w:pPr>
            <w:r>
              <w:rPr>
                <w:noProof/>
              </w:rPr>
              <w:t xml:space="preserve">Znalosti, informace a zvyšování informovanosti </w:t>
            </w:r>
          </w:p>
        </w:tc>
        <w:tc>
          <w:tcPr>
            <w:tcW w:w="992" w:type="dxa"/>
          </w:tcPr>
          <w:p w:rsidR="00557911" w:rsidRDefault="00623804">
            <w:pPr>
              <w:spacing w:before="0" w:after="0"/>
              <w:jc w:val="center"/>
              <w:rPr>
                <w:noProof/>
              </w:rPr>
            </w:pPr>
            <w:r>
              <w:rPr>
                <w:noProof/>
              </w:rPr>
              <w:t>1</w:t>
            </w:r>
          </w:p>
        </w:tc>
        <w:tc>
          <w:tcPr>
            <w:tcW w:w="992" w:type="dxa"/>
          </w:tcPr>
          <w:p w:rsidR="00557911" w:rsidRDefault="00623804">
            <w:pPr>
              <w:spacing w:before="0" w:after="0"/>
              <w:jc w:val="center"/>
              <w:rPr>
                <w:noProof/>
              </w:rPr>
            </w:pPr>
            <w:r>
              <w:rPr>
                <w:noProof/>
              </w:rPr>
              <w:t>1</w:t>
            </w:r>
          </w:p>
        </w:tc>
        <w:tc>
          <w:tcPr>
            <w:tcW w:w="851" w:type="dxa"/>
          </w:tcPr>
          <w:p w:rsidR="00557911" w:rsidRDefault="00557911">
            <w:pPr>
              <w:spacing w:before="0" w:after="0"/>
              <w:jc w:val="center"/>
              <w:rPr>
                <w:noProof/>
              </w:rPr>
            </w:pPr>
          </w:p>
        </w:tc>
        <w:tc>
          <w:tcPr>
            <w:tcW w:w="1384" w:type="dxa"/>
          </w:tcPr>
          <w:p w:rsidR="00557911" w:rsidRDefault="00623804">
            <w:pPr>
              <w:spacing w:before="0" w:after="0"/>
              <w:jc w:val="center"/>
              <w:rPr>
                <w:noProof/>
              </w:rPr>
            </w:pPr>
            <w:r>
              <w:rPr>
                <w:noProof/>
              </w:rPr>
              <w:t>2</w:t>
            </w:r>
          </w:p>
        </w:tc>
      </w:tr>
      <w:tr w:rsidR="00557911">
        <w:tc>
          <w:tcPr>
            <w:tcW w:w="4253" w:type="dxa"/>
            <w:shd w:val="clear" w:color="auto" w:fill="BFBFBF" w:themeFill="background1" w:themeFillShade="BF"/>
          </w:tcPr>
          <w:p w:rsidR="00557911" w:rsidRDefault="00623804">
            <w:pPr>
              <w:spacing w:before="0" w:after="0"/>
              <w:jc w:val="left"/>
              <w:rPr>
                <w:noProof/>
              </w:rPr>
            </w:pPr>
            <w:r>
              <w:rPr>
                <w:noProof/>
              </w:rPr>
              <w:t xml:space="preserve">CELKEM </w:t>
            </w:r>
          </w:p>
        </w:tc>
        <w:tc>
          <w:tcPr>
            <w:tcW w:w="992" w:type="dxa"/>
            <w:shd w:val="clear" w:color="auto" w:fill="BFBFBF" w:themeFill="background1" w:themeFillShade="BF"/>
          </w:tcPr>
          <w:p w:rsidR="00557911" w:rsidRDefault="00623804">
            <w:pPr>
              <w:spacing w:before="0" w:after="0"/>
              <w:jc w:val="center"/>
              <w:rPr>
                <w:noProof/>
              </w:rPr>
            </w:pPr>
            <w:r>
              <w:rPr>
                <w:noProof/>
              </w:rPr>
              <w:t>26</w:t>
            </w:r>
          </w:p>
        </w:tc>
        <w:tc>
          <w:tcPr>
            <w:tcW w:w="992" w:type="dxa"/>
            <w:shd w:val="clear" w:color="auto" w:fill="BFBFBF" w:themeFill="background1" w:themeFillShade="BF"/>
          </w:tcPr>
          <w:p w:rsidR="00557911" w:rsidRDefault="00623804">
            <w:pPr>
              <w:spacing w:before="0" w:after="0"/>
              <w:jc w:val="center"/>
              <w:rPr>
                <w:noProof/>
              </w:rPr>
            </w:pPr>
            <w:r>
              <w:rPr>
                <w:noProof/>
              </w:rPr>
              <w:t>6</w:t>
            </w:r>
          </w:p>
        </w:tc>
        <w:tc>
          <w:tcPr>
            <w:tcW w:w="851" w:type="dxa"/>
            <w:shd w:val="clear" w:color="auto" w:fill="BFBFBF" w:themeFill="background1" w:themeFillShade="BF"/>
          </w:tcPr>
          <w:p w:rsidR="00557911" w:rsidRDefault="00623804">
            <w:pPr>
              <w:spacing w:before="0" w:after="0"/>
              <w:jc w:val="center"/>
              <w:rPr>
                <w:noProof/>
              </w:rPr>
            </w:pPr>
            <w:r>
              <w:rPr>
                <w:noProof/>
              </w:rPr>
              <w:t>9</w:t>
            </w:r>
          </w:p>
        </w:tc>
        <w:tc>
          <w:tcPr>
            <w:tcW w:w="1384" w:type="dxa"/>
            <w:shd w:val="clear" w:color="auto" w:fill="BFBFBF" w:themeFill="background1" w:themeFillShade="BF"/>
          </w:tcPr>
          <w:p w:rsidR="00557911" w:rsidRDefault="00623804">
            <w:pPr>
              <w:spacing w:before="0" w:after="0"/>
              <w:jc w:val="center"/>
              <w:rPr>
                <w:noProof/>
              </w:rPr>
            </w:pPr>
            <w:r>
              <w:rPr>
                <w:noProof/>
              </w:rPr>
              <w:t>41</w:t>
            </w:r>
          </w:p>
        </w:tc>
      </w:tr>
    </w:tbl>
    <w:p w:rsidR="00557911" w:rsidRDefault="00557911">
      <w:pPr>
        <w:spacing w:before="0" w:after="0"/>
        <w:jc w:val="left"/>
        <w:rPr>
          <w:noProof/>
        </w:rPr>
      </w:pPr>
    </w:p>
    <w:p w:rsidR="00557911" w:rsidRDefault="00623804">
      <w:pPr>
        <w:rPr>
          <w:noProof/>
        </w:rPr>
      </w:pPr>
      <w:r>
        <w:rPr>
          <w:noProof/>
        </w:rPr>
        <w:t>Popis úkolů:</w:t>
      </w:r>
    </w:p>
    <w:p w:rsidR="00557911" w:rsidRDefault="00557911">
      <w:pPr>
        <w:spacing w:before="0" w:after="0"/>
        <w:jc w:val="left"/>
        <w:rPr>
          <w:noProof/>
        </w:rPr>
      </w:pPr>
    </w:p>
    <w:tbl>
      <w:tblPr>
        <w:tblStyle w:val="TableGrid"/>
        <w:tblW w:w="4942" w:type="pct"/>
        <w:tblInd w:w="108" w:type="dxa"/>
        <w:tblLook w:val="04A0" w:firstRow="1" w:lastRow="0" w:firstColumn="1" w:lastColumn="0" w:noHBand="0" w:noVBand="1"/>
      </w:tblPr>
      <w:tblGrid>
        <w:gridCol w:w="4139"/>
        <w:gridCol w:w="5042"/>
      </w:tblGrid>
      <w:tr w:rsidR="00557911">
        <w:tc>
          <w:tcPr>
            <w:tcW w:w="2254" w:type="pct"/>
          </w:tcPr>
          <w:p w:rsidR="00557911" w:rsidRDefault="00623804">
            <w:pPr>
              <w:rPr>
                <w:b/>
                <w:noProof/>
              </w:rPr>
            </w:pPr>
            <w:r>
              <w:rPr>
                <w:b/>
                <w:noProof/>
              </w:rPr>
              <w:t>Úkoly</w:t>
            </w:r>
          </w:p>
        </w:tc>
        <w:tc>
          <w:tcPr>
            <w:tcW w:w="2746" w:type="pct"/>
          </w:tcPr>
          <w:p w:rsidR="00557911" w:rsidRDefault="00623804">
            <w:pPr>
              <w:rPr>
                <w:b/>
                <w:noProof/>
              </w:rPr>
            </w:pPr>
            <w:r>
              <w:rPr>
                <w:b/>
                <w:noProof/>
              </w:rPr>
              <w:t>Požadované dodatečné zdroje</w:t>
            </w:r>
          </w:p>
        </w:tc>
      </w:tr>
      <w:tr w:rsidR="00557911">
        <w:tc>
          <w:tcPr>
            <w:tcW w:w="2254" w:type="pct"/>
          </w:tcPr>
          <w:p w:rsidR="00557911" w:rsidRDefault="00623804">
            <w:pPr>
              <w:rPr>
                <w:noProof/>
              </w:rPr>
            </w:pPr>
            <w:r>
              <w:rPr>
                <w:b/>
                <w:noProof/>
              </w:rPr>
              <w:t>Tvorba a provádění politiky EU a budování kapacit</w:t>
            </w:r>
          </w:p>
          <w:p w:rsidR="00557911" w:rsidRDefault="00557911">
            <w:pPr>
              <w:rPr>
                <w:noProof/>
              </w:rPr>
            </w:pPr>
          </w:p>
        </w:tc>
        <w:tc>
          <w:tcPr>
            <w:tcW w:w="2746" w:type="pct"/>
          </w:tcPr>
          <w:p w:rsidR="00557911" w:rsidRDefault="00623804">
            <w:pPr>
              <w:rPr>
                <w:noProof/>
              </w:rPr>
            </w:pPr>
            <w:r>
              <w:rPr>
                <w:noProof/>
              </w:rPr>
              <w:t>Úkoly by zahrnovaly pomoc skupině pro spolupráci, podporu jednotného uplatňování bezpečnosti sítí a informací v přeshraničním rozměru, pravidelné podávání zpráv o stavu provádění právního rámce EU; poskytovaní poradenství a zajišťování koordinace pro potře</w:t>
            </w:r>
            <w:r>
              <w:rPr>
                <w:noProof/>
              </w:rPr>
              <w:t>by odvětvových iniciativ v oblasti kybernetické bezpečnosti, včetně odvětví energetiky, dopravy (např. letecká/silniční/námořní doprava, propojená vozidla), zdravotnictví, finančnictví, poskytování podpory při zřizování středisek pro sdílení a analýzu info</w:t>
            </w:r>
            <w:r>
              <w:rPr>
                <w:noProof/>
              </w:rPr>
              <w:t xml:space="preserve">rmací (ISAC) v různých odvětvích. </w:t>
            </w:r>
          </w:p>
        </w:tc>
      </w:tr>
      <w:tr w:rsidR="00557911">
        <w:tc>
          <w:tcPr>
            <w:tcW w:w="2254" w:type="pct"/>
          </w:tcPr>
          <w:p w:rsidR="00557911" w:rsidRDefault="00623804">
            <w:pPr>
              <w:rPr>
                <w:b/>
                <w:noProof/>
              </w:rPr>
            </w:pPr>
            <w:r>
              <w:rPr>
                <w:b/>
                <w:noProof/>
              </w:rPr>
              <w:t>Operativní spolupráce a řešení krizí</w:t>
            </w:r>
            <w:r>
              <w:rPr>
                <w:noProof/>
              </w:rPr>
              <w:t xml:space="preserve"> </w:t>
            </w:r>
          </w:p>
        </w:tc>
        <w:tc>
          <w:tcPr>
            <w:tcW w:w="2746" w:type="pct"/>
          </w:tcPr>
          <w:p w:rsidR="00557911" w:rsidRDefault="00623804">
            <w:pPr>
              <w:rPr>
                <w:noProof/>
              </w:rPr>
            </w:pPr>
            <w:r>
              <w:rPr>
                <w:b/>
                <w:noProof/>
              </w:rPr>
              <w:t xml:space="preserve">Úkoly by zahrnovaly: </w:t>
            </w:r>
          </w:p>
          <w:p w:rsidR="00557911" w:rsidRDefault="00623804">
            <w:pPr>
              <w:rPr>
                <w:noProof/>
              </w:rPr>
            </w:pPr>
            <w:r>
              <w:rPr>
                <w:noProof/>
              </w:rPr>
              <w:t xml:space="preserve">Zajišťování služeb sekretariátu pro síť CSIRT, mimo jiné zajišťováním řádného fungování infrastruktury IT a komunikačních kanálů sítě CSIRT. Zajišťování strukturované spolupráce s týmem CERT-EU, centrem EC3 a dalšími příslušnými subjekty EU. </w:t>
            </w:r>
          </w:p>
          <w:p w:rsidR="00557911" w:rsidRDefault="00623804">
            <w:pPr>
              <w:rPr>
                <w:noProof/>
              </w:rPr>
            </w:pPr>
            <w:r>
              <w:rPr>
                <w:noProof/>
              </w:rPr>
              <w:t xml:space="preserve">Organizování </w:t>
            </w:r>
            <w:r>
              <w:rPr>
                <w:b/>
                <w:noProof/>
              </w:rPr>
              <w:t>cvičení Cyber Europe</w:t>
            </w:r>
            <w:r>
              <w:rPr>
                <w:rStyle w:val="FootnoteReference"/>
                <w:noProof/>
              </w:rPr>
              <w:footnoteReference w:id="57"/>
            </w:r>
            <w:r>
              <w:rPr>
                <w:noProof/>
              </w:rPr>
              <w:t xml:space="preserve"> – úkoly související se zvýšením četnosti cvičení z události konající se jednou za dva roky na každoroční událost a zajištěním toho, aby cvičení pokrývala incident od jeho začátku až do konce.  </w:t>
            </w:r>
          </w:p>
          <w:p w:rsidR="00557911" w:rsidRDefault="00623804">
            <w:pPr>
              <w:rPr>
                <w:noProof/>
              </w:rPr>
            </w:pPr>
            <w:r>
              <w:rPr>
                <w:b/>
                <w:noProof/>
              </w:rPr>
              <w:t>Technická pomoc</w:t>
            </w:r>
            <w:r>
              <w:rPr>
                <w:noProof/>
              </w:rPr>
              <w:t xml:space="preserve"> – úkoly by zahrnovaly st</w:t>
            </w:r>
            <w:r>
              <w:rPr>
                <w:noProof/>
              </w:rPr>
              <w:t>rukturovanou spolupráci s týmem CERT-EU za účelem poskytnutí technické pomoci v případě významných incidentů a podporu analýzy incidentů. Součástí by bylo poskytnout členským státům pomoc při řešení incidentů a analýze zranitelností, artefaktů a incidentů.</w:t>
            </w:r>
            <w:r>
              <w:rPr>
                <w:noProof/>
              </w:rPr>
              <w:t xml:space="preserve"> Usnadnění spolupráce mezi jednotlivými členskými státy při řešení reakcí na mimořádné události analýzou a agregováním vnitrostátních situačních zpráv na základě informací, které agentuře poskytnou členské státy a jiné subjekty.</w:t>
            </w:r>
          </w:p>
          <w:p w:rsidR="00557911" w:rsidRDefault="00623804">
            <w:pPr>
              <w:rPr>
                <w:noProof/>
              </w:rPr>
            </w:pPr>
            <w:r>
              <w:rPr>
                <w:b/>
                <w:noProof/>
              </w:rPr>
              <w:t>Plán koordinované reakce na</w:t>
            </w:r>
            <w:r>
              <w:rPr>
                <w:b/>
                <w:noProof/>
              </w:rPr>
              <w:t xml:space="preserve"> rozsáhlé přeshraniční kybernetické incidenty</w:t>
            </w:r>
            <w:r>
              <w:rPr>
                <w:noProof/>
              </w:rPr>
              <w:t xml:space="preserve"> – agentura bude na úrovni Unie a členských států přispívat k rozvoji koordinované reakce na rozsáhlé přeshraniční incidenty nebo krize související s kybernetickou bezpečností řadou úkolů od podpory vytváření po</w:t>
            </w:r>
            <w:r>
              <w:rPr>
                <w:noProof/>
              </w:rPr>
              <w:t xml:space="preserve">vědomí o situaci na úrovni Unie až po zkoušení plánů spolupráce v případě incidentů.  </w:t>
            </w:r>
          </w:p>
          <w:p w:rsidR="00557911" w:rsidRDefault="00623804">
            <w:pPr>
              <w:spacing w:before="0" w:after="0"/>
              <w:rPr>
                <w:noProof/>
              </w:rPr>
            </w:pPr>
            <w:r>
              <w:rPr>
                <w:b/>
                <w:noProof/>
              </w:rPr>
              <w:t>Technická šetření incidentů</w:t>
            </w:r>
            <w:r>
              <w:rPr>
                <w:noProof/>
              </w:rPr>
              <w:t xml:space="preserve"> </w:t>
            </w:r>
            <w:r>
              <w:rPr>
                <w:i/>
                <w:noProof/>
              </w:rPr>
              <w:t>ex post</w:t>
            </w:r>
            <w:r>
              <w:rPr>
                <w:noProof/>
              </w:rPr>
              <w:t xml:space="preserve"> – ve spolupráci se sítí CSIRT provádět technická šetření incidentů </w:t>
            </w:r>
            <w:r>
              <w:rPr>
                <w:i/>
                <w:noProof/>
              </w:rPr>
              <w:t>ex post</w:t>
            </w:r>
            <w:r>
              <w:rPr>
                <w:noProof/>
              </w:rPr>
              <w:t xml:space="preserve"> nebo k nim přispívat s cílem posilovat schopnosti a vydáva</w:t>
            </w:r>
            <w:r>
              <w:rPr>
                <w:noProof/>
              </w:rPr>
              <w:t xml:space="preserve">t doporučení ve formě veřejných zpráv, aby bylo možné lépe předcházet budoucím incidentům. </w:t>
            </w:r>
          </w:p>
          <w:p w:rsidR="00557911" w:rsidRDefault="00557911">
            <w:pPr>
              <w:spacing w:before="0" w:after="0"/>
              <w:rPr>
                <w:noProof/>
              </w:rPr>
            </w:pPr>
          </w:p>
          <w:p w:rsidR="00557911" w:rsidRDefault="00557911">
            <w:pPr>
              <w:spacing w:before="0" w:after="0"/>
              <w:rPr>
                <w:noProof/>
              </w:rPr>
            </w:pPr>
          </w:p>
        </w:tc>
      </w:tr>
      <w:tr w:rsidR="00557911">
        <w:tc>
          <w:tcPr>
            <w:tcW w:w="2254" w:type="pct"/>
          </w:tcPr>
          <w:p w:rsidR="00557911" w:rsidRDefault="00623804">
            <w:pPr>
              <w:rPr>
                <w:b/>
                <w:noProof/>
              </w:rPr>
            </w:pPr>
            <w:r>
              <w:rPr>
                <w:b/>
                <w:noProof/>
              </w:rPr>
              <w:t xml:space="preserve">Úkoly související s trhem (normalizace, certifikace) </w:t>
            </w:r>
          </w:p>
        </w:tc>
        <w:tc>
          <w:tcPr>
            <w:tcW w:w="2746" w:type="pct"/>
          </w:tcPr>
          <w:p w:rsidR="00557911" w:rsidRDefault="00623804">
            <w:pPr>
              <w:spacing w:before="0" w:after="0"/>
              <w:rPr>
                <w:noProof/>
              </w:rPr>
            </w:pPr>
            <w:r>
              <w:rPr>
                <w:noProof/>
              </w:rPr>
              <w:t xml:space="preserve">Úkoly by zahrnovaly aktivní podporu činností prováděných v rámci rámce pro certifikaci, včetně poskytování </w:t>
            </w:r>
            <w:r>
              <w:rPr>
                <w:noProof/>
              </w:rPr>
              <w:t>technických odborných znalostí pro vypracování návrhů evropských systémů certifikace kybernetické bezpečnosti. Úkoly by rovněž zahrnovaly podporu tvorby a provádění politiky Unie v oblasti normalizace, certifikace a sledování trhu – to si vyžádá snazší zav</w:t>
            </w:r>
            <w:r>
              <w:rPr>
                <w:noProof/>
              </w:rPr>
              <w:t>ádění norem pro řízení rizik u elektronických produktů, sítí a služeb a poskytování poradenství provozovatelům základních služeb a poskytovatelům digitálních služeb ohledně technických bezpečnostních požadavků. Úkoly by rovněž zahrnovaly poskytování analýz</w:t>
            </w:r>
            <w:r>
              <w:rPr>
                <w:noProof/>
              </w:rPr>
              <w:t xml:space="preserve">y hlavních trendů na trhu kybernetické bezpečnosti. </w:t>
            </w:r>
          </w:p>
        </w:tc>
      </w:tr>
      <w:tr w:rsidR="00557911">
        <w:tc>
          <w:tcPr>
            <w:tcW w:w="2254" w:type="pct"/>
          </w:tcPr>
          <w:p w:rsidR="00557911" w:rsidRDefault="00623804">
            <w:pPr>
              <w:rPr>
                <w:noProof/>
              </w:rPr>
            </w:pPr>
            <w:r>
              <w:rPr>
                <w:b/>
                <w:noProof/>
              </w:rPr>
              <w:t>Znalosti, informace a zvyšování informovanosti</w:t>
            </w:r>
            <w:r>
              <w:rPr>
                <w:noProof/>
              </w:rPr>
              <w:t xml:space="preserve"> </w:t>
            </w:r>
          </w:p>
        </w:tc>
        <w:tc>
          <w:tcPr>
            <w:tcW w:w="2746" w:type="pct"/>
          </w:tcPr>
          <w:p w:rsidR="00557911" w:rsidRDefault="00623804">
            <w:pPr>
              <w:spacing w:before="0" w:after="0"/>
              <w:rPr>
                <w:noProof/>
              </w:rPr>
            </w:pPr>
            <w:r>
              <w:rPr>
                <w:noProof/>
              </w:rPr>
              <w:t xml:space="preserve">S cílem zajistit snazší přístup k lépe strukturovaným informacím o rizicích kybernetické bezpečnosti a o potenciálních prostředcích nápravy návrh svěřuje </w:t>
            </w:r>
            <w:r>
              <w:rPr>
                <w:noProof/>
              </w:rPr>
              <w:t>agentuře nový úkol, a to vytvořit a spravovat „informační centrum“ Unie. Úkol by zahrnoval shromažďování a uspořádávání informací o bezpečnosti sítí a informačních systémů, zejména pak kybernetické bezpečnosti, poskytnutých orgány a dalšími subjekty EU, a </w:t>
            </w:r>
            <w:r>
              <w:rPr>
                <w:noProof/>
              </w:rPr>
              <w:t xml:space="preserve">jejich zpřístupňování veřejnosti prostřednictvím specializovaného portálu. Úkoly by rovněž zahrnovaly podporu činností agentury ENISA v oblasti zvyšování informovanosti, čímž by agentura měla více zviditelnit své úsilí. </w:t>
            </w:r>
          </w:p>
        </w:tc>
      </w:tr>
    </w:tbl>
    <w:p w:rsidR="00557911" w:rsidRDefault="00623804">
      <w:pPr>
        <w:spacing w:before="0" w:after="0"/>
        <w:jc w:val="left"/>
        <w:rPr>
          <w:noProof/>
        </w:rPr>
      </w:pPr>
      <w:r>
        <w:rPr>
          <w:noProof/>
        </w:rPr>
        <w:br w:type="page"/>
      </w:r>
    </w:p>
    <w:p w:rsidR="00557911" w:rsidRDefault="00557911">
      <w:pPr>
        <w:rPr>
          <w:noProof/>
        </w:rPr>
      </w:pPr>
    </w:p>
    <w:p w:rsidR="00557911" w:rsidRDefault="00623804">
      <w:pPr>
        <w:pStyle w:val="ManualHeading4"/>
        <w:rPr>
          <w:bCs/>
          <w:noProof/>
          <w:szCs w:val="24"/>
        </w:rPr>
      </w:pPr>
      <w:r>
        <w:t>3.2.3.2.</w:t>
      </w:r>
      <w:r>
        <w:tab/>
      </w:r>
      <w:r>
        <w:rPr>
          <w:noProof/>
        </w:rPr>
        <w:t>Odhadované potřeby v o</w:t>
      </w:r>
      <w:r>
        <w:rPr>
          <w:noProof/>
        </w:rPr>
        <w:t>blasti lidských zdrojů mateřského GŘ</w:t>
      </w:r>
    </w:p>
    <w:p w:rsidR="00557911" w:rsidRDefault="00623804">
      <w:pPr>
        <w:pStyle w:val="Tiret1"/>
        <w:rPr>
          <w:noProof/>
        </w:rPr>
      </w:pPr>
      <w:r>
        <w:rPr>
          <w:noProof/>
        </w:rPr>
        <w:sym w:font="Wingdings" w:char="F0A8"/>
      </w:r>
      <w:r>
        <w:rPr>
          <w:noProof/>
        </w:rPr>
        <w:tab/>
        <w:t xml:space="preserve">Návrh/podnět nevyžaduje využití lidských zdrojů. </w:t>
      </w:r>
    </w:p>
    <w:p w:rsidR="00557911" w:rsidRDefault="00623804">
      <w:pPr>
        <w:pStyle w:val="Tiret1"/>
        <w:rPr>
          <w:noProof/>
        </w:rPr>
      </w:pPr>
      <w:r>
        <w:rPr>
          <w:noProof/>
        </w:rPr>
        <w:sym w:font="Wingdings" w:char="F078"/>
      </w:r>
      <w:r>
        <w:rPr>
          <w:noProof/>
        </w:rPr>
        <w:tab/>
        <w:t>Návrh/podnět vyžaduje využití lidských zdrojů, jak je vysvětleno dále:</w:t>
      </w:r>
    </w:p>
    <w:p w:rsidR="00557911" w:rsidRDefault="00557911">
      <w:pPr>
        <w:rPr>
          <w:noProof/>
        </w:rPr>
      </w:pPr>
    </w:p>
    <w:p w:rsidR="00557911" w:rsidRDefault="00623804">
      <w:pPr>
        <w:spacing w:after="60"/>
        <w:jc w:val="right"/>
        <w:rPr>
          <w:i/>
          <w:noProof/>
          <w:sz w:val="20"/>
        </w:rPr>
      </w:pPr>
      <w:r>
        <w:rPr>
          <w:i/>
          <w:noProof/>
          <w:sz w:val="20"/>
        </w:rPr>
        <w:t>Odhad vyjádřete v celých číslech (nebo zaokrouhlete nejvýše na jedno desetinné místo)</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9"/>
        <w:gridCol w:w="991"/>
        <w:gridCol w:w="1136"/>
        <w:gridCol w:w="1136"/>
        <w:gridCol w:w="1274"/>
        <w:gridCol w:w="1235"/>
      </w:tblGrid>
      <w:tr w:rsidR="00557911">
        <w:trPr>
          <w:trHeight w:val="289"/>
          <w:jc w:val="center"/>
        </w:trPr>
        <w:tc>
          <w:tcPr>
            <w:tcW w:w="1687" w:type="pct"/>
            <w:shd w:val="clear" w:color="auto" w:fill="auto"/>
            <w:vAlign w:val="center"/>
          </w:tcPr>
          <w:p w:rsidR="00557911" w:rsidRDefault="00557911">
            <w:pPr>
              <w:pStyle w:val="Text1"/>
              <w:spacing w:before="40" w:after="40"/>
              <w:ind w:left="0"/>
              <w:jc w:val="center"/>
              <w:rPr>
                <w:i/>
                <w:noProof/>
                <w:sz w:val="20"/>
              </w:rPr>
            </w:pPr>
          </w:p>
        </w:tc>
        <w:tc>
          <w:tcPr>
            <w:tcW w:w="569" w:type="pct"/>
            <w:vAlign w:val="center"/>
          </w:tcPr>
          <w:p w:rsidR="00557911" w:rsidRDefault="00557911">
            <w:pPr>
              <w:spacing w:before="0" w:after="0"/>
              <w:jc w:val="center"/>
              <w:rPr>
                <w:rFonts w:eastAsia="Calibri"/>
                <w:noProof/>
                <w:sz w:val="22"/>
              </w:rPr>
            </w:pPr>
          </w:p>
        </w:tc>
        <w:tc>
          <w:tcPr>
            <w:tcW w:w="2744" w:type="pct"/>
            <w:gridSpan w:val="4"/>
            <w:shd w:val="clear" w:color="auto" w:fill="auto"/>
            <w:vAlign w:val="center"/>
          </w:tcPr>
          <w:p w:rsidR="00557911" w:rsidRDefault="00623804">
            <w:pPr>
              <w:spacing w:before="20" w:after="20"/>
              <w:jc w:val="center"/>
              <w:rPr>
                <w:rFonts w:eastAsia="Calibri"/>
                <w:noProof/>
                <w:sz w:val="22"/>
              </w:rPr>
            </w:pPr>
            <w:r>
              <w:rPr>
                <w:noProof/>
                <w:sz w:val="22"/>
              </w:rPr>
              <w:t xml:space="preserve">Dodateční zaměstnanci </w:t>
            </w:r>
          </w:p>
        </w:tc>
      </w:tr>
      <w:tr w:rsidR="00557911">
        <w:trPr>
          <w:trHeight w:val="289"/>
          <w:jc w:val="center"/>
        </w:trPr>
        <w:tc>
          <w:tcPr>
            <w:tcW w:w="1687" w:type="pct"/>
            <w:shd w:val="clear" w:color="auto" w:fill="auto"/>
            <w:vAlign w:val="center"/>
          </w:tcPr>
          <w:p w:rsidR="00557911" w:rsidRDefault="00557911">
            <w:pPr>
              <w:pStyle w:val="Text1"/>
              <w:spacing w:before="40" w:after="40"/>
              <w:ind w:left="0"/>
              <w:jc w:val="center"/>
              <w:rPr>
                <w:i/>
                <w:noProof/>
                <w:sz w:val="20"/>
              </w:rPr>
            </w:pPr>
          </w:p>
        </w:tc>
        <w:tc>
          <w:tcPr>
            <w:tcW w:w="569" w:type="pct"/>
            <w:vAlign w:val="center"/>
          </w:tcPr>
          <w:p w:rsidR="00557911" w:rsidRDefault="00623804">
            <w:pPr>
              <w:spacing w:before="0" w:after="0"/>
              <w:jc w:val="center"/>
              <w:rPr>
                <w:rFonts w:eastAsia="Calibri"/>
                <w:noProof/>
                <w:sz w:val="22"/>
              </w:rPr>
            </w:pPr>
            <w:r>
              <w:rPr>
                <w:noProof/>
                <w:sz w:val="22"/>
              </w:rPr>
              <w:t>Výchozí rok 2017</w:t>
            </w:r>
          </w:p>
        </w:tc>
        <w:tc>
          <w:tcPr>
            <w:tcW w:w="652" w:type="pct"/>
            <w:shd w:val="clear" w:color="auto" w:fill="auto"/>
            <w:vAlign w:val="center"/>
          </w:tcPr>
          <w:p w:rsidR="00557911" w:rsidRDefault="00623804">
            <w:pPr>
              <w:spacing w:before="20" w:after="20"/>
              <w:jc w:val="center"/>
              <w:rPr>
                <w:rFonts w:eastAsia="Calibri"/>
                <w:noProof/>
                <w:sz w:val="22"/>
              </w:rPr>
            </w:pPr>
            <w:r>
              <w:rPr>
                <w:noProof/>
                <w:sz w:val="22"/>
              </w:rPr>
              <w:t>3./4. čtvrtletí</w:t>
            </w:r>
          </w:p>
          <w:p w:rsidR="00557911" w:rsidRDefault="00623804">
            <w:pPr>
              <w:spacing w:before="20" w:after="20"/>
              <w:jc w:val="center"/>
              <w:rPr>
                <w:noProof/>
                <w:sz w:val="20"/>
              </w:rPr>
            </w:pPr>
            <w:r>
              <w:rPr>
                <w:noProof/>
                <w:sz w:val="22"/>
              </w:rPr>
              <w:t>2019</w:t>
            </w:r>
          </w:p>
        </w:tc>
        <w:tc>
          <w:tcPr>
            <w:tcW w:w="652" w:type="pct"/>
            <w:shd w:val="clear" w:color="auto" w:fill="auto"/>
            <w:vAlign w:val="center"/>
          </w:tcPr>
          <w:p w:rsidR="00557911" w:rsidRDefault="00623804">
            <w:pPr>
              <w:spacing w:before="20" w:after="20"/>
              <w:jc w:val="center"/>
              <w:rPr>
                <w:noProof/>
                <w:sz w:val="20"/>
              </w:rPr>
            </w:pPr>
            <w:r>
              <w:rPr>
                <w:noProof/>
                <w:sz w:val="22"/>
              </w:rPr>
              <w:t>2020</w:t>
            </w:r>
          </w:p>
        </w:tc>
        <w:tc>
          <w:tcPr>
            <w:tcW w:w="731" w:type="pct"/>
            <w:shd w:val="clear" w:color="auto" w:fill="auto"/>
            <w:vAlign w:val="center"/>
          </w:tcPr>
          <w:p w:rsidR="00557911" w:rsidRDefault="00623804">
            <w:pPr>
              <w:spacing w:before="20" w:after="20"/>
              <w:jc w:val="center"/>
              <w:rPr>
                <w:noProof/>
                <w:sz w:val="20"/>
              </w:rPr>
            </w:pPr>
            <w:r>
              <w:rPr>
                <w:noProof/>
                <w:sz w:val="22"/>
              </w:rPr>
              <w:t>2021</w:t>
            </w:r>
          </w:p>
        </w:tc>
        <w:tc>
          <w:tcPr>
            <w:tcW w:w="709" w:type="pct"/>
            <w:vAlign w:val="center"/>
          </w:tcPr>
          <w:p w:rsidR="00557911" w:rsidRDefault="00623804">
            <w:pPr>
              <w:spacing w:before="20" w:after="20"/>
              <w:jc w:val="center"/>
              <w:rPr>
                <w:rFonts w:eastAsia="Calibri"/>
                <w:noProof/>
                <w:sz w:val="22"/>
              </w:rPr>
            </w:pPr>
            <w:r>
              <w:rPr>
                <w:noProof/>
                <w:sz w:val="22"/>
              </w:rPr>
              <w:t>2020</w:t>
            </w:r>
          </w:p>
        </w:tc>
      </w:tr>
      <w:tr w:rsidR="00557911">
        <w:trPr>
          <w:trHeight w:val="289"/>
          <w:jc w:val="center"/>
        </w:trPr>
        <w:tc>
          <w:tcPr>
            <w:tcW w:w="1687" w:type="pct"/>
            <w:shd w:val="clear" w:color="auto" w:fill="auto"/>
            <w:vAlign w:val="center"/>
          </w:tcPr>
          <w:p w:rsidR="00557911" w:rsidRDefault="00623804">
            <w:pPr>
              <w:pStyle w:val="Text1"/>
              <w:numPr>
                <w:ilvl w:val="0"/>
                <w:numId w:val="13"/>
              </w:numPr>
              <w:tabs>
                <w:tab w:val="left" w:pos="208"/>
              </w:tabs>
              <w:spacing w:beforeLines="20" w:before="48" w:afterLines="20" w:after="48"/>
              <w:ind w:left="208" w:hanging="120"/>
              <w:jc w:val="left"/>
              <w:rPr>
                <w:b/>
                <w:noProof/>
                <w:sz w:val="20"/>
              </w:rPr>
            </w:pPr>
            <w:r>
              <w:rPr>
                <w:b/>
                <w:noProof/>
                <w:sz w:val="20"/>
              </w:rPr>
              <w:t>Pracovní místa podle plánu pracovních míst (místa úředníků a dočasných zaměstnanců)</w:t>
            </w:r>
          </w:p>
        </w:tc>
        <w:tc>
          <w:tcPr>
            <w:tcW w:w="569" w:type="pct"/>
            <w:shd w:val="clear" w:color="auto" w:fill="D9D9D9" w:themeFill="background1" w:themeFillShade="D9"/>
          </w:tcPr>
          <w:p w:rsidR="00557911" w:rsidRDefault="00557911">
            <w:pPr>
              <w:spacing w:beforeLines="20" w:before="48" w:afterLines="20" w:after="48"/>
              <w:jc w:val="center"/>
              <w:rPr>
                <w:noProof/>
                <w:sz w:val="20"/>
              </w:rPr>
            </w:pPr>
          </w:p>
        </w:tc>
        <w:tc>
          <w:tcPr>
            <w:tcW w:w="652" w:type="pct"/>
            <w:shd w:val="clear" w:color="auto" w:fill="auto"/>
            <w:vAlign w:val="center"/>
          </w:tcPr>
          <w:p w:rsidR="00557911" w:rsidRDefault="00557911">
            <w:pPr>
              <w:spacing w:beforeLines="20" w:before="48" w:afterLines="20" w:after="48"/>
              <w:jc w:val="center"/>
              <w:rPr>
                <w:noProof/>
                <w:sz w:val="20"/>
              </w:rPr>
            </w:pPr>
          </w:p>
        </w:tc>
        <w:tc>
          <w:tcPr>
            <w:tcW w:w="652" w:type="pct"/>
            <w:shd w:val="clear" w:color="auto" w:fill="auto"/>
            <w:vAlign w:val="center"/>
          </w:tcPr>
          <w:p w:rsidR="00557911" w:rsidRDefault="00557911">
            <w:pPr>
              <w:spacing w:beforeLines="20" w:before="48" w:afterLines="20" w:after="48"/>
              <w:jc w:val="center"/>
              <w:rPr>
                <w:noProof/>
                <w:sz w:val="20"/>
              </w:rPr>
            </w:pPr>
          </w:p>
        </w:tc>
        <w:tc>
          <w:tcPr>
            <w:tcW w:w="731" w:type="pct"/>
            <w:shd w:val="clear" w:color="auto" w:fill="auto"/>
            <w:vAlign w:val="center"/>
          </w:tcPr>
          <w:p w:rsidR="00557911" w:rsidRDefault="00557911">
            <w:pPr>
              <w:spacing w:beforeLines="20" w:before="48" w:afterLines="20" w:after="48"/>
              <w:jc w:val="center"/>
              <w:rPr>
                <w:noProof/>
                <w:sz w:val="20"/>
              </w:rPr>
            </w:pPr>
          </w:p>
        </w:tc>
        <w:tc>
          <w:tcPr>
            <w:tcW w:w="709" w:type="pct"/>
          </w:tcPr>
          <w:p w:rsidR="00557911" w:rsidRDefault="00557911">
            <w:pPr>
              <w:spacing w:beforeLines="20" w:before="48" w:afterLines="20" w:after="48"/>
              <w:jc w:val="center"/>
              <w:rPr>
                <w:noProof/>
                <w:sz w:val="20"/>
              </w:rPr>
            </w:pPr>
          </w:p>
        </w:tc>
      </w:tr>
      <w:tr w:rsidR="00557911">
        <w:trPr>
          <w:trHeight w:val="289"/>
          <w:jc w:val="center"/>
        </w:trPr>
        <w:tc>
          <w:tcPr>
            <w:tcW w:w="1687" w:type="pct"/>
            <w:shd w:val="clear" w:color="auto" w:fill="auto"/>
            <w:vAlign w:val="center"/>
          </w:tcPr>
          <w:p w:rsidR="00557911" w:rsidRDefault="00623804">
            <w:pPr>
              <w:pStyle w:val="Text1"/>
              <w:spacing w:beforeLines="20" w:before="48" w:afterLines="20" w:after="48"/>
              <w:ind w:left="984"/>
              <w:jc w:val="left"/>
              <w:rPr>
                <w:b/>
                <w:noProof/>
                <w:sz w:val="20"/>
              </w:rPr>
            </w:pPr>
            <w:r>
              <w:rPr>
                <w:noProof/>
                <w:sz w:val="20"/>
              </w:rPr>
              <w:t>09 01 01 01 (v ústředí a v zastoupeních Komise)</w:t>
            </w:r>
          </w:p>
        </w:tc>
        <w:tc>
          <w:tcPr>
            <w:tcW w:w="569" w:type="pct"/>
            <w:shd w:val="clear" w:color="auto" w:fill="D9D9D9" w:themeFill="background1" w:themeFillShade="D9"/>
            <w:vAlign w:val="center"/>
          </w:tcPr>
          <w:p w:rsidR="00557911" w:rsidRDefault="00557911">
            <w:pPr>
              <w:spacing w:before="0" w:after="0"/>
              <w:jc w:val="center"/>
              <w:rPr>
                <w:noProof/>
                <w:sz w:val="20"/>
              </w:rPr>
            </w:pPr>
          </w:p>
          <w:p w:rsidR="00557911" w:rsidRDefault="00623804">
            <w:pPr>
              <w:spacing w:before="0" w:after="0"/>
              <w:jc w:val="center"/>
              <w:rPr>
                <w:noProof/>
                <w:sz w:val="20"/>
              </w:rPr>
            </w:pPr>
            <w:r>
              <w:rPr>
                <w:noProof/>
                <w:sz w:val="20"/>
              </w:rPr>
              <w:t>1</w:t>
            </w:r>
          </w:p>
        </w:tc>
        <w:tc>
          <w:tcPr>
            <w:tcW w:w="652" w:type="pct"/>
            <w:shd w:val="clear" w:color="auto" w:fill="auto"/>
            <w:vAlign w:val="center"/>
          </w:tcPr>
          <w:p w:rsidR="00557911" w:rsidRDefault="00623804">
            <w:pPr>
              <w:spacing w:before="0" w:after="0"/>
              <w:jc w:val="center"/>
              <w:rPr>
                <w:noProof/>
                <w:sz w:val="20"/>
              </w:rPr>
            </w:pPr>
            <w:r>
              <w:rPr>
                <w:noProof/>
                <w:sz w:val="20"/>
              </w:rPr>
              <w:t>2</w:t>
            </w:r>
          </w:p>
        </w:tc>
        <w:tc>
          <w:tcPr>
            <w:tcW w:w="652" w:type="pct"/>
            <w:shd w:val="clear" w:color="auto" w:fill="auto"/>
            <w:vAlign w:val="center"/>
          </w:tcPr>
          <w:p w:rsidR="00557911" w:rsidRDefault="00623804">
            <w:pPr>
              <w:spacing w:before="0" w:after="0"/>
              <w:jc w:val="center"/>
              <w:rPr>
                <w:noProof/>
                <w:sz w:val="20"/>
              </w:rPr>
            </w:pPr>
            <w:r>
              <w:rPr>
                <w:noProof/>
                <w:sz w:val="20"/>
              </w:rPr>
              <w:t>3</w:t>
            </w:r>
          </w:p>
        </w:tc>
        <w:tc>
          <w:tcPr>
            <w:tcW w:w="731" w:type="pct"/>
            <w:shd w:val="clear" w:color="auto" w:fill="auto"/>
            <w:vAlign w:val="center"/>
          </w:tcPr>
          <w:p w:rsidR="00557911" w:rsidRDefault="00557911">
            <w:pPr>
              <w:spacing w:before="0" w:after="0"/>
              <w:jc w:val="center"/>
              <w:rPr>
                <w:noProof/>
                <w:sz w:val="20"/>
              </w:rPr>
            </w:pPr>
          </w:p>
        </w:tc>
        <w:tc>
          <w:tcPr>
            <w:tcW w:w="709" w:type="pct"/>
            <w:vAlign w:val="center"/>
          </w:tcPr>
          <w:p w:rsidR="00557911" w:rsidRDefault="00557911">
            <w:pPr>
              <w:spacing w:before="0" w:after="0"/>
              <w:jc w:val="center"/>
              <w:rPr>
                <w:noProof/>
                <w:sz w:val="20"/>
              </w:rPr>
            </w:pPr>
          </w:p>
        </w:tc>
      </w:tr>
      <w:tr w:rsidR="00557911">
        <w:trPr>
          <w:trHeight w:val="289"/>
          <w:jc w:val="center"/>
        </w:trPr>
        <w:tc>
          <w:tcPr>
            <w:tcW w:w="1687" w:type="pct"/>
            <w:shd w:val="clear" w:color="auto" w:fill="auto"/>
            <w:vAlign w:val="center"/>
          </w:tcPr>
          <w:p w:rsidR="00557911" w:rsidRDefault="00623804">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 xml:space="preserve">Externí zaměstnanci </w:t>
            </w:r>
            <w:r>
              <w:rPr>
                <w:b/>
                <w:noProof/>
              </w:rPr>
              <w:t>(v přepočtu na plné pracovní úvazky:</w:t>
            </w:r>
            <w:r>
              <w:rPr>
                <w:b/>
                <w:noProof/>
                <w:sz w:val="20"/>
              </w:rPr>
              <w:t xml:space="preserve"> ekvivalent plného pracovního úvazku)</w:t>
            </w:r>
            <w:r>
              <w:rPr>
                <w:rStyle w:val="FootnoteReference"/>
                <w:noProof/>
              </w:rPr>
              <w:footnoteReference w:id="58"/>
            </w:r>
          </w:p>
        </w:tc>
        <w:tc>
          <w:tcPr>
            <w:tcW w:w="569" w:type="pct"/>
            <w:shd w:val="clear" w:color="auto" w:fill="D9D9D9" w:themeFill="background1" w:themeFillShade="D9"/>
            <w:vAlign w:val="center"/>
          </w:tcPr>
          <w:p w:rsidR="00557911" w:rsidRDefault="00557911">
            <w:pPr>
              <w:spacing w:before="0" w:after="0"/>
              <w:jc w:val="center"/>
              <w:rPr>
                <w:noProof/>
                <w:sz w:val="20"/>
              </w:rPr>
            </w:pPr>
          </w:p>
        </w:tc>
        <w:tc>
          <w:tcPr>
            <w:tcW w:w="652" w:type="pct"/>
            <w:shd w:val="clear" w:color="auto" w:fill="auto"/>
            <w:vAlign w:val="center"/>
          </w:tcPr>
          <w:p w:rsidR="00557911" w:rsidRDefault="00557911">
            <w:pPr>
              <w:spacing w:before="0" w:after="0"/>
              <w:jc w:val="center"/>
              <w:rPr>
                <w:noProof/>
                <w:sz w:val="20"/>
              </w:rPr>
            </w:pPr>
          </w:p>
        </w:tc>
        <w:tc>
          <w:tcPr>
            <w:tcW w:w="652" w:type="pct"/>
            <w:shd w:val="clear" w:color="auto" w:fill="auto"/>
            <w:vAlign w:val="center"/>
          </w:tcPr>
          <w:p w:rsidR="00557911" w:rsidRDefault="00557911">
            <w:pPr>
              <w:spacing w:before="0" w:after="0"/>
              <w:jc w:val="center"/>
              <w:rPr>
                <w:noProof/>
                <w:sz w:val="20"/>
              </w:rPr>
            </w:pPr>
          </w:p>
        </w:tc>
        <w:tc>
          <w:tcPr>
            <w:tcW w:w="731" w:type="pct"/>
            <w:shd w:val="clear" w:color="auto" w:fill="auto"/>
            <w:vAlign w:val="center"/>
          </w:tcPr>
          <w:p w:rsidR="00557911" w:rsidRDefault="00557911">
            <w:pPr>
              <w:spacing w:before="0" w:after="0"/>
              <w:jc w:val="center"/>
              <w:rPr>
                <w:noProof/>
                <w:sz w:val="20"/>
              </w:rPr>
            </w:pPr>
          </w:p>
        </w:tc>
        <w:tc>
          <w:tcPr>
            <w:tcW w:w="709" w:type="pct"/>
            <w:vAlign w:val="center"/>
          </w:tcPr>
          <w:p w:rsidR="00557911" w:rsidRDefault="00557911">
            <w:pPr>
              <w:spacing w:before="0" w:after="0"/>
              <w:jc w:val="center"/>
              <w:rPr>
                <w:noProof/>
                <w:sz w:val="20"/>
              </w:rPr>
            </w:pPr>
          </w:p>
        </w:tc>
      </w:tr>
      <w:tr w:rsidR="00557911">
        <w:trPr>
          <w:trHeight w:val="289"/>
          <w:jc w:val="center"/>
        </w:trPr>
        <w:tc>
          <w:tcPr>
            <w:tcW w:w="1687" w:type="pct"/>
            <w:shd w:val="clear" w:color="auto" w:fill="auto"/>
            <w:vAlign w:val="center"/>
          </w:tcPr>
          <w:p w:rsidR="00557911" w:rsidRDefault="00623804">
            <w:pPr>
              <w:pStyle w:val="Text1"/>
              <w:spacing w:beforeLines="20" w:before="48" w:afterLines="20" w:after="48"/>
              <w:ind w:left="986"/>
              <w:jc w:val="left"/>
              <w:rPr>
                <w:b/>
                <w:noProof/>
                <w:sz w:val="20"/>
              </w:rPr>
            </w:pPr>
            <w:r>
              <w:rPr>
                <w:noProof/>
                <w:sz w:val="20"/>
              </w:rPr>
              <w:t>09 01 02 01 (SZ, VNO, ZAP z celkového rámce)</w:t>
            </w:r>
          </w:p>
        </w:tc>
        <w:tc>
          <w:tcPr>
            <w:tcW w:w="569" w:type="pct"/>
            <w:shd w:val="clear" w:color="auto" w:fill="D9D9D9" w:themeFill="background1" w:themeFillShade="D9"/>
            <w:vAlign w:val="center"/>
          </w:tcPr>
          <w:p w:rsidR="00557911" w:rsidRDefault="00557911">
            <w:pPr>
              <w:spacing w:before="0" w:after="0"/>
              <w:jc w:val="center"/>
              <w:rPr>
                <w:noProof/>
                <w:sz w:val="20"/>
              </w:rPr>
            </w:pPr>
          </w:p>
          <w:p w:rsidR="00557911" w:rsidRDefault="00623804">
            <w:pPr>
              <w:spacing w:before="0" w:after="0"/>
              <w:jc w:val="center"/>
              <w:rPr>
                <w:noProof/>
                <w:sz w:val="20"/>
              </w:rPr>
            </w:pPr>
            <w:r>
              <w:rPr>
                <w:noProof/>
                <w:sz w:val="20"/>
              </w:rPr>
              <w:t>1</w:t>
            </w:r>
          </w:p>
          <w:p w:rsidR="00557911" w:rsidRDefault="00557911">
            <w:pPr>
              <w:spacing w:before="0" w:after="0"/>
              <w:jc w:val="center"/>
              <w:rPr>
                <w:noProof/>
                <w:sz w:val="20"/>
              </w:rPr>
            </w:pPr>
          </w:p>
        </w:tc>
        <w:tc>
          <w:tcPr>
            <w:tcW w:w="652" w:type="pct"/>
            <w:shd w:val="clear" w:color="auto" w:fill="auto"/>
            <w:vAlign w:val="center"/>
          </w:tcPr>
          <w:p w:rsidR="00557911" w:rsidRDefault="00623804">
            <w:pPr>
              <w:spacing w:before="0" w:after="0"/>
              <w:jc w:val="center"/>
              <w:rPr>
                <w:noProof/>
                <w:sz w:val="20"/>
              </w:rPr>
            </w:pPr>
            <w:r>
              <w:rPr>
                <w:noProof/>
                <w:sz w:val="20"/>
              </w:rPr>
              <w:t>2</w:t>
            </w:r>
          </w:p>
        </w:tc>
        <w:tc>
          <w:tcPr>
            <w:tcW w:w="652" w:type="pct"/>
            <w:shd w:val="clear" w:color="auto" w:fill="auto"/>
            <w:vAlign w:val="center"/>
          </w:tcPr>
          <w:p w:rsidR="00557911" w:rsidRDefault="00557911">
            <w:pPr>
              <w:spacing w:before="0" w:after="0"/>
              <w:jc w:val="center"/>
              <w:rPr>
                <w:noProof/>
                <w:sz w:val="20"/>
              </w:rPr>
            </w:pPr>
          </w:p>
        </w:tc>
        <w:tc>
          <w:tcPr>
            <w:tcW w:w="731" w:type="pct"/>
            <w:shd w:val="clear" w:color="auto" w:fill="auto"/>
            <w:vAlign w:val="center"/>
          </w:tcPr>
          <w:p w:rsidR="00557911" w:rsidRDefault="00557911">
            <w:pPr>
              <w:spacing w:before="0" w:after="0"/>
              <w:jc w:val="center"/>
              <w:rPr>
                <w:noProof/>
                <w:sz w:val="20"/>
              </w:rPr>
            </w:pPr>
          </w:p>
        </w:tc>
        <w:tc>
          <w:tcPr>
            <w:tcW w:w="709" w:type="pct"/>
            <w:vAlign w:val="center"/>
          </w:tcPr>
          <w:p w:rsidR="00557911" w:rsidRDefault="00557911">
            <w:pPr>
              <w:spacing w:before="0" w:after="0"/>
              <w:jc w:val="center"/>
              <w:rPr>
                <w:noProof/>
                <w:sz w:val="20"/>
              </w:rPr>
            </w:pPr>
          </w:p>
        </w:tc>
      </w:tr>
      <w:tr w:rsidR="00557911">
        <w:trPr>
          <w:trHeight w:val="289"/>
          <w:jc w:val="center"/>
        </w:trPr>
        <w:tc>
          <w:tcPr>
            <w:tcW w:w="1687" w:type="pct"/>
            <w:tcBorders>
              <w:top w:val="double" w:sz="4" w:space="0" w:color="auto"/>
            </w:tcBorders>
            <w:shd w:val="clear" w:color="auto" w:fill="auto"/>
            <w:vAlign w:val="center"/>
          </w:tcPr>
          <w:p w:rsidR="00557911" w:rsidRDefault="00623804">
            <w:pPr>
              <w:pStyle w:val="Text1"/>
              <w:spacing w:beforeLines="20" w:before="48" w:afterLines="20" w:after="48"/>
              <w:ind w:left="986"/>
              <w:jc w:val="left"/>
              <w:rPr>
                <w:noProof/>
                <w:sz w:val="20"/>
              </w:rPr>
            </w:pPr>
            <w:r>
              <w:rPr>
                <w:b/>
                <w:noProof/>
                <w:sz w:val="20"/>
              </w:rPr>
              <w:t>CELKEM</w:t>
            </w:r>
          </w:p>
        </w:tc>
        <w:tc>
          <w:tcPr>
            <w:tcW w:w="569" w:type="pct"/>
            <w:tcBorders>
              <w:top w:val="double" w:sz="4" w:space="0" w:color="auto"/>
            </w:tcBorders>
            <w:shd w:val="clear" w:color="auto" w:fill="D9D9D9" w:themeFill="background1" w:themeFillShade="D9"/>
            <w:vAlign w:val="center"/>
          </w:tcPr>
          <w:p w:rsidR="00557911" w:rsidRDefault="00557911">
            <w:pPr>
              <w:spacing w:before="0" w:after="0"/>
              <w:jc w:val="center"/>
              <w:rPr>
                <w:b/>
                <w:noProof/>
                <w:sz w:val="20"/>
              </w:rPr>
            </w:pPr>
          </w:p>
        </w:tc>
        <w:tc>
          <w:tcPr>
            <w:tcW w:w="652" w:type="pct"/>
            <w:tcBorders>
              <w:top w:val="double" w:sz="4" w:space="0" w:color="auto"/>
            </w:tcBorders>
            <w:shd w:val="clear" w:color="auto" w:fill="auto"/>
            <w:vAlign w:val="center"/>
          </w:tcPr>
          <w:p w:rsidR="00557911" w:rsidRDefault="00623804">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557911" w:rsidRDefault="00623804">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557911" w:rsidRDefault="00557911">
            <w:pPr>
              <w:spacing w:before="0" w:after="0"/>
              <w:jc w:val="center"/>
              <w:rPr>
                <w:b/>
                <w:noProof/>
                <w:sz w:val="20"/>
              </w:rPr>
            </w:pPr>
          </w:p>
        </w:tc>
        <w:tc>
          <w:tcPr>
            <w:tcW w:w="709" w:type="pct"/>
            <w:tcBorders>
              <w:top w:val="double" w:sz="4" w:space="0" w:color="auto"/>
            </w:tcBorders>
            <w:vAlign w:val="center"/>
          </w:tcPr>
          <w:p w:rsidR="00557911" w:rsidRDefault="00557911">
            <w:pPr>
              <w:spacing w:before="0" w:after="0"/>
              <w:jc w:val="center"/>
              <w:rPr>
                <w:b/>
                <w:noProof/>
                <w:sz w:val="20"/>
              </w:rPr>
            </w:pPr>
          </w:p>
        </w:tc>
      </w:tr>
    </w:tbl>
    <w:p w:rsidR="00557911" w:rsidRDefault="00557911">
      <w:pPr>
        <w:rPr>
          <w:noProof/>
        </w:rPr>
      </w:pPr>
    </w:p>
    <w:p w:rsidR="00557911" w:rsidRDefault="00623804">
      <w:pPr>
        <w:rPr>
          <w:noProof/>
        </w:rPr>
      </w:pPr>
      <w:r>
        <w:rPr>
          <w:noProof/>
        </w:rPr>
        <w:t>Popis úkolů:</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557911">
        <w:tc>
          <w:tcPr>
            <w:tcW w:w="1842" w:type="dxa"/>
            <w:vAlign w:val="center"/>
          </w:tcPr>
          <w:p w:rsidR="00557911" w:rsidRDefault="00623804">
            <w:pPr>
              <w:jc w:val="center"/>
              <w:rPr>
                <w:noProof/>
                <w:szCs w:val="24"/>
              </w:rPr>
            </w:pPr>
            <w:r>
              <w:rPr>
                <w:noProof/>
              </w:rPr>
              <w:t>Úředníci a dočasní zaměstnanci</w:t>
            </w:r>
          </w:p>
        </w:tc>
        <w:tc>
          <w:tcPr>
            <w:tcW w:w="6379" w:type="dxa"/>
            <w:vAlign w:val="center"/>
          </w:tcPr>
          <w:p w:rsidR="00557911" w:rsidRDefault="00623804">
            <w:pPr>
              <w:rPr>
                <w:noProof/>
                <w:szCs w:val="24"/>
              </w:rPr>
            </w:pPr>
            <w:r>
              <w:rPr>
                <w:noProof/>
              </w:rPr>
              <w:t xml:space="preserve">Zastupují Komisi ve správní radě agentury. Vypracovávají </w:t>
            </w:r>
            <w:r>
              <w:rPr>
                <w:noProof/>
              </w:rPr>
              <w:t>stanoviska Komise k jednotnému programovému dokumentu agentury ENISA a sledují jeho provádění. Dohlížejí na přípravu rozpočtu agentury a sledují jeho plnění. Napomáhají agentuře při rozvoji jejích činností v souladu s politikami Unie, mimo jiné účastí na p</w:t>
            </w:r>
            <w:r>
              <w:rPr>
                <w:noProof/>
              </w:rPr>
              <w:t>říslušných zasedáních.</w:t>
            </w:r>
          </w:p>
          <w:p w:rsidR="00557911" w:rsidRDefault="00623804">
            <w:pPr>
              <w:rPr>
                <w:noProof/>
                <w:szCs w:val="24"/>
              </w:rPr>
            </w:pPr>
            <w:r>
              <w:rPr>
                <w:noProof/>
              </w:rPr>
              <w:t xml:space="preserve">Dohlížejí na zavádění rámce pro evropské systémy certifikace kybernetické bezpečnosti produktů a služeb IKT. Udržují kontakty s členskými státy a dalšími příslušnými zúčastněnými stranami v souvislosti s certifikačním úsilím. </w:t>
            </w:r>
            <w:r>
              <w:rPr>
                <w:noProof/>
              </w:rPr>
              <w:t>Spolupracují s agenturou ENISA, pokud jde o návrhy systémů. Vypracovávají návrhy evropských systémů certifikace kybernetické bezpečnosti.</w:t>
            </w:r>
          </w:p>
        </w:tc>
      </w:tr>
      <w:tr w:rsidR="00557911">
        <w:tc>
          <w:tcPr>
            <w:tcW w:w="1842" w:type="dxa"/>
            <w:vAlign w:val="center"/>
          </w:tcPr>
          <w:p w:rsidR="00557911" w:rsidRDefault="00623804">
            <w:pPr>
              <w:spacing w:before="60" w:after="60"/>
              <w:jc w:val="center"/>
              <w:rPr>
                <w:noProof/>
                <w:szCs w:val="24"/>
              </w:rPr>
            </w:pPr>
            <w:r>
              <w:rPr>
                <w:noProof/>
              </w:rPr>
              <w:t>Externí zaměstnanci</w:t>
            </w:r>
          </w:p>
        </w:tc>
        <w:tc>
          <w:tcPr>
            <w:tcW w:w="6379" w:type="dxa"/>
            <w:vAlign w:val="center"/>
          </w:tcPr>
          <w:p w:rsidR="00557911" w:rsidRDefault="00623804">
            <w:pPr>
              <w:jc w:val="left"/>
              <w:rPr>
                <w:noProof/>
                <w:szCs w:val="24"/>
              </w:rPr>
            </w:pPr>
            <w:r>
              <w:rPr>
                <w:noProof/>
              </w:rPr>
              <w:t>viz výše</w:t>
            </w:r>
          </w:p>
        </w:tc>
      </w:tr>
    </w:tbl>
    <w:p w:rsidR="00557911" w:rsidRDefault="00557911">
      <w:pPr>
        <w:rPr>
          <w:bCs/>
          <w:noProof/>
          <w:szCs w:val="24"/>
        </w:rPr>
      </w:pPr>
    </w:p>
    <w:p w:rsidR="00557911" w:rsidRDefault="00623804">
      <w:pPr>
        <w:pStyle w:val="ManualHeading3"/>
        <w:rPr>
          <w:bCs/>
          <w:noProof/>
          <w:szCs w:val="24"/>
        </w:rPr>
      </w:pPr>
      <w:r>
        <w:t>3.2.4.</w:t>
      </w:r>
      <w:r>
        <w:tab/>
      </w:r>
      <w:r>
        <w:rPr>
          <w:noProof/>
        </w:rPr>
        <w:t xml:space="preserve">Soulad se stávajícím víceletým finančním rámcem </w:t>
      </w:r>
    </w:p>
    <w:p w:rsidR="00557911" w:rsidRDefault="00623804">
      <w:pPr>
        <w:pStyle w:val="Tiret1"/>
        <w:rPr>
          <w:noProof/>
        </w:rPr>
      </w:pPr>
      <w:r>
        <w:rPr>
          <w:noProof/>
        </w:rPr>
        <w:sym w:font="Wingdings" w:char="F0A8"/>
      </w:r>
      <w:r>
        <w:rPr>
          <w:noProof/>
        </w:rPr>
        <w:tab/>
        <w:t>Návrh/podnět je v souladu se</w:t>
      </w:r>
      <w:r>
        <w:rPr>
          <w:noProof/>
        </w:rPr>
        <w:t xml:space="preserve"> stávajícím víceletým finančním rámcem.</w:t>
      </w:r>
    </w:p>
    <w:p w:rsidR="00557911" w:rsidRDefault="00623804">
      <w:pPr>
        <w:pStyle w:val="Tiret1"/>
        <w:rPr>
          <w:noProof/>
        </w:rPr>
      </w:pPr>
      <w:r>
        <w:rPr>
          <w:noProof/>
        </w:rPr>
        <w:sym w:font="Wingdings" w:char="F078"/>
      </w:r>
      <w:r>
        <w:rPr>
          <w:noProof/>
        </w:rPr>
        <w:tab/>
        <w:t>Návrh/podnět si vyžádá úpravu příslušného okruhu víceletého finančního rámce.</w:t>
      </w:r>
    </w:p>
    <w:p w:rsidR="00557911" w:rsidRDefault="00623804">
      <w:pPr>
        <w:pStyle w:val="Text1"/>
        <w:pBdr>
          <w:top w:val="single" w:sz="4" w:space="1" w:color="auto"/>
          <w:left w:val="single" w:sz="4" w:space="4" w:color="auto"/>
          <w:bottom w:val="single" w:sz="4" w:space="1" w:color="auto"/>
          <w:right w:val="single" w:sz="4" w:space="4" w:color="auto"/>
        </w:pBdr>
        <w:rPr>
          <w:noProof/>
        </w:rPr>
      </w:pPr>
      <w:r>
        <w:rPr>
          <w:noProof/>
        </w:rPr>
        <w:t>Návrh si vzhledem k revizi mandátu agentury ENISA, který agentuře svěřuje nové úkoly týkající se mimo jiné provádění směrnice o bezpečno</w:t>
      </w:r>
      <w:r>
        <w:rPr>
          <w:noProof/>
        </w:rPr>
        <w:t xml:space="preserve">sti sítí a informací a evropského rámce pro certifikaci kybernetické bezpečnosti, vyžádá úpravu článku 09 02 03. Odpovídající částky: </w:t>
      </w:r>
    </w:p>
    <w:tbl>
      <w:tblPr>
        <w:tblStyle w:val="TableGrid"/>
        <w:tblW w:w="0" w:type="auto"/>
        <w:tblInd w:w="850" w:type="dxa"/>
        <w:tblLook w:val="04A0" w:firstRow="1" w:lastRow="0" w:firstColumn="1" w:lastColumn="0" w:noHBand="0" w:noVBand="1"/>
      </w:tblPr>
      <w:tblGrid>
        <w:gridCol w:w="1243"/>
        <w:gridCol w:w="3684"/>
        <w:gridCol w:w="3510"/>
      </w:tblGrid>
      <w:tr w:rsidR="00557911">
        <w:tc>
          <w:tcPr>
            <w:tcW w:w="1243" w:type="dxa"/>
          </w:tcPr>
          <w:p w:rsidR="00557911" w:rsidRDefault="00623804">
            <w:pPr>
              <w:pStyle w:val="Text1"/>
              <w:ind w:left="0"/>
              <w:rPr>
                <w:noProof/>
              </w:rPr>
            </w:pPr>
            <w:r>
              <w:rPr>
                <w:noProof/>
              </w:rPr>
              <w:t xml:space="preserve">Rok </w:t>
            </w:r>
          </w:p>
        </w:tc>
        <w:tc>
          <w:tcPr>
            <w:tcW w:w="3684" w:type="dxa"/>
          </w:tcPr>
          <w:p w:rsidR="00557911" w:rsidRDefault="00623804">
            <w:pPr>
              <w:pStyle w:val="Text1"/>
              <w:ind w:left="0"/>
              <w:jc w:val="center"/>
              <w:rPr>
                <w:noProof/>
              </w:rPr>
            </w:pPr>
            <w:r>
              <w:rPr>
                <w:noProof/>
              </w:rPr>
              <w:t>Předpokládané</w:t>
            </w:r>
          </w:p>
        </w:tc>
        <w:tc>
          <w:tcPr>
            <w:tcW w:w="3510" w:type="dxa"/>
          </w:tcPr>
          <w:p w:rsidR="00557911" w:rsidRDefault="00623804">
            <w:pPr>
              <w:pStyle w:val="Text1"/>
              <w:ind w:left="0"/>
              <w:jc w:val="center"/>
              <w:rPr>
                <w:noProof/>
              </w:rPr>
            </w:pPr>
            <w:r>
              <w:rPr>
                <w:noProof/>
              </w:rPr>
              <w:t>Požadované</w:t>
            </w:r>
          </w:p>
        </w:tc>
      </w:tr>
      <w:tr w:rsidR="00557911">
        <w:tc>
          <w:tcPr>
            <w:tcW w:w="1243" w:type="dxa"/>
          </w:tcPr>
          <w:p w:rsidR="00557911" w:rsidRDefault="00623804">
            <w:pPr>
              <w:pStyle w:val="Text1"/>
              <w:ind w:left="0"/>
              <w:rPr>
                <w:noProof/>
              </w:rPr>
            </w:pPr>
            <w:r>
              <w:rPr>
                <w:noProof/>
              </w:rPr>
              <w:t>2019</w:t>
            </w:r>
          </w:p>
        </w:tc>
        <w:tc>
          <w:tcPr>
            <w:tcW w:w="3684" w:type="dxa"/>
          </w:tcPr>
          <w:p w:rsidR="00557911" w:rsidRDefault="00623804">
            <w:pPr>
              <w:pStyle w:val="Text1"/>
              <w:ind w:left="0"/>
              <w:jc w:val="center"/>
              <w:rPr>
                <w:noProof/>
              </w:rPr>
            </w:pPr>
            <w:r>
              <w:rPr>
                <w:noProof/>
              </w:rPr>
              <w:t>10,739</w:t>
            </w:r>
          </w:p>
        </w:tc>
        <w:tc>
          <w:tcPr>
            <w:tcW w:w="3510" w:type="dxa"/>
          </w:tcPr>
          <w:p w:rsidR="00557911" w:rsidRDefault="00623804">
            <w:pPr>
              <w:pStyle w:val="Text1"/>
              <w:ind w:left="0"/>
              <w:jc w:val="center"/>
              <w:rPr>
                <w:noProof/>
              </w:rPr>
            </w:pPr>
            <w:r>
              <w:rPr>
                <w:noProof/>
              </w:rPr>
              <w:t>16,550</w:t>
            </w:r>
          </w:p>
        </w:tc>
      </w:tr>
      <w:tr w:rsidR="00557911">
        <w:tc>
          <w:tcPr>
            <w:tcW w:w="1243" w:type="dxa"/>
          </w:tcPr>
          <w:p w:rsidR="00557911" w:rsidRDefault="00623804">
            <w:pPr>
              <w:pStyle w:val="Text1"/>
              <w:ind w:left="0"/>
              <w:rPr>
                <w:noProof/>
              </w:rPr>
            </w:pPr>
            <w:r>
              <w:rPr>
                <w:noProof/>
              </w:rPr>
              <w:t>2020</w:t>
            </w:r>
          </w:p>
        </w:tc>
        <w:tc>
          <w:tcPr>
            <w:tcW w:w="3684" w:type="dxa"/>
          </w:tcPr>
          <w:p w:rsidR="00557911" w:rsidRDefault="00623804">
            <w:pPr>
              <w:pStyle w:val="Text1"/>
              <w:ind w:left="0"/>
              <w:jc w:val="center"/>
              <w:rPr>
                <w:noProof/>
              </w:rPr>
            </w:pPr>
            <w:r>
              <w:rPr>
                <w:noProof/>
              </w:rPr>
              <w:t>10,954</w:t>
            </w:r>
          </w:p>
        </w:tc>
        <w:tc>
          <w:tcPr>
            <w:tcW w:w="3510" w:type="dxa"/>
          </w:tcPr>
          <w:p w:rsidR="00557911" w:rsidRDefault="00623804">
            <w:pPr>
              <w:pStyle w:val="Text1"/>
              <w:ind w:left="0"/>
              <w:jc w:val="center"/>
              <w:rPr>
                <w:noProof/>
              </w:rPr>
            </w:pPr>
            <w:r>
              <w:rPr>
                <w:noProof/>
              </w:rPr>
              <w:t>20,646</w:t>
            </w:r>
          </w:p>
        </w:tc>
      </w:tr>
      <w:tr w:rsidR="00557911">
        <w:tc>
          <w:tcPr>
            <w:tcW w:w="1243" w:type="dxa"/>
          </w:tcPr>
          <w:p w:rsidR="00557911" w:rsidRDefault="00623804">
            <w:pPr>
              <w:pStyle w:val="Text1"/>
              <w:ind w:left="0"/>
              <w:rPr>
                <w:noProof/>
              </w:rPr>
            </w:pPr>
            <w:r>
              <w:rPr>
                <w:noProof/>
              </w:rPr>
              <w:t>2021</w:t>
            </w:r>
          </w:p>
        </w:tc>
        <w:tc>
          <w:tcPr>
            <w:tcW w:w="3684" w:type="dxa"/>
          </w:tcPr>
          <w:p w:rsidR="00557911" w:rsidRDefault="00623804">
            <w:pPr>
              <w:pStyle w:val="Text1"/>
              <w:ind w:left="0"/>
              <w:jc w:val="center"/>
              <w:rPr>
                <w:noProof/>
              </w:rPr>
            </w:pPr>
            <w:r>
              <w:rPr>
                <w:noProof/>
              </w:rPr>
              <w:t>Nepoužije se</w:t>
            </w:r>
          </w:p>
        </w:tc>
        <w:tc>
          <w:tcPr>
            <w:tcW w:w="3510" w:type="dxa"/>
          </w:tcPr>
          <w:p w:rsidR="00557911" w:rsidRDefault="00623804">
            <w:pPr>
              <w:pStyle w:val="Text1"/>
              <w:ind w:left="0"/>
              <w:jc w:val="center"/>
              <w:rPr>
                <w:noProof/>
              </w:rPr>
            </w:pPr>
            <w:r>
              <w:rPr>
                <w:noProof/>
              </w:rPr>
              <w:t>22,248</w:t>
            </w:r>
          </w:p>
        </w:tc>
      </w:tr>
      <w:tr w:rsidR="00557911">
        <w:tc>
          <w:tcPr>
            <w:tcW w:w="1243" w:type="dxa"/>
          </w:tcPr>
          <w:p w:rsidR="00557911" w:rsidRDefault="00623804">
            <w:pPr>
              <w:pStyle w:val="Text1"/>
              <w:ind w:left="0"/>
              <w:rPr>
                <w:noProof/>
              </w:rPr>
            </w:pPr>
            <w:r>
              <w:rPr>
                <w:noProof/>
              </w:rPr>
              <w:t>2022</w:t>
            </w:r>
          </w:p>
        </w:tc>
        <w:tc>
          <w:tcPr>
            <w:tcW w:w="3684" w:type="dxa"/>
          </w:tcPr>
          <w:p w:rsidR="00557911" w:rsidRDefault="00623804">
            <w:pPr>
              <w:pStyle w:val="Text1"/>
              <w:ind w:left="0"/>
              <w:jc w:val="center"/>
              <w:rPr>
                <w:noProof/>
              </w:rPr>
            </w:pPr>
            <w:r>
              <w:rPr>
                <w:noProof/>
              </w:rPr>
              <w:t>Nepoužije se</w:t>
            </w:r>
          </w:p>
        </w:tc>
        <w:tc>
          <w:tcPr>
            <w:tcW w:w="3510" w:type="dxa"/>
          </w:tcPr>
          <w:p w:rsidR="00557911" w:rsidRDefault="00623804">
            <w:pPr>
              <w:pStyle w:val="Text1"/>
              <w:ind w:left="0"/>
              <w:jc w:val="center"/>
              <w:rPr>
                <w:noProof/>
              </w:rPr>
            </w:pPr>
            <w:r>
              <w:rPr>
                <w:noProof/>
              </w:rPr>
              <w:t>23,023*</w:t>
            </w:r>
          </w:p>
        </w:tc>
      </w:tr>
    </w:tbl>
    <w:p w:rsidR="00557911" w:rsidRDefault="00623804">
      <w:pPr>
        <w:pStyle w:val="Text1"/>
        <w:pBdr>
          <w:top w:val="single" w:sz="4" w:space="1" w:color="auto"/>
          <w:left w:val="single" w:sz="4" w:space="4" w:color="auto"/>
          <w:bottom w:val="single" w:sz="4" w:space="1" w:color="auto"/>
          <w:right w:val="single" w:sz="4" w:space="4" w:color="auto"/>
        </w:pBdr>
        <w:rPr>
          <w:noProof/>
          <w:sz w:val="20"/>
        </w:rPr>
      </w:pPr>
      <w:r>
        <w:rPr>
          <w:noProof/>
        </w:rPr>
        <w:t>* Jedná se o odhad. Finanční prostředky EU po roce 2020 budou zkoumány v rámci debaty celé Komise týkající se veškerých návrhů na období po roce 2020. To znamená, že jakmile Komise předloží svůj návrh příštího víceletého finančního rámce, předloží</w:t>
      </w:r>
      <w:r>
        <w:rPr>
          <w:noProof/>
        </w:rPr>
        <w:t xml:space="preserve"> Komise pozměněný legislativní finanční výkaz zohledňující závěry posouzení dopadů</w:t>
      </w:r>
      <w:r>
        <w:rPr>
          <w:rStyle w:val="FootnoteReference"/>
          <w:noProof/>
        </w:rPr>
        <w:footnoteReference w:id="59"/>
      </w:r>
      <w:r>
        <w:rPr>
          <w:noProof/>
        </w:rPr>
        <w:t>.</w:t>
      </w:r>
    </w:p>
    <w:p w:rsidR="00557911" w:rsidRDefault="00623804">
      <w:pPr>
        <w:pStyle w:val="Tiret1"/>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60"/>
      </w:r>
      <w:r>
        <w:rPr>
          <w:noProof/>
        </w:rPr>
        <w:t>.</w:t>
      </w:r>
    </w:p>
    <w:p w:rsidR="00557911" w:rsidRDefault="00557911">
      <w:pPr>
        <w:rPr>
          <w:bCs/>
          <w:noProof/>
          <w:szCs w:val="24"/>
        </w:rPr>
      </w:pPr>
    </w:p>
    <w:p w:rsidR="00557911" w:rsidRDefault="00623804">
      <w:pPr>
        <w:pStyle w:val="ManualHeading3"/>
        <w:rPr>
          <w:bCs/>
          <w:noProof/>
          <w:szCs w:val="24"/>
        </w:rPr>
      </w:pPr>
      <w:r>
        <w:t>3.2.5.</w:t>
      </w:r>
      <w:r>
        <w:tab/>
      </w:r>
      <w:r>
        <w:rPr>
          <w:noProof/>
        </w:rPr>
        <w:t xml:space="preserve">Příspěvky třetích stran </w:t>
      </w:r>
    </w:p>
    <w:p w:rsidR="00557911" w:rsidRDefault="00623804">
      <w:pPr>
        <w:pStyle w:val="Tiret1"/>
        <w:rPr>
          <w:noProof/>
        </w:rPr>
      </w:pPr>
      <w:r>
        <w:rPr>
          <w:noProof/>
        </w:rPr>
        <w:sym w:font="Wingdings" w:char="F0A8"/>
      </w:r>
      <w:r>
        <w:rPr>
          <w:noProof/>
        </w:rPr>
        <w:t xml:space="preserve"> Návrh/podnět nepočítá se spolufinancováním o</w:t>
      </w:r>
      <w:r>
        <w:rPr>
          <w:noProof/>
        </w:rPr>
        <w:t>d třetích stran.</w:t>
      </w:r>
    </w:p>
    <w:p w:rsidR="00557911" w:rsidRDefault="00623804">
      <w:pPr>
        <w:pStyle w:val="Tiret1"/>
        <w:rPr>
          <w:noProof/>
        </w:rPr>
      </w:pPr>
      <w:r>
        <w:rPr>
          <w:noProof/>
        </w:rPr>
        <w:sym w:font="Wingdings" w:char="F078"/>
      </w:r>
      <w:r>
        <w:rPr>
          <w:noProof/>
        </w:rPr>
        <w:t xml:space="preserve"> Návrh/podnět počítá se spolufinancováním podle následujícího odhadu:</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8"/>
        <w:gridCol w:w="1588"/>
        <w:gridCol w:w="1910"/>
        <w:gridCol w:w="1910"/>
        <w:gridCol w:w="1906"/>
      </w:tblGrid>
      <w:tr w:rsidR="00557911">
        <w:trPr>
          <w:cantSplit/>
        </w:trPr>
        <w:tc>
          <w:tcPr>
            <w:tcW w:w="684" w:type="pct"/>
          </w:tcPr>
          <w:p w:rsidR="00557911" w:rsidRDefault="00557911">
            <w:pPr>
              <w:keepNext/>
              <w:keepLines/>
              <w:spacing w:before="60" w:after="60"/>
              <w:rPr>
                <w:noProof/>
                <w:sz w:val="20"/>
              </w:rPr>
            </w:pPr>
          </w:p>
        </w:tc>
        <w:tc>
          <w:tcPr>
            <w:tcW w:w="937" w:type="pct"/>
            <w:vAlign w:val="center"/>
          </w:tcPr>
          <w:p w:rsidR="00557911" w:rsidRDefault="00623804">
            <w:pPr>
              <w:keepNext/>
              <w:keepLines/>
              <w:jc w:val="center"/>
              <w:rPr>
                <w:noProof/>
              </w:rPr>
            </w:pPr>
            <w:r>
              <w:rPr>
                <w:noProof/>
                <w:sz w:val="20"/>
              </w:rPr>
              <w:t>Rok</w:t>
            </w:r>
            <w:r>
              <w:rPr>
                <w:noProof/>
                <w:sz w:val="20"/>
              </w:rPr>
              <w:br/>
            </w:r>
            <w:r>
              <w:rPr>
                <w:b/>
                <w:noProof/>
                <w:sz w:val="20"/>
              </w:rPr>
              <w:t>2019</w:t>
            </w:r>
          </w:p>
        </w:tc>
        <w:tc>
          <w:tcPr>
            <w:tcW w:w="1127" w:type="pct"/>
            <w:vAlign w:val="center"/>
          </w:tcPr>
          <w:p w:rsidR="00557911" w:rsidRDefault="00623804">
            <w:pPr>
              <w:keepNext/>
              <w:keepLines/>
              <w:jc w:val="center"/>
              <w:rPr>
                <w:noProof/>
              </w:rPr>
            </w:pPr>
            <w:r>
              <w:rPr>
                <w:noProof/>
                <w:sz w:val="20"/>
              </w:rPr>
              <w:t>Rok</w:t>
            </w:r>
            <w:r>
              <w:rPr>
                <w:noProof/>
                <w:sz w:val="20"/>
              </w:rPr>
              <w:br/>
            </w:r>
            <w:r>
              <w:rPr>
                <w:b/>
                <w:noProof/>
                <w:sz w:val="20"/>
              </w:rPr>
              <w:t>2020</w:t>
            </w:r>
          </w:p>
        </w:tc>
        <w:tc>
          <w:tcPr>
            <w:tcW w:w="1127" w:type="pct"/>
            <w:vAlign w:val="center"/>
          </w:tcPr>
          <w:p w:rsidR="00557911" w:rsidRDefault="00623804">
            <w:pPr>
              <w:keepNext/>
              <w:keepLines/>
              <w:jc w:val="center"/>
              <w:rPr>
                <w:noProof/>
                <w:sz w:val="20"/>
              </w:rPr>
            </w:pPr>
            <w:r>
              <w:rPr>
                <w:noProof/>
                <w:sz w:val="20"/>
              </w:rPr>
              <w:t>Rok</w:t>
            </w:r>
            <w:r>
              <w:rPr>
                <w:noProof/>
                <w:sz w:val="20"/>
              </w:rPr>
              <w:br/>
            </w:r>
            <w:r>
              <w:rPr>
                <w:b/>
                <w:noProof/>
                <w:sz w:val="20"/>
              </w:rPr>
              <w:t>2021</w:t>
            </w:r>
          </w:p>
        </w:tc>
        <w:tc>
          <w:tcPr>
            <w:tcW w:w="1125" w:type="pct"/>
            <w:vAlign w:val="center"/>
          </w:tcPr>
          <w:p w:rsidR="00557911" w:rsidRDefault="00623804">
            <w:pPr>
              <w:keepNext/>
              <w:keepLines/>
              <w:jc w:val="center"/>
              <w:rPr>
                <w:noProof/>
                <w:sz w:val="20"/>
              </w:rPr>
            </w:pPr>
            <w:r>
              <w:rPr>
                <w:noProof/>
                <w:sz w:val="20"/>
              </w:rPr>
              <w:t>Rok</w:t>
            </w:r>
            <w:r>
              <w:rPr>
                <w:noProof/>
                <w:sz w:val="20"/>
              </w:rPr>
              <w:br/>
            </w:r>
            <w:r>
              <w:rPr>
                <w:b/>
                <w:noProof/>
                <w:sz w:val="20"/>
              </w:rPr>
              <w:t>2022</w:t>
            </w:r>
          </w:p>
        </w:tc>
      </w:tr>
      <w:tr w:rsidR="00557911">
        <w:trPr>
          <w:cantSplit/>
        </w:trPr>
        <w:tc>
          <w:tcPr>
            <w:tcW w:w="684" w:type="pct"/>
          </w:tcPr>
          <w:p w:rsidR="00557911" w:rsidRDefault="00623804">
            <w:pPr>
              <w:keepNext/>
              <w:keepLines/>
              <w:rPr>
                <w:noProof/>
              </w:rPr>
            </w:pPr>
            <w:r>
              <w:rPr>
                <w:noProof/>
                <w:sz w:val="20"/>
              </w:rPr>
              <w:t>ESVO</w:t>
            </w:r>
            <w:r>
              <w:rPr>
                <w:i/>
                <w:noProof/>
                <w:sz w:val="20"/>
              </w:rPr>
              <w:t xml:space="preserve"> </w:t>
            </w:r>
          </w:p>
        </w:tc>
        <w:tc>
          <w:tcPr>
            <w:tcW w:w="937" w:type="pct"/>
            <w:vAlign w:val="center"/>
          </w:tcPr>
          <w:p w:rsidR="00557911" w:rsidRDefault="00623804">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557911" w:rsidRDefault="00623804">
            <w:pPr>
              <w:keepNext/>
              <w:keepLines/>
              <w:spacing w:before="60" w:after="60"/>
              <w:jc w:val="center"/>
              <w:rPr>
                <w:noProof/>
                <w:sz w:val="20"/>
              </w:rPr>
            </w:pPr>
            <w:r>
              <w:rPr>
                <w:noProof/>
                <w:sz w:val="20"/>
              </w:rPr>
              <w:t>p.m.</w:t>
            </w:r>
          </w:p>
        </w:tc>
        <w:tc>
          <w:tcPr>
            <w:tcW w:w="1127" w:type="pct"/>
            <w:vAlign w:val="center"/>
          </w:tcPr>
          <w:p w:rsidR="00557911" w:rsidRDefault="00623804">
            <w:pPr>
              <w:keepNext/>
              <w:keepLines/>
              <w:spacing w:before="60" w:after="60"/>
              <w:jc w:val="center"/>
              <w:rPr>
                <w:noProof/>
                <w:sz w:val="20"/>
              </w:rPr>
            </w:pPr>
            <w:r>
              <w:rPr>
                <w:noProof/>
                <w:sz w:val="20"/>
              </w:rPr>
              <w:t>p.m.</w:t>
            </w:r>
          </w:p>
        </w:tc>
        <w:tc>
          <w:tcPr>
            <w:tcW w:w="1125" w:type="pct"/>
            <w:vAlign w:val="center"/>
          </w:tcPr>
          <w:p w:rsidR="00557911" w:rsidRDefault="00623804">
            <w:pPr>
              <w:keepNext/>
              <w:keepLines/>
              <w:spacing w:before="60" w:after="60"/>
              <w:jc w:val="center"/>
              <w:rPr>
                <w:noProof/>
                <w:sz w:val="20"/>
              </w:rPr>
            </w:pPr>
            <w:r>
              <w:rPr>
                <w:noProof/>
                <w:sz w:val="20"/>
              </w:rPr>
              <w:t>p.m.</w:t>
            </w:r>
          </w:p>
        </w:tc>
      </w:tr>
    </w:tbl>
    <w:p w:rsidR="00557911" w:rsidRDefault="00557911">
      <w:pPr>
        <w:rPr>
          <w:noProof/>
        </w:rPr>
      </w:pPr>
    </w:p>
    <w:p w:rsidR="00557911" w:rsidRDefault="00623804">
      <w:pPr>
        <w:pStyle w:val="ManualHeading2"/>
        <w:rPr>
          <w:bCs/>
          <w:noProof/>
          <w:szCs w:val="24"/>
        </w:rPr>
      </w:pPr>
      <w:r>
        <w:t>3.3.</w:t>
      </w:r>
      <w:r>
        <w:tab/>
      </w:r>
      <w:r>
        <w:rPr>
          <w:noProof/>
        </w:rPr>
        <w:t xml:space="preserve">Odhadovaný dopad na příjmy </w:t>
      </w:r>
    </w:p>
    <w:p w:rsidR="00557911" w:rsidRDefault="00623804">
      <w:pPr>
        <w:pStyle w:val="Tiret1"/>
        <w:rPr>
          <w:noProof/>
        </w:rPr>
      </w:pPr>
      <w:r>
        <w:rPr>
          <w:noProof/>
        </w:rPr>
        <w:sym w:font="Wingdings" w:char="F078"/>
      </w:r>
      <w:r>
        <w:rPr>
          <w:noProof/>
        </w:rPr>
        <w:tab/>
        <w:t>Návrh/podnět nemá žádný finanční dopad na příjmy.</w:t>
      </w:r>
    </w:p>
    <w:p w:rsidR="00557911" w:rsidRDefault="00623804">
      <w:pPr>
        <w:pStyle w:val="Tiret1"/>
        <w:rPr>
          <w:noProof/>
        </w:rPr>
      </w:pPr>
      <w:r>
        <w:rPr>
          <w:noProof/>
        </w:rPr>
        <w:sym w:font="Wingdings" w:char="F0A8"/>
      </w:r>
      <w:r>
        <w:rPr>
          <w:noProof/>
        </w:rPr>
        <w:tab/>
        <w:t xml:space="preserve">Návrh/podnět </w:t>
      </w:r>
      <w:r>
        <w:rPr>
          <w:noProof/>
        </w:rPr>
        <w:t>má tento finanční dopad:</w:t>
      </w:r>
    </w:p>
    <w:p w:rsidR="00557911" w:rsidRDefault="00623804">
      <w:pPr>
        <w:pStyle w:val="Tiret2"/>
        <w:numPr>
          <w:ilvl w:val="0"/>
          <w:numId w:val="26"/>
        </w:numPr>
        <w:rPr>
          <w:noProof/>
        </w:rPr>
      </w:pPr>
      <w:r>
        <w:rPr>
          <w:noProof/>
        </w:rPr>
        <w:sym w:font="Wingdings" w:char="F0A8"/>
      </w:r>
      <w:r>
        <w:rPr>
          <w:noProof/>
        </w:rPr>
        <w:tab/>
        <w:t xml:space="preserve">dopad na vlastní zdroje </w:t>
      </w:r>
    </w:p>
    <w:p w:rsidR="00557911" w:rsidRDefault="00623804">
      <w:pPr>
        <w:pStyle w:val="Tiret2"/>
        <w:rPr>
          <w:noProof/>
        </w:rPr>
      </w:pPr>
      <w:r>
        <w:rPr>
          <w:noProof/>
        </w:rPr>
        <w:sym w:font="Wingdings" w:char="F0A8"/>
      </w:r>
      <w:r>
        <w:rPr>
          <w:noProof/>
        </w:rPr>
        <w:tab/>
        <w:t>dopad na různé příjmy</w:t>
      </w:r>
    </w:p>
    <w:sectPr w:rsidR="00557911" w:rsidSect="00623804">
      <w:headerReference w:type="default" r:id="rId26"/>
      <w:footerReference w:type="default" r:id="rId27"/>
      <w:headerReference w:type="first" r:id="rId28"/>
      <w:footerReference w:type="first" r:id="rId2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11" w:rsidRDefault="00623804">
      <w:pPr>
        <w:spacing w:before="0" w:after="0"/>
      </w:pPr>
      <w:r>
        <w:separator/>
      </w:r>
    </w:p>
  </w:endnote>
  <w:endnote w:type="continuationSeparator" w:id="0">
    <w:p w:rsidR="00557911" w:rsidRDefault="00623804">
      <w:pPr>
        <w:spacing w:before="0" w:after="0"/>
      </w:pPr>
      <w:r>
        <w:continuationSeparator/>
      </w:r>
    </w:p>
  </w:endnote>
  <w:endnote w:type="continuationNotice" w:id="1">
    <w:p w:rsidR="00557911" w:rsidRDefault="005579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1" w:rsidRPr="00623804" w:rsidRDefault="00623804" w:rsidP="00623804">
    <w:pPr>
      <w:pStyle w:val="Footer"/>
      <w:rPr>
        <w:rFonts w:ascii="Arial" w:hAnsi="Arial" w:cs="Arial"/>
        <w:b/>
        <w:sz w:val="48"/>
      </w:rPr>
    </w:pPr>
    <w:r w:rsidRPr="00623804">
      <w:rPr>
        <w:rFonts w:ascii="Arial" w:hAnsi="Arial" w:cs="Arial"/>
        <w:b/>
        <w:sz w:val="48"/>
      </w:rPr>
      <w:t>CS</w:t>
    </w:r>
    <w:r w:rsidRPr="00623804">
      <w:rPr>
        <w:rFonts w:ascii="Arial" w:hAnsi="Arial" w:cs="Arial"/>
        <w:b/>
        <w:sz w:val="48"/>
      </w:rPr>
      <w:tab/>
    </w:r>
    <w:r w:rsidRPr="00623804">
      <w:rPr>
        <w:rFonts w:ascii="Arial" w:hAnsi="Arial" w:cs="Arial"/>
        <w:b/>
        <w:sz w:val="48"/>
      </w:rPr>
      <w:tab/>
    </w:r>
    <w:fldSimple w:instr=" DOCVARIABLE &quot;LW_Confidence&quot; \* MERGEFORMAT ">
      <w:r>
        <w:t xml:space="preserve"> </w:t>
      </w:r>
    </w:fldSimple>
    <w:r w:rsidRPr="00623804">
      <w:tab/>
    </w:r>
    <w:r w:rsidRPr="00623804">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rPr>
        <w:rFonts w:ascii="Arial" w:hAnsi="Arial" w:cs="Arial"/>
        <w:b/>
        <w:sz w:val="48"/>
      </w:rPr>
    </w:pPr>
    <w:r w:rsidRPr="00623804">
      <w:rPr>
        <w:rFonts w:ascii="Arial" w:hAnsi="Arial" w:cs="Arial"/>
        <w:b/>
        <w:sz w:val="48"/>
      </w:rPr>
      <w:t>CS</w:t>
    </w:r>
    <w:r w:rsidRPr="00623804">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fldSimple w:instr=" DOCVARIABLE &quot;LW_Confidence&quot; \* MERGEFORMAT ">
      <w:r>
        <w:t xml:space="preserve"> </w:t>
      </w:r>
    </w:fldSimple>
    <w:r w:rsidRPr="00623804">
      <w:tab/>
    </w:r>
    <w:r w:rsidRPr="00623804">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Landscape"/>
      <w:rPr>
        <w:rFonts w:ascii="Arial" w:hAnsi="Arial" w:cs="Arial"/>
        <w:b/>
        <w:sz w:val="48"/>
      </w:rPr>
    </w:pPr>
    <w:r w:rsidRPr="00623804">
      <w:rPr>
        <w:rFonts w:ascii="Arial" w:hAnsi="Arial" w:cs="Arial"/>
        <w:b/>
        <w:sz w:val="48"/>
      </w:rPr>
      <w:t>CS</w:t>
    </w:r>
    <w:r w:rsidRPr="00623804">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fldSimple w:instr=" DOCVARIABLE &quot;LW_Confidence&quot; \* MERGEFORMAT ">
      <w:r>
        <w:t xml:space="preserve"> </w:t>
      </w:r>
    </w:fldSimple>
    <w:r w:rsidRPr="00623804">
      <w:tab/>
    </w:r>
    <w:r w:rsidRPr="00623804">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rPr>
        <w:rFonts w:ascii="Arial" w:hAnsi="Arial" w:cs="Arial"/>
        <w:b/>
        <w:sz w:val="48"/>
      </w:rPr>
    </w:pPr>
    <w:r w:rsidRPr="00623804">
      <w:rPr>
        <w:rFonts w:ascii="Arial" w:hAnsi="Arial" w:cs="Arial"/>
        <w:b/>
        <w:sz w:val="48"/>
      </w:rPr>
      <w:t>CS</w:t>
    </w:r>
    <w:r w:rsidRPr="00623804">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fldSimple w:instr=" DOCVARIABLE &quot;LW_Confidence&quot; \* MERGEFORMAT ">
      <w:r>
        <w:t xml:space="preserve"> </w:t>
      </w:r>
    </w:fldSimple>
    <w:r w:rsidRPr="00623804">
      <w:tab/>
    </w:r>
    <w:r w:rsidRPr="00623804">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11" w:rsidRDefault="00623804">
      <w:pPr>
        <w:spacing w:before="0" w:after="0"/>
      </w:pPr>
      <w:r>
        <w:separator/>
      </w:r>
    </w:p>
  </w:footnote>
  <w:footnote w:type="continuationSeparator" w:id="0">
    <w:p w:rsidR="00557911" w:rsidRDefault="00623804">
      <w:pPr>
        <w:spacing w:before="0" w:after="0"/>
      </w:pPr>
      <w:r>
        <w:continuationSeparator/>
      </w:r>
    </w:p>
  </w:footnote>
  <w:footnote w:type="continuationNotice" w:id="1">
    <w:p w:rsidR="00557911" w:rsidRDefault="00557911">
      <w:pPr>
        <w:spacing w:before="0" w:after="0"/>
      </w:pPr>
    </w:p>
  </w:footnote>
  <w:footnote w:id="2">
    <w:p w:rsidR="00557911" w:rsidRDefault="00623804">
      <w:pPr>
        <w:pStyle w:val="FootnoteText"/>
        <w:spacing w:after="40"/>
      </w:pPr>
      <w:r>
        <w:rPr>
          <w:rStyle w:val="FootnoteReference"/>
        </w:rPr>
        <w:footnoteRef/>
      </w:r>
      <w:r>
        <w:tab/>
        <w:t xml:space="preserve">Společné sdělení Evropské komise a Evropské služby pro vnější činnost: Strategie </w:t>
      </w:r>
      <w:r>
        <w:t>kybernetické bezpečnosti Evropské unie: Otevřený, bezpečný a chráněný kyberprostor – JOIN(2013).</w:t>
      </w:r>
    </w:p>
  </w:footnote>
  <w:footnote w:id="3">
    <w:p w:rsidR="00557911" w:rsidRDefault="00623804">
      <w:pPr>
        <w:pStyle w:val="FootnoteText"/>
        <w:spacing w:after="40"/>
      </w:pPr>
      <w:r>
        <w:rPr>
          <w:rStyle w:val="FootnoteReference"/>
        </w:rPr>
        <w:footnoteRef/>
      </w:r>
      <w:r>
        <w:tab/>
        <w:t>Nařízení (EU) č. 526/2013 o Agentuře Evropské unie pro bezpečnost sítí a informací (ENISA) a o zrušení nařízení (ES) č. 460/2004.</w:t>
      </w:r>
    </w:p>
  </w:footnote>
  <w:footnote w:id="4">
    <w:p w:rsidR="00557911" w:rsidRDefault="00623804">
      <w:pPr>
        <w:pStyle w:val="FootnoteText"/>
        <w:spacing w:after="40"/>
      </w:pPr>
      <w:r>
        <w:rPr>
          <w:rStyle w:val="FootnoteReference"/>
        </w:rPr>
        <w:footnoteRef/>
      </w:r>
      <w:r>
        <w:tab/>
        <w:t>Směrnice (EU) 2016/1148 o</w:t>
      </w:r>
      <w:r>
        <w:t xml:space="preserve"> opatřeních k zajištění vysoké společné úrovně bezpečnosti sítí a informačních systémů v Unii.</w:t>
      </w:r>
    </w:p>
  </w:footnote>
  <w:footnote w:id="5">
    <w:p w:rsidR="00557911" w:rsidRDefault="00623804">
      <w:pPr>
        <w:pStyle w:val="FootnoteText"/>
        <w:spacing w:after="40"/>
      </w:pPr>
      <w:r>
        <w:rPr>
          <w:rStyle w:val="FootnoteReference"/>
        </w:rPr>
        <w:footnoteRef/>
      </w:r>
      <w:r>
        <w:tab/>
        <w:t>Sdělení Komise o posílení evropského systému kybernetické odolnosti a o podpoře konkurenceschopného a inovativního odvětví kybernetické bezpečnosti, COM/2016/0</w:t>
      </w:r>
      <w:r>
        <w:t>410 final.</w:t>
      </w:r>
    </w:p>
  </w:footnote>
  <w:footnote w:id="6">
    <w:p w:rsidR="00557911" w:rsidRDefault="00623804">
      <w:pPr>
        <w:pStyle w:val="FootnoteText"/>
        <w:spacing w:after="40"/>
      </w:pPr>
      <w:r>
        <w:rPr>
          <w:rStyle w:val="FootnoteReference"/>
        </w:rPr>
        <w:footnoteRef/>
      </w:r>
      <w:r>
        <w:tab/>
        <w:t>Závěry Rady o posílení evropského systému kybernetické odolnosti a o podpoře konkurenceschopného a inovativního odvětví kybernetické bezpečnosti – 15. listopadu 2016.</w:t>
      </w:r>
    </w:p>
  </w:footnote>
  <w:footnote w:id="7">
    <w:p w:rsidR="00557911" w:rsidRDefault="00623804">
      <w:pPr>
        <w:pStyle w:val="FootnoteText"/>
        <w:spacing w:after="40"/>
      </w:pPr>
      <w:r>
        <w:rPr>
          <w:rStyle w:val="FootnoteReference"/>
        </w:rPr>
        <w:footnoteRef/>
      </w:r>
      <w:r>
        <w:tab/>
        <w:t>Sdělení Komise o přezkumu v polovině období provádění strategie pro jednot</w:t>
      </w:r>
      <w:r>
        <w:t xml:space="preserve">ný digitální trh – COM(2017) 228. </w:t>
      </w:r>
    </w:p>
  </w:footnote>
  <w:footnote w:id="8">
    <w:p w:rsidR="00557911" w:rsidRDefault="00623804">
      <w:pPr>
        <w:pStyle w:val="FootnoteText"/>
      </w:pPr>
      <w:r>
        <w:rPr>
          <w:rStyle w:val="FootnoteReference"/>
        </w:rPr>
        <w:footnoteRef/>
      </w:r>
      <w:r>
        <w:tab/>
        <w:t>Zasedání Evropské rady (22. a 23. června 2017) – závěry EUCO 8/17.</w:t>
      </w:r>
    </w:p>
  </w:footnote>
  <w:footnote w:id="9">
    <w:p w:rsidR="00557911" w:rsidRDefault="00623804">
      <w:pPr>
        <w:pStyle w:val="FootnoteText"/>
        <w:spacing w:after="40"/>
      </w:pPr>
      <w:r>
        <w:rPr>
          <w:rStyle w:val="FootnoteReference"/>
        </w:rPr>
        <w:footnoteRef/>
      </w:r>
      <w:r>
        <w:tab/>
        <w:t>Transparentnost záruky kybernetické bezpečnosti spočívá v tom, že jsou uživatelům poskytovány dostatečné informace o vlastnostech kybernetické bezpečn</w:t>
      </w:r>
      <w:r>
        <w:t>osti, které těmto uživatelům umožňují objektivně stanovit úroveň bezpečnosti daného produktu, služby nebo procesu IKT.</w:t>
      </w:r>
    </w:p>
  </w:footnote>
  <w:footnote w:id="10">
    <w:p w:rsidR="00557911" w:rsidRDefault="00623804">
      <w:pPr>
        <w:pStyle w:val="FootnoteText"/>
        <w:spacing w:after="40"/>
      </w:pPr>
      <w:r>
        <w:rPr>
          <w:rStyle w:val="FootnoteReference"/>
        </w:rPr>
        <w:footnoteRef/>
      </w:r>
      <w:r>
        <w:tab/>
        <w:t>Nařízení Evropského parlamentu a Rady (ES) č. 460/2004 ze dne 10. března 2004 o zřízení Evropské agentury pro bezpečnost sítí a informa</w:t>
      </w:r>
      <w:r>
        <w:t>cí, Úř. věst. L 77, 13.3.2004, s. 1.</w:t>
      </w:r>
    </w:p>
  </w:footnote>
  <w:footnote w:id="11">
    <w:p w:rsidR="00557911" w:rsidRDefault="00623804">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557911" w:rsidRDefault="00623804">
      <w:pPr>
        <w:pStyle w:val="FootnoteText"/>
        <w:spacing w:after="40"/>
      </w:pPr>
      <w:r>
        <w:rPr>
          <w:rStyle w:val="FootnoteReference"/>
        </w:rPr>
        <w:footnoteRef/>
      </w:r>
      <w:r>
        <w:tab/>
        <w:t>V rámci konzultace odpovědělo 90 zúčastněných stran z 19 člens</w:t>
      </w:r>
      <w:r>
        <w:t>kých států (88 odpovědí a dvě stanoviska), včetně vnitrostátních orgánů z 15 členských států a 8 zastřešujících organizací zastupujících významný počet evropských podniků.</w:t>
      </w:r>
    </w:p>
  </w:footnote>
  <w:footnote w:id="13">
    <w:p w:rsidR="00557911" w:rsidRDefault="00623804">
      <w:pPr>
        <w:pStyle w:val="FootnoteText"/>
        <w:spacing w:after="40"/>
      </w:pPr>
      <w:r>
        <w:rPr>
          <w:rStyle w:val="FootnoteReference"/>
        </w:rPr>
        <w:footnoteRef/>
      </w:r>
      <w:r>
        <w:tab/>
        <w:t>Respondenti ve veřejné konzultaci byli požádáni, aby se vyjádřili k tomu, co považ</w:t>
      </w:r>
      <w:r>
        <w:t>ují za hlavní úspěchy agentury ENISA v období 2013–2016. Respondenti ze všech skupin (celkem 55 respondentů, 13 ze skupiny vnitrostátních orgánů, 20 ze soukromého sektoru a 22 ze skupiny „ostatní“) považovali za hlavní úspěchy agentury ENISA následující: 1</w:t>
      </w:r>
      <w:r>
        <w:t>) koordinaci cvičení Cyber Europe; 2) poskytování podpory skupinám CERT/CSIRT prostřednictvím školení a seminářů podporujících spolupráci a výměnu zkušeností; 3) publikace agentury ENISA (pokyny a doporučení, zprávy o hrozbách, strategie pro hlášení incide</w:t>
      </w:r>
      <w:r>
        <w:t>ntů a řešení krizí atd.), které byly považovány za užitečné pro vytváření a aktualizaci vnitrostátních bezpečnostních rámců a které tvůrci politik a odborníci v příslušné oblasti používali rovněž pro referenční účely; 4) pomoc při prosazování směrnice o be</w:t>
      </w:r>
      <w:r>
        <w:t>zpečnosti sítí a informací; 5) úsilí o zvýšení informovanosti ohledně kybernetické bezpečnosti prostřednictvím Měsíce kybernetické bezpečnosti.</w:t>
      </w:r>
    </w:p>
  </w:footnote>
  <w:footnote w:id="14">
    <w:p w:rsidR="00557911" w:rsidRDefault="00623804">
      <w:pPr>
        <w:pStyle w:val="FootnoteText"/>
        <w:spacing w:after="40"/>
      </w:pPr>
      <w:r>
        <w:rPr>
          <w:rStyle w:val="FootnoteReference"/>
        </w:rPr>
        <w:footnoteRef/>
      </w:r>
      <w:r>
        <w:tab/>
        <w:t>„Plán“ se bude vztahovat na kybernetické bezpečnostní incidenty, které způsobí narušení, jež je rozsáhlejší, n</w:t>
      </w:r>
      <w:r>
        <w:t>ež může jakýkoliv členský stát zvládnout sám, nebo které mají pro dva či více členských států tak rozsáhlý a významný dopad nebo politický význam, že vyžadují včasnou koordinaci politik a odpověď na politické úrovni Unie.</w:t>
      </w:r>
    </w:p>
  </w:footnote>
  <w:footnote w:id="15">
    <w:p w:rsidR="00557911" w:rsidRDefault="00623804">
      <w:pPr>
        <w:pStyle w:val="FootnoteText"/>
        <w:spacing w:after="40"/>
      </w:pPr>
      <w:r>
        <w:rPr>
          <w:rStyle w:val="FootnoteReference"/>
        </w:rPr>
        <w:footnoteRef/>
      </w:r>
      <w:r>
        <w:tab/>
        <w:t xml:space="preserve">GŘ SVS zveřejnilo zprávu, která </w:t>
      </w:r>
      <w:r>
        <w:t xml:space="preserve">navrhuje počáteční soubor společných evropských požadavků a hlavních směrů týkajících se certifikace kybernetické bezpečnosti složek IACS. Dostupné na internetových stránkách: </w:t>
      </w:r>
      <w:hyperlink r:id="rId2">
        <w:r>
          <w:rPr>
            <w:rStyle w:val="Hyperlink"/>
          </w:rPr>
          <w:t>https://erncip-project.jrc.ec.europa.eu/documents/introduction-european-iacs-components-cybersecurity-certification-framework-iccf.</w:t>
        </w:r>
      </w:hyperlink>
    </w:p>
  </w:footnote>
  <w:footnote w:id="16">
    <w:p w:rsidR="00557911" w:rsidRDefault="00623804">
      <w:pPr>
        <w:pStyle w:val="FootnoteText"/>
      </w:pPr>
      <w:r>
        <w:rPr>
          <w:rStyle w:val="FootnoteReference"/>
        </w:rPr>
        <w:footnoteRef/>
      </w:r>
      <w:r>
        <w:tab/>
        <w:t>Skupina vyšších úředníků pro bezpečnost informačních</w:t>
      </w:r>
      <w:r>
        <w:t xml:space="preserve"> systémů (SOG-IS) zahrnuje 12 členských států plus Norsko a vypracovala několik profilů ochrany pro omezený počet produktů, jako jsou například digitální podpis, digitální tachograf a čipové karty. Účastníci spolupracují na koordinaci normalizace profilů o</w:t>
      </w:r>
      <w:r>
        <w:t>chrany CC a koordinují vypracování profilů ochrany. Členské státy při zadávání vnitrostátních veřejných zakázek často vyžadují certifikaci skupiny SOG-IS.</w:t>
      </w:r>
    </w:p>
  </w:footnote>
  <w:footnote w:id="17">
    <w:p w:rsidR="00557911" w:rsidRDefault="00623804">
      <w:pPr>
        <w:pStyle w:val="FootnoteText"/>
      </w:pPr>
      <w:r>
        <w:rPr>
          <w:rStyle w:val="FootnoteReference"/>
        </w:rPr>
        <w:footnoteRef/>
      </w:r>
      <w:r>
        <w:tab/>
        <w:t>V případě evropských norem k tomu dochází prostřednictvím evropských normalizačních organizací a sc</w:t>
      </w:r>
      <w:r>
        <w:t xml:space="preserve">hválením Evropskou komisí zveřejněním v </w:t>
      </w:r>
      <w:r>
        <w:rPr>
          <w:i/>
        </w:rPr>
        <w:t>Úředním věstníku</w:t>
      </w:r>
      <w:r>
        <w:t xml:space="preserve"> (viz nařízení 1025/2012).</w:t>
      </w:r>
    </w:p>
  </w:footnote>
  <w:footnote w:id="18">
    <w:p w:rsidR="00557911" w:rsidRDefault="00623804">
      <w:pPr>
        <w:pStyle w:val="FootnoteText"/>
        <w:spacing w:after="40"/>
      </w:pPr>
      <w:r>
        <w:rPr>
          <w:rStyle w:val="FootnoteReference"/>
        </w:rPr>
        <w:footnoteRef/>
      </w:r>
      <w:r>
        <w:tab/>
        <w:t>Nařízení Evropského parlamentu a Rady (EU) č. 910/2014 ze dne 23. července 2014 o elektronické identifikaci a službách vytvářejících důvěru pro elektronické transakce na v</w:t>
      </w:r>
      <w:r>
        <w:t>nitřním trhu a o zrušení směrnice 1999/93/ES.</w:t>
      </w:r>
    </w:p>
  </w:footnote>
  <w:footnote w:id="19">
    <w:p w:rsidR="00557911" w:rsidRDefault="00623804">
      <w:pPr>
        <w:pStyle w:val="FootnoteText"/>
        <w:spacing w:after="40"/>
      </w:pPr>
      <w:r>
        <w:rPr>
          <w:rStyle w:val="FootnoteReference"/>
        </w:rPr>
        <w:footnoteRef/>
      </w:r>
      <w:r>
        <w:tab/>
        <w:t>Směrnice Evropského parlamentu a Rady 2014/53/EU ze dne 16. dubna 2014 o harmonizaci právních předpisů členských států týkajících se dodávání rádiových zařízení na trh a zrušení směrnice 1999/5/ES.</w:t>
      </w:r>
    </w:p>
  </w:footnote>
  <w:footnote w:id="20">
    <w:p w:rsidR="00557911" w:rsidRDefault="00623804">
      <w:pPr>
        <w:pStyle w:val="FootnoteText"/>
        <w:spacing w:after="40"/>
      </w:pPr>
      <w:r>
        <w:rPr>
          <w:rStyle w:val="FootnoteReference"/>
        </w:rPr>
        <w:footnoteRef/>
      </w:r>
      <w:r>
        <w:tab/>
        <w:t>Nařízení</w:t>
      </w:r>
      <w:r>
        <w:t xml:space="preserve"> Evropského parlamentu a Rady (EU) 2016/679 ze dne 27. dubna 2016 o ochraně fyzických osob v souvislosti se zpracováním osobních údajů a o volném pohybu těchto údajů a o zrušení směrnice 95/46/ES (obecné nařízení o ochraně osobních údajů) (Úř. věst. L 119,</w:t>
      </w:r>
      <w:r>
        <w:t xml:space="preserve"> 4.5.2016, s. 1–88).</w:t>
      </w:r>
    </w:p>
  </w:footnote>
  <w:footnote w:id="21">
    <w:p w:rsidR="00557911" w:rsidRDefault="00623804">
      <w:pPr>
        <w:autoSpaceDE w:val="0"/>
        <w:autoSpaceDN w:val="0"/>
        <w:adjustRightInd w:val="0"/>
        <w:spacing w:after="40"/>
        <w:ind w:left="720" w:hanging="720"/>
        <w:rPr>
          <w:sz w:val="20"/>
          <w:szCs w:val="20"/>
        </w:rPr>
      </w:pPr>
      <w:r>
        <w:rPr>
          <w:rStyle w:val="FootnoteReference"/>
        </w:rPr>
        <w:footnoteRef/>
      </w:r>
      <w:r>
        <w:tab/>
      </w:r>
      <w:r>
        <w:rPr>
          <w:sz w:val="20"/>
        </w:rPr>
        <w:t>Nařízení (ES) č. 765/2008, kterým se stanoví požadavky na akreditaci a dozor nad trhem týkající se uvádění výrobků na trh a kterým se zrušuje nařízení (EHS) č. 339/93.</w:t>
      </w:r>
    </w:p>
  </w:footnote>
  <w:footnote w:id="22">
    <w:p w:rsidR="00557911" w:rsidRDefault="00623804">
      <w:pPr>
        <w:pStyle w:val="FootnoteText"/>
        <w:spacing w:after="40"/>
      </w:pPr>
      <w:r>
        <w:rPr>
          <w:rStyle w:val="FootnoteReference"/>
        </w:rPr>
        <w:footnoteRef/>
      </w:r>
      <w:r>
        <w:tab/>
        <w:t xml:space="preserve">Nařízení Evropského parlamentu a Rady (EU) č. 526/2013 ze dne </w:t>
      </w:r>
      <w:r>
        <w:t>21. května 2013 o Agentuře Evropské unie pro bezpečnost sítí a informací (ENISA) a o zrušení nařízení (ES) č. 460/2004.</w:t>
      </w:r>
    </w:p>
  </w:footnote>
  <w:footnote w:id="23">
    <w:p w:rsidR="00557911" w:rsidRDefault="00623804">
      <w:pPr>
        <w:pStyle w:val="FootnoteText"/>
        <w:spacing w:after="40"/>
      </w:pPr>
      <w:r>
        <w:rPr>
          <w:rStyle w:val="FootnoteReference"/>
        </w:rPr>
        <w:footnoteRef/>
      </w:r>
      <w:r>
        <w:tab/>
        <w:t>Závěry Rady o posílení evropského systému kybernetické odolnosti a o podpoře konkurenceschopného a inovativního odvětví kybernetické b</w:t>
      </w:r>
      <w:r>
        <w:t>ezpečnosti – 15. listopadu 2016.</w:t>
      </w:r>
    </w:p>
  </w:footnote>
  <w:footnote w:id="24">
    <w:p w:rsidR="00557911" w:rsidRDefault="00623804">
      <w:pPr>
        <w:pStyle w:val="FootnoteText"/>
        <w:spacing w:after="40"/>
      </w:pPr>
      <w:r>
        <w:rPr>
          <w:rStyle w:val="FootnoteReference"/>
        </w:rPr>
        <w:footnoteRef/>
      </w:r>
      <w:r>
        <w:tab/>
        <w:t>http://ec.europa.eu/smart-regulation/roadmaps/docs/2017_cnect_002_evaluation_enisa_en.pdf.</w:t>
      </w:r>
    </w:p>
  </w:footnote>
  <w:footnote w:id="25">
    <w:p w:rsidR="00557911" w:rsidRDefault="00623804">
      <w:pPr>
        <w:pStyle w:val="FootnoteText"/>
        <w:spacing w:after="40"/>
      </w:pPr>
      <w:r>
        <w:rPr>
          <w:rStyle w:val="FootnoteReference"/>
        </w:rPr>
        <w:footnoteRef/>
      </w:r>
      <w:r>
        <w:tab/>
        <w:t>Odkaz na články 7, 9, 11, 12 a 19 směrnice o bezpečnosti sítí a informačních systémů (směrnice o bezpečnosti sítí a informací).</w:t>
      </w:r>
    </w:p>
  </w:footnote>
  <w:footnote w:id="26">
    <w:p w:rsidR="00557911" w:rsidRDefault="00623804">
      <w:pPr>
        <w:pStyle w:val="FootnoteText"/>
        <w:spacing w:after="40"/>
      </w:pPr>
      <w:r>
        <w:rPr>
          <w:rStyle w:val="FootnoteReference"/>
        </w:rPr>
        <w:footnoteRef/>
      </w:r>
      <w:r>
        <w:tab/>
        <w:t>V rámci konzultace odpovědělo 90 zúčastněných stran z 19 členských států (88 odpovědí a 2 dvě stanoviska), a to včetně vnitrostátních orgánů z 15 členských států včetně Francie, Itálie, Irska a Řecka a 8 zastřešujících organizací zastupujících významný p</w:t>
      </w:r>
      <w:r>
        <w:t>očet evropských podniků, například Evropská bankovní federace, organizace Digital Europe (zastupující odvětví digitální technologie v Evropě) a Sdružení evropských provozovatelů telekomunikačních sítí (ETNO). Veřejná konzultace týkající se agentury ENISA b</w:t>
      </w:r>
      <w:r>
        <w:t>yla doplněna několika dalšími zdroji, včetně: i) podrobných rozhovorů s přibližně 50 klíčovými aktéry z oblasti kybernetické bezpečnosti; ii) průzkumu zaměřeného na síť CSIRT; iii) průzkumu zaměřeného na správní radu, výkonnou radu a stálou skupinu zúčastn</w:t>
      </w:r>
      <w:r>
        <w:t xml:space="preserve">ěných stran agentury ENISA. </w:t>
      </w:r>
    </w:p>
  </w:footnote>
  <w:footnote w:id="27">
    <w:p w:rsidR="00557911" w:rsidRDefault="00623804">
      <w:pPr>
        <w:pStyle w:val="FootnoteText"/>
        <w:spacing w:after="40"/>
      </w:pPr>
      <w:r>
        <w:rPr>
          <w:rStyle w:val="FootnoteReference"/>
        </w:rPr>
        <w:footnoteRef/>
      </w:r>
      <w:r>
        <w:tab/>
        <w:t>162 příspěvků od občanů, 33 od organizací občanské společnosti a spotřebitelských organizací, 186 od průmyslu a 40 od veřejných orgánů, včetně orgánů příslušných pro vymáhání směrnice o soukromí a elektronických komunikacích.</w:t>
      </w:r>
    </w:p>
  </w:footnote>
  <w:footnote w:id="28">
    <w:p w:rsidR="00557911" w:rsidRDefault="00623804">
      <w:pPr>
        <w:pStyle w:val="FootnoteText"/>
        <w:spacing w:after="40"/>
      </w:pPr>
      <w:r>
        <w:rPr>
          <w:rStyle w:val="FootnoteReference"/>
        </w:rPr>
        <w:footnoteRef/>
      </w:r>
      <w:r>
        <w:tab/>
        <w:t>Na oddíl o certifikaci odpovědělo 240 zúčastněných stran z vnitrostátních veřejných správ, velkých podniků, malých a středních podniků, mikropodniků a výzkumných organizací.</w:t>
      </w:r>
    </w:p>
  </w:footnote>
  <w:footnote w:id="29">
    <w:p w:rsidR="00557911" w:rsidRDefault="00623804">
      <w:pPr>
        <w:pStyle w:val="FootnoteText"/>
      </w:pPr>
      <w:r>
        <w:rPr>
          <w:rStyle w:val="FootnoteReference"/>
        </w:rPr>
        <w:footnoteRef/>
      </w:r>
      <w:r>
        <w:tab/>
        <w:t>Úř. věst. C, , s. .</w:t>
      </w:r>
    </w:p>
  </w:footnote>
  <w:footnote w:id="30">
    <w:p w:rsidR="00557911" w:rsidRDefault="00623804">
      <w:pPr>
        <w:pStyle w:val="FootnoteText"/>
      </w:pPr>
      <w:r>
        <w:rPr>
          <w:rStyle w:val="FootnoteReference"/>
        </w:rPr>
        <w:footnoteRef/>
      </w:r>
      <w:r>
        <w:tab/>
        <w:t>Úř. věst. C, , s. .</w:t>
      </w:r>
    </w:p>
  </w:footnote>
  <w:footnote w:id="31">
    <w:p w:rsidR="00557911" w:rsidRDefault="00623804">
      <w:pPr>
        <w:pStyle w:val="FootnoteText"/>
        <w:spacing w:after="40"/>
      </w:pPr>
      <w:r>
        <w:rPr>
          <w:rStyle w:val="FootnoteReference"/>
        </w:rPr>
        <w:footnoteRef/>
      </w:r>
      <w:r>
        <w:tab/>
      </w:r>
      <w:r>
        <w:t xml:space="preserve">Nařízení Evropského parlamentu a Rady (ES) č. 460/2004 ze dne 10. března 2004 o zřízení Evropské agentury pro bezpečnost sítí a informací (Úř. věst. L 77, 13.3.2004, s. 1). </w:t>
      </w:r>
    </w:p>
  </w:footnote>
  <w:footnote w:id="32">
    <w:p w:rsidR="00557911" w:rsidRDefault="00623804">
      <w:pPr>
        <w:pStyle w:val="FootnoteText"/>
        <w:spacing w:after="40"/>
      </w:pPr>
      <w:r>
        <w:rPr>
          <w:rStyle w:val="FootnoteReference"/>
        </w:rPr>
        <w:footnoteRef/>
      </w:r>
      <w:r>
        <w:tab/>
        <w:t>Nařízení Evropského parlamentu a Rady (ES) č. 1007/2008 ze dne 24. září 2008, kt</w:t>
      </w:r>
      <w:r>
        <w:t xml:space="preserve">erým se mění nařízení (ES) č. 460/2004 o zřízení Evropské agentury pro bezpečnost sítí a informací, pokud jde o období její činnosti (Úř. věst. L 293, 31.10.2008, s. 1). </w:t>
      </w:r>
    </w:p>
  </w:footnote>
  <w:footnote w:id="33">
    <w:p w:rsidR="00557911" w:rsidRDefault="00623804">
      <w:pPr>
        <w:pStyle w:val="FootnoteText"/>
        <w:spacing w:after="40"/>
      </w:pPr>
      <w:r>
        <w:rPr>
          <w:rStyle w:val="FootnoteReference"/>
        </w:rPr>
        <w:footnoteRef/>
      </w:r>
      <w:r>
        <w:tab/>
        <w:t>Nařízení Evropského parlamentu a Rady (EU) č. 580/2011 ze dne 8. června 2011, který</w:t>
      </w:r>
      <w:r>
        <w:t xml:space="preserve">m se mění nařízení (ES) č. 460/2004 o zřízení Evropské agentury pro bezpečnost sítí a informací, pokud jde o období její činnosti (Úř. věst. L 165, 24.6.2011, s. 3). </w:t>
      </w:r>
    </w:p>
  </w:footnote>
  <w:footnote w:id="34">
    <w:p w:rsidR="00557911" w:rsidRDefault="00623804">
      <w:pPr>
        <w:pStyle w:val="FootnoteText"/>
        <w:spacing w:after="40"/>
      </w:pPr>
      <w:r>
        <w:rPr>
          <w:rStyle w:val="FootnoteReference"/>
        </w:rPr>
        <w:footnoteRef/>
      </w:r>
      <w:r>
        <w:tab/>
        <w:t>Nařízení Evropského parlamentu a Rady (EU) č. 526/2013 ze dne 21. května 2013 o Agentuř</w:t>
      </w:r>
      <w:r>
        <w:t>e Evropské unie pro bezpečnost sítí a informací (ENISA) a o zrušení nařízení (ES) č. 460/2004 (Úř. věst. L 165, 18.6.2013, s. 41).</w:t>
      </w:r>
    </w:p>
  </w:footnote>
  <w:footnote w:id="35">
    <w:p w:rsidR="00557911" w:rsidRDefault="00623804">
      <w:pPr>
        <w:pStyle w:val="FootnoteText"/>
        <w:spacing w:after="40"/>
      </w:pPr>
      <w:r>
        <w:rPr>
          <w:rStyle w:val="FootnoteReference"/>
        </w:rPr>
        <w:footnoteRef/>
      </w:r>
      <w:r>
        <w:tab/>
        <w:t>Nařízení Evropského parlamentu a Rady (ES) č. 1049/2001 ze dne 30. května 2001 o přístupu veřejnosti k dokumentům Evropskéh</w:t>
      </w:r>
      <w:r>
        <w:t xml:space="preserve">o parlamentu, Rady a Komise (Úř. věst. L 145, 31.5.2001, s. 43). </w:t>
      </w:r>
    </w:p>
  </w:footnote>
  <w:footnote w:id="36">
    <w:p w:rsidR="00557911" w:rsidRDefault="00623804">
      <w:pPr>
        <w:pStyle w:val="FootnoteText"/>
        <w:spacing w:after="40"/>
      </w:pPr>
      <w:r>
        <w:rPr>
          <w:rStyle w:val="FootnoteReference"/>
        </w:rPr>
        <w:footnoteRef/>
      </w:r>
      <w:r>
        <w:tab/>
        <w:t xml:space="preserve">Úř. věst. L 8, 12.1.2001, s. 1. </w:t>
      </w:r>
    </w:p>
  </w:footnote>
  <w:footnote w:id="37">
    <w:p w:rsidR="00557911" w:rsidRDefault="00623804">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"eur-lex.europa.eu/legal-content/CS/TXT/?qid=1503901726322&amp;amp;uri=CELEX:32013R1271"</w:instrText>
      </w:r>
      <w:r>
        <w:fldChar w:fldCharType="separate"/>
      </w:r>
      <w:r>
        <w:rPr>
          <w:rStyle w:val="FootnoteTextChar"/>
          <w:lang w:val="cs-CZ"/>
        </w:rPr>
        <w:t xml:space="preserve">Nařízení Komise v přenesené pravomoci (EU) č. 1271/2013 ze </w:t>
      </w:r>
      <w:r>
        <w:rPr>
          <w:rStyle w:val="FootnoteTextChar"/>
          <w:lang w:val="cs-CZ"/>
        </w:rPr>
        <w:t>dne 30. září 2013 o rámcovém finančním nařízení pro subjekty uvedené v článku 208 nařízení Evropského parlamentu a Rady (EU, Euratom) č. 966/2012</w:t>
      </w:r>
      <w:r>
        <w:fldChar w:fldCharType="end"/>
      </w:r>
      <w:bookmarkEnd w:id="32"/>
      <w:r>
        <w:rPr>
          <w:rStyle w:val="FootnoteTextChar"/>
          <w:lang w:val="cs-CZ"/>
        </w:rPr>
        <w:t xml:space="preserve"> (Úř. věst. L 328, 7.12.2013, s. 42)</w:t>
      </w:r>
      <w:r>
        <w:t xml:space="preserve">. </w:t>
      </w:r>
    </w:p>
  </w:footnote>
  <w:footnote w:id="38">
    <w:p w:rsidR="00557911" w:rsidRDefault="00623804">
      <w:pPr>
        <w:pStyle w:val="FootnoteText"/>
      </w:pPr>
      <w:r>
        <w:rPr>
          <w:rStyle w:val="FootnoteReference"/>
        </w:rPr>
        <w:footnoteRef/>
      </w:r>
      <w:r>
        <w:tab/>
      </w:r>
      <w:hyperlink r:id="rId3">
        <w:r>
          <w:rPr>
            <w:color w:val="0000FF"/>
            <w:u w:val="single"/>
          </w:rPr>
          <w:t>Rozhodnutí Komise (EU, Euratom) 2015/443 ze dne 13. března 2015 o bezpečnosti v Komisi</w:t>
        </w:r>
      </w:hyperlink>
      <w:r>
        <w:rPr>
          <w:color w:val="444444"/>
        </w:rPr>
        <w:t xml:space="preserve"> (Úř. věst. L 72, 17.3.2015, s. 41).</w:t>
      </w:r>
    </w:p>
  </w:footnote>
  <w:footnote w:id="39">
    <w:p w:rsidR="00557911" w:rsidRDefault="00623804">
      <w:pPr>
        <w:pStyle w:val="FootnoteText"/>
      </w:pPr>
      <w:r>
        <w:rPr>
          <w:rStyle w:val="FootnoteReference"/>
        </w:rPr>
        <w:footnoteRef/>
      </w:r>
      <w:r>
        <w:tab/>
      </w:r>
      <w:hyperlink r:id="rId4">
        <w:r>
          <w:rPr>
            <w:color w:val="0000FF"/>
            <w:u w:val="single"/>
          </w:rPr>
          <w:t>Rozhodnutí Komise (EU, Euratom) 2015/444 ze dne 13. března 2015 o bezpečnostních pravidlech na ochranu utajovaných informací EU</w:t>
        </w:r>
      </w:hyperlink>
      <w:r>
        <w:rPr>
          <w:color w:val="444444"/>
        </w:rPr>
        <w:t xml:space="preserve"> (Úř. věst. L 72, 17.3.2015, s. 53).</w:t>
      </w:r>
    </w:p>
  </w:footnote>
  <w:footnote w:id="40">
    <w:p w:rsidR="00557911" w:rsidRDefault="00623804">
      <w:pPr>
        <w:pStyle w:val="FootnoteText"/>
      </w:pPr>
      <w:r>
        <w:rPr>
          <w:rStyle w:val="FootnoteReference"/>
        </w:rPr>
        <w:footnoteRef/>
      </w:r>
      <w:r>
        <w:tab/>
      </w:r>
      <w:hyperlink r:id="rId5">
        <w:r>
          <w:rPr>
            <w:color w:val="0000FF"/>
            <w:u w:val="single"/>
          </w:rPr>
          <w:t>Nařízení Evropského parlamentu a Rady (EU, Euratom) č. 883/2013 ze dne 11. září 2013 o vyšetřování prováděném Evropským úřadem pro boj proti podvodům (OLAF) a o zrušení nařízení Evropského parlamentu a Rady (ES) č. 1073/1999 a na</w:t>
        </w:r>
        <w:r>
          <w:rPr>
            <w:color w:val="0000FF"/>
            <w:u w:val="single"/>
          </w:rPr>
          <w:t>řízení Rady (Euratom) č. 1074/1999</w:t>
        </w:r>
      </w:hyperlink>
      <w:r>
        <w:rPr>
          <w:color w:val="444444"/>
        </w:rPr>
        <w:t xml:space="preserve"> (Úř. věst. L 248, 18.9.2013, s. 1).</w:t>
      </w:r>
      <w:r>
        <w:rPr>
          <w:rFonts w:ascii="Lucida Sans Unicode" w:hAnsi="Lucida Sans Unicode"/>
          <w:b/>
          <w:color w:val="444444"/>
          <w:sz w:val="27"/>
        </w:rPr>
        <w:t xml:space="preserve"> </w:t>
      </w:r>
    </w:p>
  </w:footnote>
  <w:footnote w:id="41">
    <w:p w:rsidR="00557911" w:rsidRDefault="00623804">
      <w:pPr>
        <w:pStyle w:val="FootnoteText"/>
      </w:pPr>
      <w:r>
        <w:rPr>
          <w:rStyle w:val="FootnoteReference"/>
        </w:rPr>
        <w:footnoteRef/>
      </w:r>
      <w:r>
        <w:tab/>
      </w:r>
      <w:hyperlink r:id="rId6">
        <w:r>
          <w:rPr>
            <w:color w:val="0000FF"/>
            <w:u w:val="single"/>
          </w:rPr>
          <w:t>Nařízení Rady (Euratom, ES) č. 2185/96 ze dne 11. listopadu 1996 o kontrolách a insp</w:t>
        </w:r>
        <w:r>
          <w:rPr>
            <w:color w:val="0000FF"/>
            <w:u w:val="single"/>
          </w:rPr>
          <w:t>ekcích na místě prováděných Komisí za účelem ochrany finančních zájmů Evropských společenství proti podvodům a jiným nesrovnalostem</w:t>
        </w:r>
      </w:hyperlink>
      <w:r>
        <w:rPr>
          <w:color w:val="444444"/>
        </w:rPr>
        <w:t xml:space="preserve"> (Úř. věst. L 292, 15.11.1996, s. 2).</w:t>
      </w:r>
    </w:p>
  </w:footnote>
  <w:footnote w:id="42">
    <w:p w:rsidR="00557911" w:rsidRDefault="00623804">
      <w:pPr>
        <w:pStyle w:val="FootnoteText"/>
      </w:pPr>
      <w:r>
        <w:rPr>
          <w:rStyle w:val="FootnoteReference"/>
        </w:rPr>
        <w:footnoteRef/>
      </w:r>
      <w:r>
        <w:tab/>
      </w:r>
      <w:hyperlink r:id="rId7">
        <w:r>
          <w:rPr>
            <w:color w:val="0000FF"/>
            <w:u w:val="single"/>
          </w:rPr>
          <w:t>Nařízení č. 1 o užívání jazyků v Evropském společenství pro atomovou energii</w:t>
        </w:r>
      </w:hyperlink>
      <w:r>
        <w:rPr>
          <w:color w:val="444444"/>
        </w:rPr>
        <w:t xml:space="preserve"> (Úř. věst. 17, 6.10.1958, s. 401).</w:t>
      </w:r>
    </w:p>
  </w:footnote>
  <w:footnote w:id="43">
    <w:p w:rsidR="00557911" w:rsidRDefault="00623804">
      <w:pPr>
        <w:pStyle w:val="FootnoteText"/>
      </w:pPr>
      <w:r>
        <w:rPr>
          <w:rStyle w:val="FootnoteReference"/>
        </w:rPr>
        <w:footnoteRef/>
      </w:r>
      <w:r>
        <w:tab/>
        <w:t xml:space="preserve">Nařízení Evropského parlamentu a Rady (ES) č. 45/2001 ze dne 18. prosince 2000 o ochraně fyzických osob v souvislosti </w:t>
      </w:r>
      <w:r>
        <w:t>se zpracováním osobních údajů orgány a institucemi Společenství a o volném pohybu těchto údajů (Úř. věst. L 8, 12.1.2001, s. 1).</w:t>
      </w:r>
    </w:p>
  </w:footnote>
  <w:footnote w:id="44">
    <w:p w:rsidR="00557911" w:rsidRDefault="00623804">
      <w:pPr>
        <w:pStyle w:val="FootnoteText"/>
        <w:rPr>
          <w:szCs w:val="24"/>
        </w:rPr>
      </w:pPr>
      <w:r>
        <w:rPr>
          <w:rStyle w:val="FootnoteReference"/>
        </w:rPr>
        <w:footnoteRef/>
      </w:r>
      <w:r>
        <w:tab/>
        <w:t>Uvedené v čl. 54 odst. 2 písm. a) nebo b) finančního nařízení.</w:t>
      </w:r>
    </w:p>
  </w:footnote>
  <w:footnote w:id="45">
    <w:p w:rsidR="00557911" w:rsidRDefault="00623804">
      <w:pPr>
        <w:pStyle w:val="FootnoteText"/>
      </w:pPr>
      <w:r>
        <w:rPr>
          <w:rStyle w:val="FootnoteReference"/>
        </w:rPr>
        <w:footnoteRef/>
      </w:r>
      <w:r>
        <w:tab/>
        <w:t xml:space="preserve">Transparentnost záruky kybernetické bezpečnosti spočívá v </w:t>
      </w:r>
      <w:r>
        <w:t>tom, že jsou uživatelům poskytovány dostatečné informace o kybernetickobezpečnostních vlastnostech, které těmto uživatelům umožňují objektivně stanovit úroveň bezpečnosti daného produktu, služby nebo procesu IKT.</w:t>
      </w:r>
    </w:p>
  </w:footnote>
  <w:footnote w:id="46">
    <w:p w:rsidR="00557911" w:rsidRDefault="00623804">
      <w:pPr>
        <w:pStyle w:val="FootnoteText"/>
      </w:pPr>
      <w:r>
        <w:rPr>
          <w:rStyle w:val="FootnoteReference"/>
        </w:rPr>
        <w:footnoteRef/>
      </w:r>
      <w:r>
        <w:tab/>
        <w:t>Transparentnost záruky kybernetické bezpe</w:t>
      </w:r>
      <w:r>
        <w:t>čnosti spočívá v tom, že jsou uživatelům poskytovány dostatečné informace o kybernetickobezpečnostních vlastnostech, které těmto uživatelům umožňují objektivně stanovit úroveň bezpečnosti daného produktu, služby nebo procesu IKT.</w:t>
      </w:r>
    </w:p>
  </w:footnote>
  <w:footnote w:id="47">
    <w:p w:rsidR="00557911" w:rsidRDefault="00623804">
      <w:pPr>
        <w:pStyle w:val="FootnoteText"/>
      </w:pPr>
      <w:r>
        <w:rPr>
          <w:rStyle w:val="FootnoteReference"/>
        </w:rPr>
        <w:footnoteRef/>
      </w:r>
      <w:r>
        <w:tab/>
        <w:t>Transparentnost záruky k</w:t>
      </w:r>
      <w:r>
        <w:t>ybernetické bezpečnosti spočívá v tom, že jsou uživatelům poskytovány dostatečné informace o kybernetickobezpečnostních vlastnostech, které těmto uživatelům umožňují objektivně stanovit úroveň bezpečnosti daného produktu, služby nebo procesu IKT.</w:t>
      </w:r>
    </w:p>
  </w:footnote>
  <w:footnote w:id="48">
    <w:p w:rsidR="00557911" w:rsidRDefault="00623804">
      <w:pPr>
        <w:pStyle w:val="FootnoteText"/>
      </w:pPr>
      <w:r>
        <w:rPr>
          <w:rStyle w:val="FootnoteReference"/>
        </w:rPr>
        <w:footnoteRef/>
      </w:r>
      <w:r>
        <w:tab/>
        <w:t>Transpa</w:t>
      </w:r>
      <w:r>
        <w:t>rentnost záruky kybernetické bezpečnosti spočívá v tom, že jsou uživatelům poskytovány dostatečné informace o kybernetickobezpečnostních vlastnostech, které těmto uživatelům umožňují objektivně stanovit úroveň bezpečnosti daného produktu, služby nebo proce</w:t>
      </w:r>
      <w:r>
        <w:t>su IKT.</w:t>
      </w:r>
    </w:p>
  </w:footnote>
  <w:footnote w:id="49">
    <w:p w:rsidR="00557911" w:rsidRDefault="00623804">
      <w:pPr>
        <w:pStyle w:val="FootnoteText"/>
        <w:ind w:left="142" w:hanging="142"/>
      </w:pPr>
      <w:r>
        <w:rPr>
          <w:rStyle w:val="FootnoteReference"/>
        </w:rPr>
        <w:footnoteRef/>
      </w:r>
      <w:r>
        <w:tab/>
        <w:t>Závěry Rady o posílení evropského systému kybernetické odolnosti a o podpoře konkurenceschopného a inovativního odvětví kybernetické bezpečnosti – 15. listopadu 2016.</w:t>
      </w:r>
    </w:p>
  </w:footnote>
  <w:footnote w:id="50">
    <w:p w:rsidR="00557911" w:rsidRDefault="00623804">
      <w:pPr>
        <w:pStyle w:val="FootnoteText"/>
      </w:pPr>
      <w:r>
        <w:rPr>
          <w:rStyle w:val="FootnoteReference"/>
        </w:rPr>
        <w:footnoteRef/>
      </w:r>
      <w:r>
        <w:tab/>
        <w:t>Nařízení (EU) 2016/679 ze dne 27. dubna 2016 o ochraně fyzických osob v souvi</w:t>
      </w:r>
      <w:r>
        <w:t>slosti se zpracováním osobních údajů a o volném pohybu těchto údajů a o zrušení směrnice 95/46/ES (obecné nařízení o ochraně osobních údajů).</w:t>
      </w:r>
    </w:p>
  </w:footnote>
  <w:footnote w:id="51">
    <w:p w:rsidR="00557911" w:rsidRDefault="00623804">
      <w:pPr>
        <w:pStyle w:val="FootnoteText"/>
      </w:pPr>
      <w:r>
        <w:rPr>
          <w:rStyle w:val="FootnoteReference"/>
        </w:rPr>
        <w:footnoteRef/>
      </w:r>
      <w:r>
        <w:tab/>
        <w:t>Například články 42 (Vydávání osvědčení) a 43 (Subjekty pro vydávání osvědčení), jakož i články 57, 58 a 70 týka</w:t>
      </w:r>
      <w:r>
        <w:t>jící se příslušných úkolů a pravomocí nezávislých dozorových úřadů a úkolů Evropského sboru pro ochranu osobních údajů.</w:t>
      </w:r>
    </w:p>
  </w:footnote>
  <w:footnote w:id="52">
    <w:p w:rsidR="00557911" w:rsidRDefault="00623804">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8">
        <w:r>
          <w:rPr>
            <w:rStyle w:val="Hyperlink"/>
          </w:rPr>
          <w:t>https://myintracomm.ec.europa.eu/budgweb/EN/man/budgmanag/Pages/budgmanag.aspx</w:t>
        </w:r>
      </w:hyperlink>
      <w:r>
        <w:t>.</w:t>
      </w:r>
    </w:p>
  </w:footnote>
  <w:footnote w:id="53">
    <w:p w:rsidR="00557911" w:rsidRDefault="00623804">
      <w:pPr>
        <w:pStyle w:val="FootnoteText"/>
        <w:rPr>
          <w:szCs w:val="24"/>
        </w:rPr>
      </w:pPr>
      <w:r>
        <w:rPr>
          <w:rStyle w:val="FootnoteReference"/>
        </w:rPr>
        <w:footnoteRef/>
      </w:r>
      <w:r>
        <w:tab/>
        <w:t>RP = rozlišené prostředky / NRP = nerozlišené prostředky.</w:t>
      </w:r>
    </w:p>
  </w:footnote>
  <w:footnote w:id="54">
    <w:p w:rsidR="00557911" w:rsidRDefault="00623804">
      <w:pPr>
        <w:pStyle w:val="FootnoteText"/>
        <w:rPr>
          <w:szCs w:val="24"/>
        </w:rPr>
      </w:pPr>
      <w:r>
        <w:rPr>
          <w:rStyle w:val="FootnoteReference"/>
        </w:rPr>
        <w:footnoteRef/>
      </w:r>
      <w:r>
        <w:tab/>
        <w:t xml:space="preserve">ESVO: Evropské sdružení volného obchodu. </w:t>
      </w:r>
    </w:p>
  </w:footnote>
  <w:footnote w:id="55">
    <w:p w:rsidR="00557911" w:rsidRDefault="00623804">
      <w:pPr>
        <w:pStyle w:val="FootnoteText"/>
        <w:rPr>
          <w:szCs w:val="24"/>
        </w:rPr>
      </w:pPr>
      <w:r>
        <w:rPr>
          <w:rStyle w:val="FootnoteReference"/>
        </w:rPr>
        <w:footnoteRef/>
      </w:r>
      <w:r>
        <w:tab/>
        <w:t>Kand</w:t>
      </w:r>
      <w:r>
        <w:t>idátské země a případně potenciální kandidátské země západního Balkánu.</w:t>
      </w:r>
    </w:p>
  </w:footnote>
  <w:footnote w:id="56">
    <w:p w:rsidR="00557911" w:rsidRDefault="00623804">
      <w:pPr>
        <w:pStyle w:val="FootnoteText"/>
      </w:pPr>
      <w:r>
        <w:rPr>
          <w:rStyle w:val="FootnoteReference"/>
        </w:rPr>
        <w:footnoteRef/>
      </w:r>
      <w:r>
        <w:tab/>
        <w:t>Tato tabulka uvádí pouze provozní výdaje podle hlavy 3.</w:t>
      </w:r>
    </w:p>
  </w:footnote>
  <w:footnote w:id="57">
    <w:p w:rsidR="00557911" w:rsidRDefault="00623804">
      <w:pPr>
        <w:pStyle w:val="FootnoteText"/>
      </w:pPr>
      <w:r>
        <w:rPr>
          <w:rStyle w:val="FootnoteReference"/>
        </w:rPr>
        <w:footnoteRef/>
      </w:r>
      <w:r>
        <w:tab/>
      </w:r>
      <w:r>
        <w:rPr>
          <w:sz w:val="18"/>
        </w:rPr>
        <w:t xml:space="preserve">Cyber Europe je dodnes největším a nejúplnějším cvičením EU v oblasti kybernetické bezpečnosti, do kterého je zapojeno více </w:t>
      </w:r>
      <w:r>
        <w:rPr>
          <w:sz w:val="18"/>
        </w:rPr>
        <w:t>než 700 odborníků na kybernetickou bezpečnost ze všech 28 členských států. Koná se jednou za dva roky. Hodnocení agentury ENISA a strategie kybernetické bezpečnosti EU z roku 2013 poukazují na skutečnost, že řada zúčastněných stran vzhledem k rychle se roz</w:t>
      </w:r>
      <w:r>
        <w:rPr>
          <w:sz w:val="18"/>
        </w:rPr>
        <w:t>víjející povaze kybernetických hrozeb podporuje zvýšení četnosti cvičení Cyber Europe tak, aby se konalo jednou ročně. To však vzhledem k omezeným zdrojům agentury není v současné době proveditelné.</w:t>
      </w:r>
    </w:p>
  </w:footnote>
  <w:footnote w:id="58">
    <w:p w:rsidR="00557911" w:rsidRDefault="00623804">
      <w:pPr>
        <w:pStyle w:val="FootnoteText"/>
        <w:rPr>
          <w:szCs w:val="24"/>
        </w:rPr>
      </w:pPr>
      <w:r>
        <w:rPr>
          <w:rStyle w:val="FootnoteReference"/>
        </w:rPr>
        <w:footnoteRef/>
      </w:r>
      <w:r>
        <w:tab/>
        <w:t xml:space="preserve">SZ = smluvní zaměstnanec; MZ = místní zaměstnanec; VNO </w:t>
      </w:r>
      <w:r>
        <w:t xml:space="preserve">= vyslaný národní odborník; ZAP = zaměstnanec agentury práce; MOD = mladý odborník při delegaci. </w:t>
      </w:r>
    </w:p>
  </w:footnote>
  <w:footnote w:id="59">
    <w:p w:rsidR="00557911" w:rsidRDefault="00623804">
      <w:pPr>
        <w:pStyle w:val="FootnoteText"/>
      </w:pPr>
      <w:r>
        <w:rPr>
          <w:rStyle w:val="FootnoteReference"/>
        </w:rPr>
        <w:footnoteRef/>
      </w:r>
      <w:r>
        <w:tab/>
        <w:t xml:space="preserve">Odkaz na stránku s posouzením dopadů. </w:t>
      </w:r>
    </w:p>
  </w:footnote>
  <w:footnote w:id="60">
    <w:p w:rsidR="00557911" w:rsidRDefault="00623804">
      <w:pPr>
        <w:pStyle w:val="FootnoteText"/>
        <w:rPr>
          <w:szCs w:val="24"/>
        </w:rPr>
      </w:pPr>
      <w:r>
        <w:rPr>
          <w:rStyle w:val="FootnoteReference"/>
        </w:rPr>
        <w:footnoteRef/>
      </w:r>
      <w:r>
        <w:tab/>
        <w:t>Viz články 11 a 17 nařízení Rady (EU, Euratom) č. 1311/2013, kterým se stanoví víceletý finanční rámec na období 20</w:t>
      </w:r>
      <w:r>
        <w:t>14–2020.</w:t>
      </w:r>
    </w:p>
  </w:footnote>
  <w:footnote w:id="61">
    <w:p w:rsidR="00557911" w:rsidRDefault="00623804">
      <w:pPr>
        <w:pStyle w:val="FootnoteText"/>
      </w:pPr>
      <w:r>
        <w:rPr>
          <w:rStyle w:val="FootnoteReference"/>
        </w:rPr>
        <w:footnoteRef/>
      </w:r>
      <w:r>
        <w:tab/>
        <w:t>Přesná částka pro následující roky bude známa poté, co bude pro dotyčný rok stanoven činitel úměrnosti pro ESVO.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4" w:rsidRPr="00623804" w:rsidRDefault="00623804" w:rsidP="00623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22"/>
    <w:lvlOverride w:ilvl="0">
      <w:startOverride w:val="1"/>
    </w:lvlOverride>
  </w:num>
  <w:num w:numId="24">
    <w:abstractNumId w:val="32"/>
    <w:lvlOverride w:ilvl="0">
      <w:startOverride w:val="1"/>
    </w:lvlOverride>
  </w:num>
  <w:num w:numId="25">
    <w:abstractNumId w:val="14"/>
    <w:lvlOverride w:ilvl="0">
      <w:startOverride w:val="1"/>
    </w:lvlOverride>
  </w:num>
  <w:num w:numId="26">
    <w:abstractNumId w:val="29"/>
    <w:lvlOverride w:ilvl="0">
      <w:startOverride w:val="1"/>
    </w:lvlOverride>
  </w:num>
  <w:num w:numId="27">
    <w:abstractNumId w:val="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14"/>
  </w:num>
  <w:num w:numId="71">
    <w:abstractNumId w:val="29"/>
  </w:num>
  <w:num w:numId="72">
    <w:abstractNumId w:val="13"/>
  </w:num>
  <w:num w:numId="73">
    <w:abstractNumId w:val="16"/>
  </w:num>
  <w:num w:numId="74">
    <w:abstractNumId w:val="11"/>
  </w:num>
  <w:num w:numId="75">
    <w:abstractNumId w:val="28"/>
  </w:num>
  <w:num w:numId="76">
    <w:abstractNumId w:val="10"/>
  </w:num>
  <w:num w:numId="77">
    <w:abstractNumId w:val="17"/>
  </w:num>
  <w:num w:numId="78">
    <w:abstractNumId w:val="22"/>
  </w:num>
  <w:num w:numId="79">
    <w:abstractNumId w:val="23"/>
  </w:num>
  <w:num w:numId="80">
    <w:abstractNumId w:val="12"/>
  </w:num>
  <w:num w:numId="81">
    <w:abstractNumId w:val="2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39: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53"/>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8645C8AB5C934C79AA45783F8C15B413"/>
    <w:docVar w:name="LW_CROSSREFERENCE" w:val="{SWD(2017) 500 final}_x000b_{SWD(2017) 501 final}_x000b_{SWD(2017) 502 final}"/>
    <w:docVar w:name="LW_DocType" w:val="COM"/>
    <w:docVar w:name="LW_EMISSION" w:val="4.10.2017"/>
    <w:docVar w:name="LW_EMISSION_ISODATE" w:val="2017-10-0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EMPTY&gt;"/>
    <w:docVar w:name="LW_NOM.INST" w:val="EVROPSKÁ KOMISE"/>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Návrh"/>
    <w:docVar w:name="LW_SUPERTITRE" w:val="&lt;UNUSED&gt;"/>
    <w:docVar w:name="LW_TITRE.OBJ.CP" w:val="o agentu\u345?e ENISA, Evropské agentu\u345?e pro kybernetickou bezpe\u269?nost, a zru\u353?ení na\u345?ízení (EU) \u269?. 526/2013 a o certifikaci kybernetické bezpe\u269?nosti informa\u269?ních a komunika\u269?ních technologií (\u8222?akt o kybernetické bezpe\u269?nosti\u8220?)"/>
    <w:docVar w:name="LW_TYPE.DOC.CP" w:val="NA\u344?ÍZENÍ EVROPSKÉHO PARLAMENTU A RADY"/>
  </w:docVars>
  <w:rsids>
    <w:rsidRoot w:val="00557911"/>
    <w:rsid w:val="00557911"/>
    <w:rsid w:val="0062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cs-CZ"/>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cs-CZ"/>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styleId="Header">
    <w:name w:val="header"/>
    <w:basedOn w:val="Normal"/>
    <w:link w:val="HeaderChar"/>
    <w:uiPriority w:val="99"/>
    <w:unhideWhenUsed/>
    <w:rsid w:val="0062380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2380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2380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cs-CZ"/>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cs-CZ"/>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styleId="Header">
    <w:name w:val="header"/>
    <w:basedOn w:val="Normal"/>
    <w:link w:val="HeaderChar"/>
    <w:uiPriority w:val="99"/>
    <w:unhideWhenUsed/>
    <w:rsid w:val="0062380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2380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2380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CS/TXT/?qid=1503904054104&amp;uri=CELEX:32015D0443" TargetMode="External"/><Relationship Id="rId7" Type="http://schemas.openxmlformats.org/officeDocument/2006/relationships/hyperlink" Target="http://eur-lex.europa.eu/legal-content/CS/TXT/?qid=1503903628246&amp;uri=CELEX:31958R0001(01)"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eur-lex.europa.eu/legal-content/CS/TXT/?qid=1503903277883&amp;uri=CELEX:31996R2185" TargetMode="External"/><Relationship Id="rId5" Type="http://schemas.openxmlformats.org/officeDocument/2006/relationships/hyperlink" Target="http://eur-lex.europa.eu/legal-content/CS/TXT/?qid=1503902900883&amp;uri=CELEX:32013R0883" TargetMode="External"/><Relationship Id="rId4" Type="http://schemas.openxmlformats.org/officeDocument/2006/relationships/hyperlink" Target="http://eur-lex.europa.eu/legal-content/CS/TXT/?qid=1503904120075&amp;uri=CELEX:32015D0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CEA82-F754-4BDF-A2D0-33D5A9D2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92</Pages>
  <Words>30275</Words>
  <Characters>188917</Characters>
  <Application>Microsoft Office Word</Application>
  <DocSecurity>0</DocSecurity>
  <Lines>4019</Lines>
  <Paragraphs>1491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2017-10-06T15:12:00Z</dcterms:created>
  <dcterms:modified xsi:type="dcterms:W3CDTF">2017-10-11T09:26:00Z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