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7F" w:rsidRPr="009D2948" w:rsidRDefault="00BF6E58" w:rsidP="009D2948">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5DD551323474605B05A10F3092F85FF" style="width:449.4pt;height:446.9pt">
            <v:imagedata r:id="rId8" o:title=""/>
          </v:shape>
        </w:pict>
      </w:r>
    </w:p>
    <w:p w:rsidR="00F97C7F" w:rsidRPr="009D2948" w:rsidRDefault="00F97C7F" w:rsidP="00F97C7F">
      <w:pPr>
        <w:sectPr w:rsidR="00F97C7F" w:rsidRPr="009D2948" w:rsidSect="006B1E4D">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9D2948" w:rsidRPr="009D2948" w:rsidRDefault="009D2948" w:rsidP="009D2948">
      <w:pPr>
        <w:pStyle w:val="Exposdesmotifstitre"/>
        <w:rPr>
          <w:noProof/>
        </w:rPr>
      </w:pPr>
      <w:r w:rsidRPr="009D2948">
        <w:lastRenderedPageBreak/>
        <w:t>EXPUNERE DE MOTIVE</w:t>
      </w:r>
    </w:p>
    <w:p w:rsidR="009D2948" w:rsidRPr="009D2948" w:rsidRDefault="009D2948" w:rsidP="009D2948">
      <w:pPr>
        <w:pStyle w:val="ManualHeading1"/>
        <w:rPr>
          <w:noProof/>
        </w:rPr>
      </w:pPr>
      <w:r w:rsidRPr="009D2948">
        <w:t>CONTEXTUL PROPUNERII</w:t>
      </w:r>
    </w:p>
    <w:p w:rsidR="009D2948" w:rsidRPr="009D2948" w:rsidRDefault="009D2948" w:rsidP="009D2948">
      <w:pPr>
        <w:pStyle w:val="ManualHeading2"/>
        <w:rPr>
          <w:noProof/>
        </w:rPr>
      </w:pPr>
      <w:r w:rsidRPr="009D2948">
        <w:t>1.1.</w:t>
      </w:r>
      <w:r w:rsidRPr="009D2948">
        <w:tab/>
        <w:t>Motivele și obiectivele propunerii</w:t>
      </w:r>
    </w:p>
    <w:p w:rsidR="009D2948" w:rsidRPr="009D2948" w:rsidRDefault="009D2948" w:rsidP="009D2948">
      <w:pPr>
        <w:rPr>
          <w:rFonts w:eastAsia="Times New Roman"/>
          <w:noProof/>
        </w:rPr>
      </w:pPr>
      <w:r w:rsidRPr="009D2948">
        <w:t>Contractele derivate sunt un instrument esențial cu care băncile și întreprinderile europene își pot gestiona riscurile, indiferent dacă acestea sunt legate de variații ale ratelor dobânzii, fluctuații de curs valutar sau neîndeplinirea obligațiilor de către o contraparte la o tranzacție. Fiind netransparente, piețele instrumentelor financiare derivate au acționat, de asemenea, ca un canal de contagiune nedorit. Piețele instrumentelor financiare derivate trebuie, prin urmare, să fie reglementate și supravegheate în mod eficient pentru a proteja stabilitatea financiară.</w:t>
      </w:r>
    </w:p>
    <w:p w:rsidR="009D2948" w:rsidRPr="009D2948" w:rsidRDefault="009D2948" w:rsidP="009D2948">
      <w:pPr>
        <w:rPr>
          <w:rStyle w:val="None"/>
          <w:noProof/>
          <w:szCs w:val="24"/>
        </w:rPr>
      </w:pPr>
      <w:r w:rsidRPr="009D2948">
        <w:t>Având în vedere caracterul mondial al piețelor instrumentelor financiare derivate și în conformitate cu Acordul G20 de la Pittsburgh din 2009</w:t>
      </w:r>
      <w:r w:rsidRPr="009D2948">
        <w:rPr>
          <w:rStyle w:val="FootnoteReference"/>
          <w:noProof/>
        </w:rPr>
        <w:footnoteReference w:id="1"/>
      </w:r>
      <w:r w:rsidRPr="009D2948">
        <w:t xml:space="preserve"> </w:t>
      </w:r>
      <w:r w:rsidRPr="009D2948">
        <w:rPr>
          <w:rStyle w:val="None"/>
          <w:noProof/>
        </w:rPr>
        <w:t>de a reduce riscurile sistemice legate de utilizarea pe scară largă a instrumentelor financiare derivate, UE a adoptat Regulamentul privind infrastructura pieței europene (EMIR) în 2012.</w:t>
      </w:r>
      <w:r w:rsidRPr="009D2948">
        <w:rPr>
          <w:rStyle w:val="None"/>
          <w:noProof/>
          <w:vertAlign w:val="superscript"/>
        </w:rPr>
        <w:footnoteReference w:id="2"/>
      </w:r>
      <w:r w:rsidRPr="009D2948">
        <w:rPr>
          <w:rStyle w:val="None"/>
          <w:noProof/>
        </w:rPr>
        <w:t xml:space="preserve"> Obligația de compensare printr-o contraparte centrală (CPC) a contractelor cu instrumente financiare derivate standardizate extrabursiere constituie un pilon esențial al Regulamentului privind infrastructura pieței europene. O CPC este o infrastructură de piață care reduce riscul sistemic și sporește stabilitatea financiară, poziționându-se între cele două părți la un contract derivat (și anume fiind cumpărător pentru vânzător și vânzător pentru cumpărătorul de risc) și reducând astfel riscul pentru ambele părți. EMIR, a introdus, de asemenea, cerințe prudențiale, organizatorice și de conduită profesională stricte pentru CPC și a stabilit normele de supraveghere prudențială a acestora pentru a reduce la minimum orice risc pentru utilizatorii unei CPC și pentru a consolida stabilitatea sistemică.</w:t>
      </w:r>
    </w:p>
    <w:p w:rsidR="009D2948" w:rsidRPr="009D2948" w:rsidRDefault="009D2948" w:rsidP="009D2948">
      <w:pPr>
        <w:rPr>
          <w:rStyle w:val="None"/>
          <w:noProof/>
          <w:szCs w:val="24"/>
        </w:rPr>
      </w:pPr>
      <w:r w:rsidRPr="009D2948">
        <w:rPr>
          <w:rStyle w:val="None"/>
          <w:noProof/>
        </w:rPr>
        <w:t>Începând din 2012, când a fost adoptat EMIR, compensarea centrală s-a extins semnificativ, iar CPC au devenit din ce în ce mai concentrate și mai integrate la nivelul UE și în țările terțe.</w:t>
      </w:r>
    </w:p>
    <w:p w:rsidR="009D2948" w:rsidRPr="009D2948" w:rsidRDefault="009D2948" w:rsidP="009D2948">
      <w:pPr>
        <w:rPr>
          <w:rStyle w:val="None"/>
          <w:rFonts w:eastAsia="Times New Roman"/>
          <w:noProof/>
          <w:szCs w:val="24"/>
        </w:rPr>
      </w:pPr>
      <w:r w:rsidRPr="009D2948">
        <w:rPr>
          <w:rStyle w:val="None"/>
          <w:noProof/>
        </w:rPr>
        <w:t>Prezenta propunere urmărește să ofere asigurarea că mecanismele de supraveghere țin pasul cu aceste evoluții. Se propune ca UE să prevadă pentru uniunea piețelor de capital un sistem mai eficace și mai consecvent în materie de supraveghere a CPC, în interesul unei integrări sporite a pieței, al stabilității financiare și al unor condiții de concurență echitabile.</w:t>
      </w:r>
    </w:p>
    <w:p w:rsidR="009D2948" w:rsidRPr="009D2948" w:rsidRDefault="009D2948" w:rsidP="009D2948">
      <w:pPr>
        <w:rPr>
          <w:rStyle w:val="None"/>
          <w:rFonts w:eastAsia="Times New Roman"/>
          <w:b/>
          <w:bCs/>
          <w:i/>
          <w:iCs/>
          <w:noProof/>
          <w:szCs w:val="24"/>
        </w:rPr>
      </w:pPr>
      <w:r w:rsidRPr="009D2948">
        <w:rPr>
          <w:rStyle w:val="None"/>
          <w:b/>
          <w:i/>
          <w:noProof/>
        </w:rPr>
        <w:t>CPC au dobândit o importanță mai mare odată cu adoptarea EMIR și vor continua să se extindă în anii următori</w:t>
      </w:r>
    </w:p>
    <w:p w:rsidR="009D2948" w:rsidRPr="009D2948" w:rsidRDefault="009D2948" w:rsidP="009D2948">
      <w:pPr>
        <w:rPr>
          <w:rStyle w:val="None"/>
          <w:noProof/>
          <w:szCs w:val="24"/>
        </w:rPr>
      </w:pPr>
      <w:r w:rsidRPr="009D2948">
        <w:rPr>
          <w:rStyle w:val="None"/>
          <w:noProof/>
        </w:rPr>
        <w:t xml:space="preserve">La cinci ani de la adoptarea EMIR, volumul activității CPC - în UE și la nivel mondial - a crescut rapid atât ca amploare, cât și ca domeniu de aplicare. Acesta este un semn că legislația funcționează și că își îndeplinește misiunea. </w:t>
      </w:r>
    </w:p>
    <w:p w:rsidR="009D2948" w:rsidRPr="009D2948" w:rsidRDefault="009D2948" w:rsidP="009D2948">
      <w:pPr>
        <w:rPr>
          <w:rStyle w:val="None"/>
          <w:noProof/>
          <w:szCs w:val="24"/>
        </w:rPr>
      </w:pPr>
      <w:r w:rsidRPr="009D2948">
        <w:rPr>
          <w:rStyle w:val="None"/>
          <w:noProof/>
        </w:rPr>
        <w:t xml:space="preserve">La sfârșitul lunii iunie 2016, aproximativ 62 % din valoarea totală a tuturor contractelor cu instrumente financiare derivate extrabursiere și a claselor de active (ratele dobânzilor, riscul de credit, schimbul valutar etc.) erau compensate central prin CPC </w:t>
      </w:r>
      <w:r w:rsidRPr="009D2948">
        <w:rPr>
          <w:rStyle w:val="None"/>
          <w:noProof/>
          <w:vertAlign w:val="superscript"/>
        </w:rPr>
        <w:footnoteReference w:id="3"/>
      </w:r>
      <w:r w:rsidRPr="009D2948">
        <w:rPr>
          <w:rStyle w:val="None"/>
          <w:noProof/>
        </w:rPr>
        <w:t xml:space="preserve">, ceea ce echivalează cu 337 de mii de miliarde USD. Aproximativ 97 % (328 de mii de miliarde USD) din toate </w:t>
      </w:r>
      <w:r w:rsidRPr="009D2948">
        <w:rPr>
          <w:rStyle w:val="None"/>
          <w:noProof/>
        </w:rPr>
        <w:lastRenderedPageBreak/>
        <w:t xml:space="preserve">contractele cu instrumente financiare derivate compensate central sunt instrumente financiare derivate pe rata dobânzii. </w:t>
      </w:r>
    </w:p>
    <w:p w:rsidR="009D2948" w:rsidRPr="009D2948" w:rsidRDefault="009D2948" w:rsidP="009D2948">
      <w:pPr>
        <w:rPr>
          <w:rStyle w:val="None"/>
          <w:rFonts w:eastAsia="Times New Roman"/>
          <w:noProof/>
          <w:szCs w:val="24"/>
        </w:rPr>
      </w:pPr>
      <w:r w:rsidRPr="009D2948">
        <w:rPr>
          <w:rStyle w:val="None"/>
          <w:noProof/>
        </w:rPr>
        <w:t>La sfârșitul anului 2015, aproximativ 60 % din toate instrumentele financiare derivate extrabursiere pe rata dobânzii erau compensate central, față de 36 % la sfârșitul anului 2009</w:t>
      </w:r>
      <w:r w:rsidRPr="009D2948">
        <w:rPr>
          <w:rStyle w:val="None"/>
          <w:noProof/>
          <w:vertAlign w:val="superscript"/>
        </w:rPr>
        <w:footnoteReference w:id="4"/>
      </w:r>
      <w:r w:rsidRPr="009D2948">
        <w:rPr>
          <w:rStyle w:val="None"/>
          <w:noProof/>
        </w:rPr>
        <w:t>. Compensarea centrală a câștigat în importanță și pe piața instrumentelor derivate de credit (așa-numitele swap-uri pe riscul de credit), iar procentul de swap-uri pe riscul de credit restante care sunt compensate prin CPC a înregistrat o creștere continuă din momentul raportării pentru prima dată a acestor date, ajungând la 37 % la sfârșitul lui iunie 2016, față de 10 % la sfârșitul lunii iunie 2010</w:t>
      </w:r>
      <w:r w:rsidRPr="009D2948">
        <w:rPr>
          <w:rStyle w:val="None"/>
          <w:noProof/>
          <w:vertAlign w:val="superscript"/>
        </w:rPr>
        <w:footnoteReference w:id="5"/>
      </w:r>
      <w:r w:rsidRPr="009D2948">
        <w:rPr>
          <w:rStyle w:val="None"/>
          <w:noProof/>
        </w:rPr>
        <w:t xml:space="preserve">. </w:t>
      </w:r>
    </w:p>
    <w:p w:rsidR="009D2948" w:rsidRPr="009D2948" w:rsidRDefault="009D2948" w:rsidP="009D2948">
      <w:pPr>
        <w:rPr>
          <w:rStyle w:val="None"/>
          <w:rFonts w:eastAsia="Times New Roman"/>
          <w:noProof/>
          <w:szCs w:val="24"/>
        </w:rPr>
      </w:pPr>
      <w:r w:rsidRPr="009D2948">
        <w:rPr>
          <w:rStyle w:val="None"/>
          <w:noProof/>
        </w:rPr>
        <w:t>Creșterea rapidă a rolului pe care CPC îl au în sistemul financiar mondial nu reflectă doar introducerea obligațiilor de compensare centrală pentru diferite clase de active</w:t>
      </w:r>
      <w:r w:rsidRPr="009D2948">
        <w:rPr>
          <w:rStyle w:val="None"/>
          <w:noProof/>
          <w:vertAlign w:val="superscript"/>
        </w:rPr>
        <w:footnoteReference w:id="6"/>
      </w:r>
      <w:r w:rsidRPr="009D2948">
        <w:rPr>
          <w:rStyle w:val="None"/>
          <w:noProof/>
        </w:rPr>
        <w:t>, ci și recurgerea frecventă, pe bază voluntară, la compensarea centrală în contextul unui grad sporit de conștientizare a beneficiilor compensării centrale între participanții la piață (obligațiile de compensare se aplică doar din iunie 2016)</w:t>
      </w:r>
      <w:r w:rsidRPr="009D2948">
        <w:rPr>
          <w:rStyle w:val="None"/>
          <w:noProof/>
          <w:vertAlign w:val="superscript"/>
        </w:rPr>
        <w:footnoteReference w:id="7"/>
      </w:r>
      <w:r w:rsidRPr="009D2948">
        <w:rPr>
          <w:rStyle w:val="None"/>
          <w:noProof/>
        </w:rPr>
        <w:t>. EMIR prevede obligația de compensare centrală a anumitor instrumente financiare derivate pe rata dobânzii și a anumitor swapuri pe riscul de credit, în concordanță cu cerințele similare din celelalte țări care fac parte din G20</w:t>
      </w:r>
      <w:r w:rsidRPr="009D2948">
        <w:rPr>
          <w:rStyle w:val="None"/>
          <w:noProof/>
          <w:vertAlign w:val="superscript"/>
        </w:rPr>
        <w:footnoteReference w:id="8"/>
      </w:r>
      <w:r w:rsidRPr="009D2948">
        <w:rPr>
          <w:rStyle w:val="None"/>
          <w:noProof/>
        </w:rPr>
        <w:t>. S-au modificat, de asemenea, normele privind capitalul băncilor, pentru a stimula compensarea centrală și pentru ca opțiunea compensării bilaterale să devină relativ mai costisitoare</w:t>
      </w:r>
      <w:r w:rsidRPr="009D2948">
        <w:rPr>
          <w:rStyle w:val="None"/>
          <w:noProof/>
          <w:vertAlign w:val="superscript"/>
        </w:rPr>
        <w:footnoteReference w:id="9"/>
      </w:r>
      <w:r w:rsidRPr="009D2948">
        <w:rPr>
          <w:rStyle w:val="None"/>
          <w:noProof/>
        </w:rPr>
        <w:t>, în timp ce tranzacțiile bilaterale sunt supuse, din martie 2017, unor cerințe de garantare suplimentare</w:t>
      </w:r>
      <w:r w:rsidRPr="009D2948">
        <w:rPr>
          <w:rStyle w:val="None"/>
          <w:noProof/>
          <w:vertAlign w:val="superscript"/>
        </w:rPr>
        <w:footnoteReference w:id="10"/>
      </w:r>
      <w:r w:rsidRPr="009D2948">
        <w:rPr>
          <w:rStyle w:val="None"/>
          <w:noProof/>
        </w:rPr>
        <w:t>.</w:t>
      </w:r>
    </w:p>
    <w:p w:rsidR="009D2948" w:rsidRPr="009D2948" w:rsidRDefault="009D2948" w:rsidP="009D2948">
      <w:pPr>
        <w:rPr>
          <w:rStyle w:val="None"/>
          <w:rFonts w:eastAsia="Times New Roman"/>
          <w:noProof/>
          <w:szCs w:val="24"/>
        </w:rPr>
      </w:pPr>
      <w:r w:rsidRPr="009D2948">
        <w:rPr>
          <w:rStyle w:val="None"/>
          <w:noProof/>
        </w:rPr>
        <w:t>Este de așteptat ca extinderea activității CPC să continue în următorii ani. Există probabilitatea ca obligațiile de compensare imperative să fie prevăzute pentru clase de active suplimentare</w:t>
      </w:r>
      <w:r w:rsidRPr="009D2948">
        <w:rPr>
          <w:rStyle w:val="None"/>
          <w:noProof/>
          <w:vertAlign w:val="superscript"/>
        </w:rPr>
        <w:footnoteReference w:id="11"/>
      </w:r>
      <w:r w:rsidRPr="009D2948">
        <w:rPr>
          <w:rStyle w:val="None"/>
          <w:noProof/>
        </w:rPr>
        <w:t xml:space="preserve"> și ca stimulentele pentru reducerea riscurilor și a costurilor să conducă la o </w:t>
      </w:r>
      <w:r w:rsidRPr="009D2948">
        <w:rPr>
          <w:rStyle w:val="None"/>
          <w:noProof/>
        </w:rPr>
        <w:lastRenderedPageBreak/>
        <w:t>creștere și mai mare a compensării voluntare. Propunerea de modificare direcționată a EMIR din mai 2017, care are drept scop îmbunătățirea eficienței și a proporționalității, va accentua această tendință, stimulând și mai mult CPC să le ofere contrapărților servicii de compensare centrală a instrumentelor financiare derivate</w:t>
      </w:r>
      <w:r w:rsidRPr="009D2948">
        <w:rPr>
          <w:rStyle w:val="None"/>
          <w:noProof/>
          <w:vertAlign w:val="superscript"/>
        </w:rPr>
        <w:footnoteReference w:id="12"/>
      </w:r>
      <w:r w:rsidRPr="009D2948">
        <w:rPr>
          <w:rStyle w:val="None"/>
          <w:noProof/>
        </w:rPr>
        <w:t>. În cele din urmă, piețele de capital mai profunde și mai integrate, ca urmare a uniunii piețelor de capital, vor duce la creșterea necesității de compensare transfrontalieră în UE și, astfel, la creșterea importanței și a gradului de interconectare a CPC în cadrul sistemului financiar.</w:t>
      </w:r>
    </w:p>
    <w:p w:rsidR="009D2948" w:rsidRPr="009D2948" w:rsidRDefault="009D2948" w:rsidP="009D2948">
      <w:pPr>
        <w:rPr>
          <w:rStyle w:val="None"/>
          <w:rFonts w:eastAsia="Times New Roman"/>
          <w:noProof/>
          <w:szCs w:val="24"/>
        </w:rPr>
      </w:pPr>
      <w:r w:rsidRPr="009D2948">
        <w:rPr>
          <w:rStyle w:val="None"/>
          <w:b/>
          <w:i/>
          <w:noProof/>
        </w:rPr>
        <w:t>Rolul crescând al CPC ridică semne de întrebare cu privire la necesitatea de a ameliora mecanismele de supraveghere prevăzute de EMIR</w:t>
      </w:r>
      <w:r w:rsidRPr="009D2948">
        <w:rPr>
          <w:b/>
          <w:i/>
          <w:noProof/>
        </w:rPr>
        <w:t>, având în vedere, de asemenea, crearea uniunii piețelor de capital</w:t>
      </w:r>
      <w:r w:rsidRPr="009D2948">
        <w:rPr>
          <w:rStyle w:val="None"/>
          <w:b/>
          <w:i/>
          <w:noProof/>
        </w:rPr>
        <w:t xml:space="preserve"> </w:t>
      </w:r>
    </w:p>
    <w:p w:rsidR="009D2948" w:rsidRPr="009D2948" w:rsidRDefault="009D2948" w:rsidP="009D2948">
      <w:pPr>
        <w:rPr>
          <w:rStyle w:val="None"/>
          <w:rFonts w:eastAsia="Times New Roman"/>
          <w:noProof/>
          <w:szCs w:val="24"/>
        </w:rPr>
      </w:pPr>
      <w:r w:rsidRPr="009D2948">
        <w:rPr>
          <w:rStyle w:val="None"/>
          <w:noProof/>
        </w:rPr>
        <w:t xml:space="preserve">Importanța din ce în ce mai mare a CPC în sistemul financiar și concentrarea aferentă, în aceste infrastructuri, a riscului de credit au atras atenția guvernelor, autorităților de reglementare, organismelor de supraveghere, băncilor centrale și participanților la piață. </w:t>
      </w:r>
    </w:p>
    <w:p w:rsidR="009D2948" w:rsidRPr="009D2948" w:rsidRDefault="009D2948" w:rsidP="009D2948">
      <w:pPr>
        <w:rPr>
          <w:rStyle w:val="None"/>
          <w:rFonts w:eastAsia="Times New Roman"/>
          <w:noProof/>
          <w:szCs w:val="24"/>
        </w:rPr>
      </w:pPr>
      <w:r w:rsidRPr="009D2948">
        <w:rPr>
          <w:rStyle w:val="None"/>
          <w:noProof/>
        </w:rPr>
        <w:t>Deși dimensiunea și domeniul de aplicare al tranzacțiilor compensate la nivel central s-au extins, numărul de CPC a rămas relativ limitat. În prezent, există 17 CPC stabilite în UE, toate fiind autorizate în temeiul EMIR să își ofere serviciile în Uniune - deși nu toate CPC sunt autorizate să compenseze toate clasele de active (de exemplu, doar 2 compensează instrumente derivate de credit și doar 2 compensează instrumente derivate pe rata inflației</w:t>
      </w:r>
      <w:r w:rsidRPr="009D2948">
        <w:rPr>
          <w:rStyle w:val="None"/>
          <w:noProof/>
          <w:vertAlign w:val="superscript"/>
        </w:rPr>
        <w:footnoteReference w:id="13"/>
      </w:r>
      <w:r w:rsidRPr="009D2948">
        <w:rPr>
          <w:rStyle w:val="None"/>
          <w:noProof/>
        </w:rPr>
        <w:t>)</w:t>
      </w:r>
      <w:r w:rsidRPr="009D2948">
        <w:rPr>
          <w:rStyle w:val="None"/>
          <w:noProof/>
          <w:vertAlign w:val="superscript"/>
        </w:rPr>
        <w:footnoteReference w:id="14"/>
      </w:r>
      <w:r w:rsidRPr="009D2948">
        <w:rPr>
          <w:rStyle w:val="None"/>
          <w:noProof/>
        </w:rPr>
        <w:t>. Un număr suplimentar de 28 de CPC din țări terțe au fost recunoscute în temeiul dispozițiilor din EMIR privind echivalența, putând astfel să își ofere serviciile în UE</w:t>
      </w:r>
      <w:r w:rsidRPr="009D2948">
        <w:rPr>
          <w:rStyle w:val="None"/>
          <w:noProof/>
          <w:vertAlign w:val="superscript"/>
        </w:rPr>
        <w:footnoteReference w:id="15"/>
      </w:r>
      <w:r w:rsidRPr="009D2948">
        <w:rPr>
          <w:rStyle w:val="None"/>
          <w:noProof/>
        </w:rPr>
        <w:t>. În consecință, piețele de compensare sunt integrate în întreaga UE și sunt foarte concentrate în anumite clase de active. Aceste piețe sunt, de asemenea, strâns interconectate</w:t>
      </w:r>
      <w:r w:rsidRPr="009D2948">
        <w:rPr>
          <w:rStyle w:val="None"/>
          <w:noProof/>
          <w:vertAlign w:val="superscript"/>
        </w:rPr>
        <w:footnoteReference w:id="16"/>
      </w:r>
      <w:r w:rsidRPr="009D2948">
        <w:rPr>
          <w:rStyle w:val="None"/>
          <w:noProof/>
        </w:rPr>
        <w:t xml:space="preserve">. </w:t>
      </w:r>
    </w:p>
    <w:p w:rsidR="009D2948" w:rsidRPr="009D2948" w:rsidRDefault="009D2948" w:rsidP="009D2948">
      <w:pPr>
        <w:rPr>
          <w:rStyle w:val="None"/>
          <w:noProof/>
          <w:szCs w:val="24"/>
        </w:rPr>
      </w:pPr>
      <w:r w:rsidRPr="009D2948">
        <w:rPr>
          <w:rStyle w:val="None"/>
          <w:noProof/>
        </w:rPr>
        <w:t xml:space="preserve">Deși un grad sporit de compensare prin intermediul unor CPC reglementate și supravegheate în mod corespunzător consolidează stabilitatea sistemică în general, concentrarea riscurilor înseamnă că există o probabilitate redusă ca o CPC să intre în dificultate majoră, însă în cazul în care survine această situație, impactul poate fi foarte puternic. Având în vedere locul central pe care îl ocupă CPC în sistemul financiar, importanța sistemică în creștere a acestora devine preocupantă. CPC au devenit, în sine, o sursă de risc macroprudențial, întrucât dificultățile majore cu care s-ar putea confrunta acestea ar putea cauza o perturbare semnificativă a sistemului financiar și ar avea efecte sistemice. De exemplu, rezilierea și lichidarea necontrolată, la scară largă, a contractelor compensate prin CPC ar putea genera tensiuni legate de lichidități și garanții reale pe întreaga piață, cauzând instabilitate pe piața </w:t>
      </w:r>
      <w:r w:rsidRPr="009D2948">
        <w:rPr>
          <w:rStyle w:val="None"/>
          <w:noProof/>
        </w:rPr>
        <w:lastRenderedPageBreak/>
        <w:t xml:space="preserve">activelor subiacente și în sistemul financiar în ansamblul său. La rândul lor, ca și alți intermediari financiari, CPC pot fi afectate de „retrageri masive” ca urmare a pierderii încrederii membrilor compensatori în solvabilitatea unei CPC. Acest lucru ar putea crea un șoc de lichiditate pentru CPC, atunci când ar încerca să își îndeplinească obligațiile de a restitui garanțiile principale (și anume marja inițială). Impactul unei dificultăți majore a unei CPC cauzată de concentrarea sporită a riscului ar fi amplificat de gradul crescând de interconectare dintre CPC, atât direct, cât și indirect, prin intermediul membrilor (de obicei, bănci de talie mare care acționează la nivel mondial) și al clienților lor. </w:t>
      </w:r>
    </w:p>
    <w:p w:rsidR="009D2948" w:rsidRPr="009D2948" w:rsidRDefault="009D2948" w:rsidP="009D2948">
      <w:pPr>
        <w:rPr>
          <w:rStyle w:val="None"/>
          <w:rFonts w:eastAsia="Times New Roman"/>
          <w:noProof/>
          <w:szCs w:val="24"/>
        </w:rPr>
      </w:pPr>
      <w:r w:rsidRPr="009D2948">
        <w:rPr>
          <w:rStyle w:val="None"/>
          <w:noProof/>
        </w:rPr>
        <w:t>Drept răspuns la acest risc și în conformitate cu consensul la care s-a ajuns în cadrul G20</w:t>
      </w:r>
      <w:r w:rsidRPr="009D2948">
        <w:rPr>
          <w:rStyle w:val="None"/>
          <w:noProof/>
          <w:vertAlign w:val="superscript"/>
        </w:rPr>
        <w:footnoteReference w:id="17"/>
      </w:r>
      <w:r w:rsidRPr="009D2948">
        <w:rPr>
          <w:rStyle w:val="None"/>
          <w:noProof/>
        </w:rPr>
        <w:t>, în noiembrie 2016</w:t>
      </w:r>
      <w:r w:rsidRPr="009D2948">
        <w:rPr>
          <w:rStyle w:val="None"/>
          <w:noProof/>
          <w:vertAlign w:val="superscript"/>
        </w:rPr>
        <w:footnoteReference w:id="18"/>
      </w:r>
      <w:r w:rsidRPr="009D2948">
        <w:rPr>
          <w:rStyle w:val="None"/>
          <w:noProof/>
        </w:rPr>
        <w:t xml:space="preserve"> Comisia a adoptat o propunere de regulament privind redresarea și rezoluția CPC. Obiectivul propunerii este de a garanta că autoritățile sunt pregătite în mod adecvat să facă față unei dificultăți majore a unei CPC, pentru a proteja stabilitatea financiară și a limita costurile suportate de contribuabili. Propunerea privind redresarea și rezoluția CPC­urilor a îndreptat din nou atenția asupra mecanismelor de supraveghere a CPC din UE și din țări terțe incluse în EMIR și asupra măsurii în care aceste mecanisme pot fi eficientizate la cinci ani de la adoptarea EMIR. În prezent, propunerea face obiectul negocierilor în cadrul Parlamentului European și al Consiliului. Eforturile depuse în prezent trebuie să fie coordonate și coerente cu propunerea actuală.</w:t>
      </w:r>
    </w:p>
    <w:p w:rsidR="009D2948" w:rsidRPr="009D2948" w:rsidRDefault="009D2948" w:rsidP="009D2948">
      <w:pPr>
        <w:rPr>
          <w:rStyle w:val="None"/>
          <w:rFonts w:eastAsia="Times New Roman"/>
          <w:i/>
          <w:iCs/>
          <w:noProof/>
          <w:szCs w:val="24"/>
        </w:rPr>
      </w:pPr>
      <w:r w:rsidRPr="009D2948">
        <w:rPr>
          <w:rStyle w:val="None"/>
          <w:i/>
          <w:noProof/>
        </w:rPr>
        <w:t>Mecanisme de supraveghere a CPC din UE</w:t>
      </w:r>
    </w:p>
    <w:p w:rsidR="009D2948" w:rsidRPr="009D2948" w:rsidRDefault="009D2948" w:rsidP="009D2948">
      <w:pPr>
        <w:rPr>
          <w:rStyle w:val="None"/>
          <w:rFonts w:eastAsia="Times New Roman"/>
          <w:noProof/>
          <w:szCs w:val="24"/>
        </w:rPr>
      </w:pPr>
      <w:r w:rsidRPr="009D2948">
        <w:rPr>
          <w:rStyle w:val="None"/>
          <w:noProof/>
        </w:rPr>
        <w:t>În temeiul EMIR, CPC din UE sunt supravegheate de colegii ale autorităților naționale de supraveghere, de Autoritatea Europeană pentru Valori Mobiliare și Piețe (ESMA), de membrii relevanți ai Sistemului European al Băncilor Centrale (SEBC) și de alte autorități relevante (de exemplu, autoritățile de supraveghere ale celor mai mari membri compensatori, autoritățile de supraveghere ale anumitor locuri de tranzacționare și ale depozitarilor centrali de titluri de valoare ). Aceste colegii pot include până la 20 de autorități membre și se bazează pe coordonarea realizată de autoritatea din țara de origine. Aceste mecanisme ridică anumite probleme</w:t>
      </w:r>
      <w:r w:rsidRPr="009D2948">
        <w:t>, având în vedere nivelul actual de integrare de pe piață, care trebuie să se reflecte în mecanismele de supraveghere. Acest lucru este important și în vederea înregistrării de progrese în ceea ce privește uniunea piețelor de capital</w:t>
      </w:r>
      <w:r w:rsidRPr="009D2948">
        <w:rPr>
          <w:rStyle w:val="None"/>
          <w:noProof/>
        </w:rPr>
        <w:t xml:space="preserve">. </w:t>
      </w:r>
    </w:p>
    <w:p w:rsidR="009D2948" w:rsidRPr="009D2948" w:rsidRDefault="009D2948" w:rsidP="009D2948">
      <w:pPr>
        <w:rPr>
          <w:rFonts w:eastAsia="Times New Roman"/>
          <w:noProof/>
        </w:rPr>
      </w:pPr>
      <w:r w:rsidRPr="009D2948">
        <w:rPr>
          <w:rStyle w:val="None"/>
          <w:noProof/>
        </w:rPr>
        <w:t>În primul rând, concentrarea tot mai mare a serviciilor de compensare într-un număr limitat de CPC, precum și extinderea în consecință a activității transfrontaliere a acestora presupune că CPC dintr-un număr redus de state membre distincte sunt din ce în ce mai importante pentru sistemul financiar al UE în ansamblul său. Având în vedere această tendință, trebuie reexaminate mecanismele de supraveghere actuale bazate în principal pe autoritatea din țara de origine (de exemplu, autoritatea din statul membru de origine este cea responsabilă în ultimă instanță pentru deciziile importante, cum ar fi prelungirea autorizației sau aprobarea externalizării și a mecanismelor de interoperabilitate).</w:t>
      </w:r>
    </w:p>
    <w:p w:rsidR="009D2948" w:rsidRPr="009D2948" w:rsidRDefault="009D2948" w:rsidP="009D2948">
      <w:pPr>
        <w:rPr>
          <w:rFonts w:eastAsia="Times New Roman"/>
          <w:noProof/>
        </w:rPr>
      </w:pPr>
      <w:r w:rsidRPr="009D2948">
        <w:rPr>
          <w:rStyle w:val="None"/>
          <w:noProof/>
        </w:rPr>
        <w:t xml:space="preserve">În al doilea rând, diferențele dintre practicile de supraveghere a CPC (de exemplu, condiții diferite de autorizare sau procese diferite de validare a modelului) în cadrul UE pot crea riscuri de arbitraj de reglementare și de supraveghere pentru CPC și, indirect, pentru membrii compensatori sau clienții lor. Comisia a atras atenția asupra acestor riscuri emergente și a necesității unui grad sporit de convergență prudențială în Comunicarea sa privind uniunea </w:t>
      </w:r>
      <w:r w:rsidRPr="009D2948">
        <w:rPr>
          <w:rStyle w:val="None"/>
          <w:noProof/>
        </w:rPr>
        <w:lastRenderedPageBreak/>
        <w:t>piețelor de capital din septembrie 2016</w:t>
      </w:r>
      <w:r w:rsidRPr="009D2948">
        <w:rPr>
          <w:rStyle w:val="None"/>
          <w:noProof/>
          <w:vertAlign w:val="superscript"/>
        </w:rPr>
        <w:footnoteReference w:id="19"/>
      </w:r>
      <w:r w:rsidRPr="009D2948">
        <w:rPr>
          <w:rStyle w:val="None"/>
          <w:noProof/>
        </w:rPr>
        <w:t xml:space="preserve"> și în cadrul consultării publice privind operațiunile autorităților europene de supraveghere (AES)</w:t>
      </w:r>
      <w:r w:rsidRPr="009D2948">
        <w:rPr>
          <w:rStyle w:val="None"/>
          <w:noProof/>
          <w:vertAlign w:val="superscript"/>
        </w:rPr>
        <w:footnoteReference w:id="20"/>
      </w:r>
      <w:r w:rsidRPr="009D2948">
        <w:rPr>
          <w:rStyle w:val="None"/>
          <w:noProof/>
        </w:rPr>
        <w:t>, ambele evidențiind provocările reprezentate de practicile de supraveghere eterogene.</w:t>
      </w:r>
    </w:p>
    <w:p w:rsidR="009D2948" w:rsidRPr="009D2948" w:rsidRDefault="009D2948" w:rsidP="009D2948">
      <w:pPr>
        <w:rPr>
          <w:rFonts w:eastAsia="Times New Roman"/>
          <w:noProof/>
        </w:rPr>
      </w:pPr>
      <w:r w:rsidRPr="009D2948">
        <w:rPr>
          <w:rStyle w:val="None"/>
          <w:noProof/>
        </w:rPr>
        <w:t>În al treilea rând, rolul băncilor centrale - în calitate de emitenți de monedă - nu se reflectă în mod adecvat în colegiile pentru CPC. Deși mandatele băncilor centrale și ale autorităților de supraveghere se pot suprapune, în special în domenii precum interoperabilitatea sau controalele riscului de lichiditate, este posibil să existe neconcordanțe atunci când acțiunile de supraveghere influențează principalele responsabilități ale băncilor centrale în domenii precum stabilitatea prețurilor, politica monetară și sistemele de plăți. În situații de criză, aceste neconcordanțe pot amplifica riscurile pentru stabilitatea financiară, în cazul în care repartizarea responsabilităților între autorități rămâne neclară.</w:t>
      </w:r>
    </w:p>
    <w:p w:rsidR="009D2948" w:rsidRPr="009D2948" w:rsidRDefault="009D2948" w:rsidP="009D2948">
      <w:pPr>
        <w:rPr>
          <w:rStyle w:val="None"/>
          <w:rFonts w:eastAsia="Times New Roman"/>
          <w:i/>
          <w:iCs/>
          <w:noProof/>
          <w:szCs w:val="24"/>
        </w:rPr>
      </w:pPr>
      <w:r w:rsidRPr="009D2948">
        <w:rPr>
          <w:rStyle w:val="None"/>
          <w:i/>
          <w:noProof/>
        </w:rPr>
        <w:t>Mecanismele de supraveghere a CPC din țări terțe</w:t>
      </w:r>
    </w:p>
    <w:p w:rsidR="009D2948" w:rsidRPr="009D2948" w:rsidRDefault="009D2948" w:rsidP="009D2948">
      <w:pPr>
        <w:rPr>
          <w:rStyle w:val="None"/>
          <w:noProof/>
          <w:szCs w:val="24"/>
        </w:rPr>
      </w:pPr>
      <w:r w:rsidRPr="009D2948">
        <w:rPr>
          <w:rStyle w:val="None"/>
          <w:noProof/>
        </w:rPr>
        <w:t>În prezent, un număr semnificativ de instrumente financiare denominate în monedele statelor membre sunt compensate de CPC recunoscute din țări terțe. De exemplu, valoarea noțională restantă la Chicago Mercantile Exchange (CME) în SUA este de 1,8 mii de miliarde EUR pentru instrumente financiare derivate pe rata dobânzii denominate în euro, și, respectiv, de 348 de miliarde SEK pentru instrumente financiare derivate pe rata dobânzii denominate în SEK. Acest lucru dă naștere, de asemenea, unei serii întregi de motive de îngrijorare.</w:t>
      </w:r>
    </w:p>
    <w:p w:rsidR="009D2948" w:rsidRPr="009D2948" w:rsidRDefault="009D2948" w:rsidP="009D2948">
      <w:pPr>
        <w:rPr>
          <w:rFonts w:eastAsia="Times New Roman"/>
          <w:noProof/>
        </w:rPr>
      </w:pPr>
      <w:r w:rsidRPr="009D2948">
        <w:rPr>
          <w:rStyle w:val="None"/>
          <w:noProof/>
        </w:rPr>
        <w:t>În primul rând, punerea în aplicare a sistemului de echivalență și de recunoaștere în temeiul EMIR a demonstrat anumite deficiențe, în special în ceea ce privește supravegherea continuă. În particular, după ce o CPC dintr-o țară terță a fost recunoscută, ESMA a întâmpinat dificultăți legate de obținerea de informații din partea respectivei CPC, de efectuarea de inspecții la fața locului la CPC și de schimbul de informații cu autoritățile de reglementare, organismele de supraveghere și băncile centrale relevante din UE. Prin urmare, există un risc ca practicile și/sau ajustările la modelele de gestionare a riscului ale acestei CPC dintr-o țară terță să rămână nedetectate și/sau neabordate, ceea ce ar putea avea implicații importante pentru stabilitatea financiară a entităților din UE.</w:t>
      </w:r>
    </w:p>
    <w:p w:rsidR="009D2948" w:rsidRPr="009D2948" w:rsidRDefault="009D2948" w:rsidP="009D2948">
      <w:pPr>
        <w:rPr>
          <w:rFonts w:eastAsia="Times New Roman"/>
          <w:noProof/>
        </w:rPr>
      </w:pPr>
      <w:r w:rsidRPr="009D2948">
        <w:rPr>
          <w:rStyle w:val="None"/>
          <w:noProof/>
        </w:rPr>
        <w:t xml:space="preserve">În al doilea rând, neconcordanțele ce pot apărea, în cadrul colegiilor, între obiectivele de supraveghere și cele ale băncilor centrale dobândesc o dimensiune suplimentară în contextul CPC din țări terțe în care sunt implicate autorități din afara UE. </w:t>
      </w:r>
    </w:p>
    <w:p w:rsidR="009D2948" w:rsidRPr="009D2948" w:rsidRDefault="009D2948" w:rsidP="009D2948">
      <w:pPr>
        <w:rPr>
          <w:rFonts w:eastAsia="Times New Roman"/>
          <w:noProof/>
        </w:rPr>
      </w:pPr>
      <w:r w:rsidRPr="009D2948">
        <w:rPr>
          <w:rStyle w:val="None"/>
          <w:noProof/>
        </w:rPr>
        <w:t>În al treilea rând, există riscul ca modificările aduse normelor și/sau cadrului de reglementare privind CPC într-o țară terță să afecteze negativ rezultatele în materie de reglementare sau de supraveghere, ducând la condiții de concurență inegale între CPC din UE și cele din țările terțe și deschizând calea către un arbitraj de reglementare sau de supraveghere. În prezent nu există niciun mecanism care să garanteze că UE este informată automat de astfel de schimbări și că poate lua măsurile corespunzătoare.</w:t>
      </w:r>
    </w:p>
    <w:p w:rsidR="009D2948" w:rsidRPr="009D2948" w:rsidRDefault="009D2948" w:rsidP="009D2948">
      <w:pPr>
        <w:rPr>
          <w:rStyle w:val="None"/>
          <w:rFonts w:eastAsia="Times New Roman"/>
          <w:noProof/>
          <w:szCs w:val="24"/>
        </w:rPr>
      </w:pPr>
      <w:r w:rsidRPr="009D2948">
        <w:rPr>
          <w:rStyle w:val="None"/>
          <w:noProof/>
        </w:rPr>
        <w:t>Este posibil ca aceste preocupări să devină și mai importante în următorii ani, deoarece, prin natura mondială a piețelor de capital, rolul CPC din țări terțe nu poate decât să se extindă. În plus față de cele 28 de CPC din țări terțe deja recunoscute de ESMA, alte 12 CPC din 10 jurisdicții au solicitat recunoașterea</w:t>
      </w:r>
      <w:r w:rsidRPr="009D2948">
        <w:rPr>
          <w:rStyle w:val="None"/>
          <w:noProof/>
          <w:vertAlign w:val="superscript"/>
        </w:rPr>
        <w:footnoteReference w:id="21"/>
      </w:r>
      <w:r w:rsidRPr="009D2948">
        <w:rPr>
          <w:rStyle w:val="None"/>
          <w:noProof/>
        </w:rPr>
        <w:t xml:space="preserve"> și așteaptă decizia Comisiei privind echivalența regimurilor lor de reglementare și de supraveghere.</w:t>
      </w:r>
    </w:p>
    <w:p w:rsidR="009D2948" w:rsidRPr="009D2948" w:rsidRDefault="009D2948" w:rsidP="009D2948">
      <w:pPr>
        <w:rPr>
          <w:rStyle w:val="None"/>
          <w:rFonts w:eastAsia="Times New Roman"/>
          <w:noProof/>
          <w:szCs w:val="24"/>
        </w:rPr>
      </w:pPr>
      <w:r w:rsidRPr="009D2948">
        <w:rPr>
          <w:rStyle w:val="None"/>
          <w:noProof/>
        </w:rPr>
        <w:lastRenderedPageBreak/>
        <w:t>În plus, un volum substanțial de tranzacții cu instrumente derivate denominate în euro (și alte tranzacții care fac obiectul obligației de compensare la nivelul UE) este în prezent compensat în CPC stabilite în Regatul Unit. Când Regatul Unit se va retrage din UE, se va modifica, așadar, în mod clar proporția acestor tranzacții compensate de CPC din afara jurisdicției UE, ceea ce va amplifica preocupările descrise mai sus. Aceasta presupune provocări semnificative pentru garantarea stabilității financiare în UE, care trebuie să fie abordate.</w:t>
      </w:r>
    </w:p>
    <w:p w:rsidR="009D2948" w:rsidRPr="009D2948" w:rsidRDefault="009D2948" w:rsidP="009D2948">
      <w:pPr>
        <w:rPr>
          <w:rStyle w:val="None"/>
          <w:rFonts w:eastAsia="Times New Roman"/>
          <w:noProof/>
          <w:szCs w:val="24"/>
        </w:rPr>
      </w:pPr>
      <w:r w:rsidRPr="009D2948">
        <w:rPr>
          <w:rStyle w:val="None"/>
          <w:noProof/>
        </w:rPr>
        <w:t>Având în vedere aceste considerații, Comisia a adoptat, la 4 mai 2017, o comunicare privind răspunsul la provocările cu care se confruntă infrastructurile critice ale piețelor financiare și dezvoltarea în continuare a uniunii piețelor de capital</w:t>
      </w:r>
      <w:r w:rsidRPr="009D2948">
        <w:rPr>
          <w:rStyle w:val="None"/>
          <w:noProof/>
          <w:vertAlign w:val="superscript"/>
        </w:rPr>
        <w:footnoteReference w:id="22"/>
      </w:r>
      <w:r w:rsidRPr="009D2948">
        <w:rPr>
          <w:rStyle w:val="None"/>
          <w:noProof/>
        </w:rPr>
        <w:t>. În comunicare se indică faptul că „vor fi necesare modificări suplimentare [ale EMIR] pentru îmbunătățirea cadrului actual care asigură stabilitatea financiară și sprijină dezvoltarea și aprofundarea în continuare a uniunii piețelor de capital (UPC).”.</w:t>
      </w:r>
    </w:p>
    <w:p w:rsidR="009D2948" w:rsidRPr="009D2948" w:rsidRDefault="009D2948" w:rsidP="009D2948">
      <w:pPr>
        <w:rPr>
          <w:rStyle w:val="None"/>
          <w:rFonts w:eastAsia="Times New Roman"/>
          <w:b/>
          <w:bCs/>
          <w:i/>
          <w:iCs/>
          <w:noProof/>
          <w:szCs w:val="24"/>
        </w:rPr>
      </w:pPr>
      <w:r w:rsidRPr="009D2948">
        <w:rPr>
          <w:rStyle w:val="None"/>
          <w:b/>
          <w:i/>
          <w:noProof/>
        </w:rPr>
        <w:t>Necesitatea de a îmbunătăți mecanismele de supraveghere actuale</w:t>
      </w:r>
    </w:p>
    <w:p w:rsidR="009D2948" w:rsidRPr="009D2948" w:rsidRDefault="009D2948" w:rsidP="009D2948">
      <w:pPr>
        <w:rPr>
          <w:noProof/>
        </w:rPr>
      </w:pPr>
      <w:r w:rsidRPr="009D2948">
        <w:rPr>
          <w:rStyle w:val="None"/>
          <w:noProof/>
        </w:rPr>
        <w:t>Întrucât contextul în care se desfășoară compensarea în UE este în continuă evoluție, mecanismele de prevenire și de gestionare a crizelor cu care s-ar putea confrunta CPC trebuie să fie cât mai eficace cu putință. EMIR și Propunerea de regulament a Comisiei privind redresarea și rezoluția CPC sunt etape importante în acest sens. Cu toate acestea, la cinci ani de la adoptarea EMIR, creșterea mărimii, complexității și dimensiunii transfrontaliere a compensării în UE și la nivel mondial a evidențiat deficiențe în mecanismele de supraveghere a CPC din UE și țările terțe. Prin urmare, prezenta propunere expune modificările specifice ale EMIR și ale Regulamentului privind ESMA</w:t>
      </w:r>
      <w:r w:rsidRPr="009D2948">
        <w:rPr>
          <w:rStyle w:val="None"/>
          <w:noProof/>
          <w:vertAlign w:val="superscript"/>
        </w:rPr>
        <w:footnoteReference w:id="23"/>
      </w:r>
      <w:r w:rsidRPr="009D2948">
        <w:rPr>
          <w:rStyle w:val="None"/>
          <w:noProof/>
        </w:rPr>
        <w:t xml:space="preserve">, menite în special să stabilească mecanisme de supraveghere clare și coerente atât pentru CPC din UE, cât și pentru cele din țările terțe. </w:t>
      </w:r>
    </w:p>
    <w:p w:rsidR="009D2948" w:rsidRPr="009D2948" w:rsidRDefault="009D2948" w:rsidP="009D2948">
      <w:pPr>
        <w:rPr>
          <w:rStyle w:val="None"/>
          <w:noProof/>
          <w:szCs w:val="24"/>
        </w:rPr>
      </w:pPr>
      <w:r w:rsidRPr="009D2948">
        <w:rPr>
          <w:rStyle w:val="None"/>
          <w:noProof/>
        </w:rPr>
        <w:t>Raportul de evaluare a impactului care însoțește prezenta propunere examinează costurile și beneficiile acestor modificări. Acesta prezintă o serie de opțiuni pentru</w:t>
      </w:r>
      <w:r w:rsidRPr="009D2948">
        <w:t xml:space="preserve"> </w:t>
      </w:r>
      <w:r w:rsidRPr="009D2948">
        <w:rPr>
          <w:rStyle w:val="None"/>
          <w:noProof/>
        </w:rPr>
        <w:t>a consolida supravegherea CPC la nivelul UE, a implica mai mult băncile centrale emitente în supravegherea CPC și a consolida capacitatea UE de a monitoriza, a identifica și a atenua riscurile legate de CPC din țări terțe.</w:t>
      </w:r>
    </w:p>
    <w:p w:rsidR="009D2948" w:rsidRPr="009D2948" w:rsidRDefault="009D2948" w:rsidP="009D2948">
      <w:pPr>
        <w:rPr>
          <w:rStyle w:val="None"/>
          <w:b/>
          <w:noProof/>
          <w:szCs w:val="24"/>
        </w:rPr>
      </w:pPr>
      <w:r w:rsidRPr="009D2948">
        <w:rPr>
          <w:rStyle w:val="None"/>
          <w:noProof/>
        </w:rPr>
        <w:t xml:space="preserve">Raportul de evaluare a impactului prezintă informații complete care dovedesc că modificările propuse contribuie în mod efectiv la consolidarea stabilității generale a sistemului financiar al UE și la reducerea și mai mult a probabilității deja scăzute (dar cu un impact extrem de puternic) a unui risc de intrare în dificultate majoră a unei CPC, menținând în același timp costurile la un nivel minim pentru participanții la piață. Modificările propuse contribuie, de asemenea, la dezvoltarea și aprofundarea pe mai departe a uniunii piețelor de capital, în concordanță cu prioritățile politice ale Comisiei. </w:t>
      </w:r>
    </w:p>
    <w:p w:rsidR="009D2948" w:rsidRPr="009D2948" w:rsidRDefault="009D2948" w:rsidP="009D2948">
      <w:pPr>
        <w:pStyle w:val="ManualHeading2"/>
        <w:rPr>
          <w:noProof/>
          <w:color w:val="000000"/>
          <w:u w:color="000000"/>
          <w:bdr w:val="nil"/>
        </w:rPr>
      </w:pPr>
      <w:r w:rsidRPr="009D2948">
        <w:t>1.2.</w:t>
      </w:r>
      <w:r w:rsidRPr="009D2948">
        <w:tab/>
        <w:t>Coerența cu dispozițiile existente în domeniul de politică vizat</w:t>
      </w:r>
    </w:p>
    <w:p w:rsidR="009D2948" w:rsidRPr="009D2948" w:rsidRDefault="009D2948" w:rsidP="009D2948">
      <w:pPr>
        <w:rPr>
          <w:rStyle w:val="None"/>
          <w:rFonts w:eastAsia="Times New Roman"/>
          <w:noProof/>
          <w:szCs w:val="24"/>
        </w:rPr>
      </w:pPr>
      <w:r w:rsidRPr="009D2948">
        <w:rPr>
          <w:rStyle w:val="None"/>
          <w:noProof/>
        </w:rPr>
        <w:t xml:space="preserve">Prezenta propunere are legătură și este în concordanță cu o serie de alte politici și inițiative în curs ale UE care au drept scop: (i) să abordeze importanța sistemică a CPC; (ii) să promoveze utilizarea compensării centrale și (iii) să sporească eficiența și eficacitatea supravegherii la nivelul UE, atât în interiorul, cât și în afara UE. </w:t>
      </w:r>
    </w:p>
    <w:p w:rsidR="009D2948" w:rsidRPr="009D2948" w:rsidRDefault="009D2948" w:rsidP="009D2948">
      <w:pPr>
        <w:spacing w:before="0" w:after="240"/>
        <w:rPr>
          <w:rStyle w:val="None"/>
          <w:noProof/>
        </w:rPr>
      </w:pPr>
      <w:r w:rsidRPr="009D2948">
        <w:rPr>
          <w:rStyle w:val="None"/>
          <w:noProof/>
        </w:rPr>
        <w:lastRenderedPageBreak/>
        <w:t>În primul rând, prezenta propunere este în concordanță cu Propunerea Comisiei</w:t>
      </w:r>
      <w:r w:rsidRPr="009D2948">
        <w:rPr>
          <w:rStyle w:val="None"/>
          <w:noProof/>
          <w:vertAlign w:val="superscript"/>
        </w:rPr>
        <w:footnoteReference w:id="24"/>
      </w:r>
      <w:r w:rsidRPr="009D2948">
        <w:rPr>
          <w:rStyle w:val="None"/>
          <w:noProof/>
        </w:rPr>
        <w:t xml:space="preserve"> de regulament privind redresarea și rezoluția CPC, adoptată în noiembrie 2016. Această propunere urmărește să asigure faptul că autoritățile UE și cele naționale sunt pregătite în mod corespunzător pentru a face față eventualității în care o CPC intră în dificultate majoră, a menține stabilitatea financiară și a evita situația în care costurile aferente restructurării și rezoluției CPC în cauză sunt suportate de contribuabili. Propunerea Comisiei urmărește să asigure faptul că, în scenariul improbabil în care CPC intră în dificultate sau în dificultate majoră, funcțiile critice ale acestora sunt conservate, menținându-se, în același timp, stabilitatea financiară și evitându-se situația în care costurile aferente restructurării și rezoluției CPC în cauză ar fi suportate de contribuabili. Mecanismele de gestionare a crizei pentru redresarea și rezoluția CPC, incluse în propunerea menționată anterior, se bazează pe existența unor mecanisme de cea mai înaltă calitate pentru prevenirea crizelor (și anume pentru reglementarea și supravegherea CPC) în temeiul EMIR. Prin consolidarea în continuare a supravegherii CPC în temeiul EMIR, probabilitatea, oricât de mică, de a fi nevoie să se recurgă la măsuri de redresare și de rezoluție ar trebui să fie diminuată și mai mult. Ajustările și îmbunătățirile supravegherii, introduse de prezenta propunere, vor trebui să fie reflectate în mod corespunzător și în propunerea legislativă în curs de adoptare privind redresarea și rezoluția CPC. Ar putea fi necesar să se aducă modificări specifice pentru a se ține seama de noul rol exercitat de sesiunea executivă pentru CPC în cadrul colegiilor în temeiul EMIR și, ulterior, în cadrul colegiilor de rezoluție.</w:t>
      </w:r>
    </w:p>
    <w:p w:rsidR="009D2948" w:rsidRPr="009D2948" w:rsidRDefault="009D2948" w:rsidP="009D2948">
      <w:pPr>
        <w:rPr>
          <w:rStyle w:val="None"/>
          <w:noProof/>
        </w:rPr>
      </w:pPr>
      <w:r w:rsidRPr="009D2948">
        <w:rPr>
          <w:rStyle w:val="None"/>
          <w:noProof/>
        </w:rPr>
        <w:t>În al doilea rând, prezenta propunere este legată de propunerea Comisiei</w:t>
      </w:r>
      <w:r w:rsidRPr="009D2948">
        <w:rPr>
          <w:rStyle w:val="None"/>
          <w:noProof/>
          <w:vertAlign w:val="superscript"/>
        </w:rPr>
        <w:footnoteReference w:id="25"/>
      </w:r>
      <w:r w:rsidRPr="009D2948">
        <w:rPr>
          <w:rStyle w:val="None"/>
          <w:noProof/>
        </w:rPr>
        <w:t xml:space="preserve"> de modificare a Regulamentului privind cerințele de capital (CRR)</w:t>
      </w:r>
      <w:r w:rsidRPr="009D2948">
        <w:rPr>
          <w:rStyle w:val="None"/>
          <w:noProof/>
          <w:vertAlign w:val="superscript"/>
        </w:rPr>
        <w:footnoteReference w:id="26"/>
      </w:r>
      <w:r w:rsidRPr="009D2948">
        <w:rPr>
          <w:rStyle w:val="None"/>
          <w:noProof/>
        </w:rPr>
        <w:t xml:space="preserve">, adoptată în noiembrie 2016. </w:t>
      </w:r>
      <w:r w:rsidRPr="009D2948">
        <w:t xml:space="preserve">Propunerea urmărește </w:t>
      </w:r>
      <w:r w:rsidRPr="009D2948">
        <w:rPr>
          <w:rStyle w:val="None"/>
          <w:noProof/>
        </w:rPr>
        <w:t xml:space="preserve">să excludă din metoda de calcul al pragurilor indicatorului efectului de levier marjele inițiale pentru tranzacțiile cu instrumente financiare derivate compensate central care au fost primite de membrii compensatori în numerar de la clienții lor și care sunt transferate CPC. Prin urmare, se va facilita accesul la compensare, întrucât vor scădea cerințele de capital impuse pentru a oferi servicii de compensare pentru clienți sau servicii de compensare indirectă, ceea ce va avea ca efect, la rândul său, consolidarea importanței CPC în cadrul sistemului financiar. </w:t>
      </w:r>
    </w:p>
    <w:p w:rsidR="009D2948" w:rsidRPr="009D2948" w:rsidRDefault="009D2948" w:rsidP="009D2948">
      <w:pPr>
        <w:rPr>
          <w:noProof/>
        </w:rPr>
      </w:pPr>
      <w:r w:rsidRPr="009D2948">
        <w:rPr>
          <w:rStyle w:val="None"/>
          <w:noProof/>
        </w:rPr>
        <w:t>În al treilea rând, prezenta propunere completează Propunerea Comisiei de modificare specifică a Regulamentului EMIR</w:t>
      </w:r>
      <w:r w:rsidRPr="009D2948">
        <w:rPr>
          <w:rStyle w:val="None"/>
          <w:noProof/>
          <w:vertAlign w:val="superscript"/>
        </w:rPr>
        <w:footnoteReference w:id="27"/>
      </w:r>
      <w:r w:rsidRPr="009D2948">
        <w:rPr>
          <w:rStyle w:val="None"/>
          <w:noProof/>
        </w:rPr>
        <w:t xml:space="preserve">, adoptată în mai 2017. Propunerea urmărește să simplifice anumite cerințe din EMIR și să mărească gradul de proporționalitate a acestora pentru a reduce costurile excesive pentru participanții la piață, fără a pune în pericol stabilitatea financiară. Prezenta propunere ar trebui, prin urmare, să ofere stimulente suplimentare </w:t>
      </w:r>
      <w:r w:rsidRPr="009D2948">
        <w:rPr>
          <w:rStyle w:val="None"/>
          <w:noProof/>
        </w:rPr>
        <w:lastRenderedPageBreak/>
        <w:t xml:space="preserve">participanților la piață, pentru a recurgere la compensarea centrală, ceea ce va avea ca efect, la rândul său, consolidarea importanței CPC în cadrul sistemului financiar. </w:t>
      </w:r>
    </w:p>
    <w:p w:rsidR="009D2948" w:rsidRPr="009D2948" w:rsidRDefault="009D2948" w:rsidP="009D2948">
      <w:pPr>
        <w:rPr>
          <w:rStyle w:val="None"/>
          <w:noProof/>
        </w:rPr>
      </w:pPr>
      <w:r w:rsidRPr="009D2948">
        <w:rPr>
          <w:rStyle w:val="None"/>
          <w:noProof/>
        </w:rPr>
        <w:t>În al patrulea rând,</w:t>
      </w:r>
      <w:r w:rsidRPr="009D2948">
        <w:t xml:space="preserve"> prezenta propunere este în concordanță cu consultarea lansată de Comisie în martie 2017 privind operațiunile efectuate de autoritățile europene de supraveghere (AES)</w:t>
      </w:r>
      <w:r w:rsidRPr="009D2948">
        <w:rPr>
          <w:rStyle w:val="FootnoteReference"/>
          <w:noProof/>
        </w:rPr>
        <w:footnoteReference w:id="28"/>
      </w:r>
      <w:r w:rsidRPr="009D2948">
        <w:t xml:space="preserve">, </w:t>
      </w:r>
      <w:r w:rsidRPr="009D2948">
        <w:rPr>
          <w:rStyle w:val="None"/>
          <w:noProof/>
        </w:rPr>
        <w:t>în scopul de a consolida și de a îmbunătăți eficiența și eficacitatea AES.</w:t>
      </w:r>
    </w:p>
    <w:p w:rsidR="009D2948" w:rsidRPr="009D2948" w:rsidRDefault="009D2948" w:rsidP="009D2948">
      <w:pPr>
        <w:rPr>
          <w:rStyle w:val="None"/>
          <w:noProof/>
        </w:rPr>
      </w:pPr>
      <w:r w:rsidRPr="009D2948">
        <w:t xml:space="preserve">În al cincilea rând, </w:t>
      </w:r>
      <w:r w:rsidRPr="009D2948">
        <w:rPr>
          <w:rStyle w:val="None"/>
          <w:noProof/>
        </w:rPr>
        <w:t>prezenta propunere este în concordanță</w:t>
      </w:r>
      <w:r w:rsidRPr="009D2948">
        <w:t xml:space="preserve"> cu experiențele legate de punerea în aplicare a dispozițiilor privind țările terțe în legislația financiară a UE și de asigurarea respectării acestora, astfel cum se prevede în </w:t>
      </w:r>
      <w:r w:rsidRPr="009D2948">
        <w:rPr>
          <w:rStyle w:val="None"/>
          <w:noProof/>
        </w:rPr>
        <w:t>Documentul de lucru al serviciilor Comisiei privind echivalența</w:t>
      </w:r>
      <w:r w:rsidRPr="009D2948">
        <w:rPr>
          <w:rStyle w:val="FootnoteReference"/>
          <w:noProof/>
        </w:rPr>
        <w:footnoteReference w:id="29"/>
      </w:r>
      <w:r w:rsidRPr="009D2948">
        <w:rPr>
          <w:rStyle w:val="None"/>
          <w:noProof/>
        </w:rPr>
        <w:t xml:space="preserve">. Documentul de lucru al serviciilor Comisiei oferă o imagine de ansamblu bazată pe fapte asupra procesului de echivalență cu țările terțe în legislația UE referitoare la serviciile financiare. Acesta prezintă experiența dobândită în ceea ce privește punerea în aplicare a dispozițiilor privind țările terțe în legislația UE din domeniul financiar și asigurarea respectării acestor dispoziții. Documentul prezintă, de asemenea, aspectele esențiale ale echivalenței (de exemplu, exercitarea abilitărilor, evaluarea, monitorizarea </w:t>
      </w:r>
      <w:r w:rsidRPr="009D2948">
        <w:rPr>
          <w:rStyle w:val="None"/>
          <w:i/>
          <w:noProof/>
        </w:rPr>
        <w:t>expost</w:t>
      </w:r>
      <w:r w:rsidRPr="009D2948">
        <w:rPr>
          <w:rStyle w:val="None"/>
          <w:noProof/>
        </w:rPr>
        <w:t>) și asigură o mai mare claritate cu privire la modul în care aceste sarcini sunt abordate în practică.</w:t>
      </w:r>
    </w:p>
    <w:p w:rsidR="009D2948" w:rsidRPr="009D2948" w:rsidRDefault="009D2948" w:rsidP="009D2948">
      <w:pPr>
        <w:rPr>
          <w:rStyle w:val="None"/>
          <w:noProof/>
        </w:rPr>
      </w:pPr>
      <w:r w:rsidRPr="009D2948">
        <w:rPr>
          <w:rStyle w:val="None"/>
          <w:noProof/>
        </w:rPr>
        <w:t>În al șaselea rând, prezenta propunere este în concordanță cu lucrările în curs la nivel internațional în cadrul Consiliului pentru Stabilitate Financiară (CSF), care vizează, printre altele: (i) să promoveze utilizarea compensării centrale și a acordurilor transfrontaliere între jurisdicții, cu scopul de a consolida stabilitatea pieței instrumentelor financiare derivate extrabursiere; (ii) să asigure o aplicare consecventă a principiilor privind infrastructura pieței financiare elaborate de Comitetul pentru infrastructuri de plăți și de piață (CPSS) și de Organizația Internațională a Comisiilor de Valori Mobiliare (IOSCO); (iii) să monitorizeze punerea în aplicare a reformelor piețelor instrumentelor financiare derivate convenite în cadrul G20 (prin intermediul Grupului de lucru pentru instrumente financiare derivate extrabursiere din cadrul CSF) și (iv) să elaboreze orientări suplimentare privind rezoluția CPC (Grupul privind rezoluția din cadrul CSF).</w:t>
      </w:r>
    </w:p>
    <w:p w:rsidR="009D2948" w:rsidRPr="009D2948" w:rsidRDefault="009D2948" w:rsidP="009D2948">
      <w:pPr>
        <w:pStyle w:val="ManualHeading2"/>
        <w:rPr>
          <w:noProof/>
        </w:rPr>
      </w:pPr>
      <w:r w:rsidRPr="009D2948">
        <w:t>1.3.</w:t>
      </w:r>
      <w:r w:rsidRPr="009D2948">
        <w:tab/>
        <w:t>Coerența cu alte politici ale Uniunii</w:t>
      </w:r>
    </w:p>
    <w:p w:rsidR="009D2948" w:rsidRPr="009D2948" w:rsidRDefault="009D2948" w:rsidP="009D2948">
      <w:pPr>
        <w:spacing w:before="0" w:after="240"/>
        <w:rPr>
          <w:rFonts w:eastAsia="Times New Roman"/>
          <w:noProof/>
          <w:szCs w:val="20"/>
        </w:rPr>
      </w:pPr>
      <w:r w:rsidRPr="009D2948">
        <w:rPr>
          <w:rStyle w:val="None"/>
          <w:noProof/>
        </w:rPr>
        <w:t>De asemenea, prezenta propunere are legătură și este</w:t>
      </w:r>
      <w:r w:rsidRPr="009D2948">
        <w:t xml:space="preserve"> în concordanță cu eforturile continue ale </w:t>
      </w:r>
      <w:r w:rsidRPr="009D2948">
        <w:rPr>
          <w:rStyle w:val="None"/>
          <w:noProof/>
        </w:rPr>
        <w:t>Comisiei de a dezvolta mai departe uniunea piețelor de capital.</w:t>
      </w:r>
      <w:r w:rsidRPr="009D2948">
        <w:t xml:space="preserve"> Necesitatea de a dezvolta și de a integra și mai mult piețele de capital ale UE a fost subliniată în Comunicarea privind uniunea piețelor de capital din septembrie 2016</w:t>
      </w:r>
      <w:r w:rsidRPr="009D2948">
        <w:rPr>
          <w:rStyle w:val="FootnoteReference"/>
          <w:noProof/>
        </w:rPr>
        <w:footnoteReference w:id="30"/>
      </w:r>
      <w:r w:rsidRPr="009D2948">
        <w:t>. Consolidarea convergenței în materie de supraveghere a CPC la nivelul UE poate sprijini dezvoltarea unor piețe de capital mai aprofundate și mai integrate, întrucât pentru buna funcționare a uniunii piețelor de capital este esențial ca CPC să fie mai eficiente și mai reziliente. În acest scop, Comunicarea privind evaluarea la jumătatea perioadei a uniunii piețelor de capital</w:t>
      </w:r>
      <w:r w:rsidRPr="009D2948">
        <w:rPr>
          <w:rStyle w:val="FootnoteReference"/>
          <w:noProof/>
        </w:rPr>
        <w:footnoteReference w:id="31"/>
      </w:r>
      <w:r w:rsidRPr="009D2948">
        <w:t xml:space="preserve">, pe care Comisia a adoptat-o la 8 iunie 2017, solicită consolidarea competențelor ESMA de a promova eficacitatea </w:t>
      </w:r>
      <w:r w:rsidRPr="009D2948">
        <w:lastRenderedPageBreak/>
        <w:t>supravegherii consecvente în întreaga UE și în afara acesteia. În schimb, apariția unor piețe financiare de dimensiuni mai mari și cu un grad mai mare de lichiditate, generată de uniunea piețelor de capital, va presupune și mai multe tranzacții compensate prin intermediul CPC­urilor și va spori importanța lor sistemică. Dat fiind potențialul de volume mai mari, precum și posibilitățile actuale de arbitraj de reglementare și supraveghere, sunt necesare îmbunătățiri suplimentare ale cadrului de supraveghere în scopul de a garanta o uniune a piețelor de capital puternică și stabilă.</w:t>
      </w:r>
    </w:p>
    <w:p w:rsidR="009D2948" w:rsidRPr="009D2948" w:rsidRDefault="009D2948" w:rsidP="009D2948">
      <w:pPr>
        <w:spacing w:after="240"/>
        <w:rPr>
          <w:noProof/>
        </w:rPr>
      </w:pPr>
      <w:r w:rsidRPr="009D2948">
        <w:t>În plus, propunerea este în concordanță cu Documentul de reflecție al Comisiei privind aprofundarea uniunii economice și monetare, adoptat la 31 mai 2017</w:t>
      </w:r>
      <w:r w:rsidRPr="009D2948">
        <w:rPr>
          <w:rStyle w:val="FootnoteReference"/>
          <w:noProof/>
        </w:rPr>
        <w:footnoteReference w:id="32"/>
      </w:r>
      <w:r w:rsidRPr="009D2948">
        <w:t>. În special, documentul de reflecție evidențiază faptul că realizarea unei veritabile uniuni financiare este esențială pentru o uniune economică și monetară eficace și stabilă. În conformitate cu documentul menționat, aceasta presupune înregistrarea de progrese în privința unor elemente care sunt deja în discuție, inclusiv prin obținerea de rezultate în ceea ce privește uniunea piețelor de capital. Propunerea va contribui la dezvoltarea unor piețe de capital și mai integrate, prin asigurarea unui grad de convergență mai ridicat în materie de supraveghere a CPC la nivelul UE.</w:t>
      </w:r>
    </w:p>
    <w:p w:rsidR="009D2948" w:rsidRPr="009D2948" w:rsidRDefault="009D2948" w:rsidP="009D2948">
      <w:pPr>
        <w:pBdr>
          <w:top w:val="nil"/>
          <w:left w:val="nil"/>
          <w:bottom w:val="nil"/>
          <w:right w:val="nil"/>
          <w:between w:val="nil"/>
          <w:bar w:val="nil"/>
        </w:pBdr>
        <w:spacing w:before="0" w:after="240"/>
        <w:rPr>
          <w:rFonts w:eastAsia="Arial Unicode MS"/>
          <w:noProof/>
        </w:rPr>
      </w:pPr>
      <w:r w:rsidRPr="009D2948">
        <w:t>Răspunzând noilor amenințări care planează asupra bunei funcționări a sistemului financiar, propunerea urmărește, de asemenea, să permită piețelor financiare să își exercite în continuare rolul care le revine, contribuind la o creștere economică durabilă și pe termen lung, pentru aprofundarea în continuare a pieței interne în interesul consumatorilor și al întreprinderilor, ca parte a eforturilor Comisiei de sprijinire a investițiilor, a creșterii economice și a locurilor de muncă.</w:t>
      </w:r>
      <w:r w:rsidRPr="009D2948">
        <w:rPr>
          <w:rStyle w:val="FootnoteReference"/>
          <w:noProof/>
        </w:rPr>
        <w:t xml:space="preserve"> </w:t>
      </w:r>
    </w:p>
    <w:p w:rsidR="009D2948" w:rsidRPr="009D2948" w:rsidRDefault="009D2948" w:rsidP="009D2948">
      <w:pPr>
        <w:pStyle w:val="ManualHeading1"/>
        <w:rPr>
          <w:noProof/>
        </w:rPr>
      </w:pPr>
      <w:r w:rsidRPr="009D2948">
        <w:t>2.</w:t>
      </w:r>
      <w:r w:rsidRPr="009D2948">
        <w:tab/>
        <w:t>TEMEI JURIDIC, SUBSIDIARITATE ȘI PROPORȚIONALITATE</w:t>
      </w:r>
    </w:p>
    <w:p w:rsidR="009D2948" w:rsidRPr="009D2948" w:rsidRDefault="009D2948" w:rsidP="009D2948">
      <w:pPr>
        <w:pStyle w:val="ManualHeading2"/>
        <w:rPr>
          <w:noProof/>
          <w:u w:color="000000"/>
          <w:bdr w:val="nil"/>
        </w:rPr>
      </w:pPr>
      <w:r w:rsidRPr="009D2948">
        <w:t>2.1.</w:t>
      </w:r>
      <w:r w:rsidRPr="009D2948">
        <w:tab/>
        <w:t>Temei juridic</w:t>
      </w:r>
    </w:p>
    <w:p w:rsidR="009D2948" w:rsidRPr="009D2948" w:rsidRDefault="009D2948" w:rsidP="009D2948">
      <w:pPr>
        <w:spacing w:before="0" w:after="240"/>
        <w:rPr>
          <w:rFonts w:eastAsia="Times New Roman"/>
          <w:noProof/>
          <w:szCs w:val="20"/>
        </w:rPr>
      </w:pPr>
      <w:r w:rsidRPr="009D2948">
        <w:t>Temeiul juridic al prezentei propuneri este articolul 114 din TFUE, care este temeiul juridic al Regulamentului privind infrastructura pieței europene și al Regulamentului privind ESMA. Analiza realizată în cadrul raportului de evaluare a impactului identifică elementele din EMIR care trebuie modificate pentru a consolida stabilitatea generală a sistemului financiar al UE și a reduce și mai mult probabilitatea deja scăzută (dar cu un impact extrem de puternic) a unui risc de intrare în dificultate majoră a unei CPC, menținând în același timp costurile la un nivel minim pentru participanții la piață. Numai colegiuitorii au competența de a efectua modificările necesare. Modificările la Regulamentul privind ESMA sunt necesare pentru a crea sesiunea executivă pentru CPC, căreia i se atribuie sarcini importante în temeiul EMIR.</w:t>
      </w:r>
    </w:p>
    <w:p w:rsidR="009D2948" w:rsidRPr="009D2948" w:rsidRDefault="009D2948" w:rsidP="009D2948">
      <w:pPr>
        <w:pStyle w:val="ManualHeading2"/>
        <w:rPr>
          <w:noProof/>
          <w:u w:color="000000"/>
          <w:bdr w:val="nil"/>
        </w:rPr>
      </w:pPr>
      <w:r w:rsidRPr="009D2948">
        <w:t>2.2.</w:t>
      </w:r>
      <w:r w:rsidRPr="009D2948">
        <w:tab/>
        <w:t xml:space="preserve">Subsidiaritate (pentru competență neexclusivă) </w:t>
      </w:r>
    </w:p>
    <w:p w:rsidR="009D2948" w:rsidRPr="009D2948" w:rsidRDefault="009D2948" w:rsidP="009D2948">
      <w:pPr>
        <w:spacing w:before="0" w:after="240"/>
        <w:rPr>
          <w:rFonts w:eastAsia="Times New Roman"/>
          <w:noProof/>
          <w:szCs w:val="20"/>
        </w:rPr>
      </w:pPr>
      <w:r w:rsidRPr="009D2948">
        <w:t xml:space="preserve">EMIR este un regulament obligatoriu în toate elementele sale și se aplică direct în toate statele membre. Dispozițiile EMIR stabilesc cadrul de supraveghere care se aplică CPC stabilite atât în UE, cât și în țări terțe care asigură servicii de compensare membrilor compensatori sau locurilor de tranzacționare stabilite în UE. În temeiul EMIR, statul membru în care este stabilită CPC joacă un rol major în mecanismele de supraveghere. Cu toate acestea, statele membre și autoritățile naționale de supraveghere nu pot soluționa în mod unilateral riscurile sistemice generate de un nivel ridicat de integrare și interconectare a CPC­urilor, care își desfășoară activitatea la nivel transfrontalier, în afara domeniului de aplicare al jurisdicțiilor </w:t>
      </w:r>
      <w:r w:rsidRPr="009D2948">
        <w:lastRenderedPageBreak/>
        <w:t>naționale. În plus, statele membre nu pot atenua singure riscurile generate de practicile de supraveghere naționale divergente. Statele membre și autoritățile naționale nu pot aborda pe cont propriu riscurile sistemice pe care CPC din țări terțe le pot reprezenta pentru stabilitatea financiară a UE în ansamblul său.</w:t>
      </w:r>
    </w:p>
    <w:p w:rsidR="009D2948" w:rsidRPr="009D2948" w:rsidRDefault="009D2948" w:rsidP="009D2948">
      <w:pPr>
        <w:spacing w:before="0" w:after="240"/>
        <w:rPr>
          <w:rFonts w:eastAsia="Times New Roman"/>
          <w:noProof/>
          <w:szCs w:val="20"/>
        </w:rPr>
      </w:pPr>
      <w:r w:rsidRPr="009D2948">
        <w:t xml:space="preserve">Obiectivele EMIR de îmbunătățire a siguranței și a eficienței CPC prin stabilirea unor cerințe uniforme privind desfășurarea activităților acestora nu pot fi realizate în mod satisfăcător de către statele membre individual, ci, având în vedere amploarea acțiunilor, ele pot fi realizate mai bine la nivelul UE, în conformitate cu principiul subsidiarității prevăzut la articolul 5 din TFUE. </w:t>
      </w:r>
    </w:p>
    <w:p w:rsidR="009D2948" w:rsidRPr="009D2948" w:rsidRDefault="009D2948" w:rsidP="009D2948">
      <w:pPr>
        <w:pStyle w:val="ManualHeading2"/>
        <w:rPr>
          <w:noProof/>
          <w:u w:color="000000"/>
          <w:bdr w:val="nil"/>
        </w:rPr>
      </w:pPr>
      <w:r w:rsidRPr="009D2948">
        <w:t>2.3.</w:t>
      </w:r>
      <w:r w:rsidRPr="009D2948">
        <w:tab/>
        <w:t>Proporționalitate</w:t>
      </w:r>
    </w:p>
    <w:p w:rsidR="009D2948" w:rsidRPr="009D2948" w:rsidRDefault="009D2948" w:rsidP="009D2948">
      <w:pPr>
        <w:spacing w:before="0" w:after="240"/>
        <w:rPr>
          <w:rFonts w:eastAsia="Times New Roman"/>
          <w:noProof/>
          <w:szCs w:val="20"/>
        </w:rPr>
      </w:pPr>
      <w:r w:rsidRPr="009D2948">
        <w:t>Propunerea vizează să asigure faptul că mecanismele de supraveghere prevăzute de EMIR îndeplinesc obiectivul de reducere a riscului sistemic pe piețele instrumentelor derivate într-un mod mai proporțional și mai eficace, la un cost minim pentru participanții la piață. Propunerea stabilește un cadru simplificat de supraveghere a CPC autorizate la nivelul UE, clarificând rolurile și responsabilitățile tuturor diverselor autorități și instituții implicate la nivel național și la nivelul UE. Prin recalibrarea mecanismelor de supraveghere, propunerea contribuie la stabilirea unei abordări a accentuării caracterului transfrontalier și sistemic al CPC, păstrând, în același timp, responsabilitățile fiscale ale autorităților din statul membru de stabilire. În plus, propunerea introduce o abordare care le permite CPC din țări terțe să îndeplinească cerințele prevăzute în EMIR, dacă respectă norme naționale comparabile, ceea ce permite o abordare proporțională, axată pe importanța sistemică a CPC­urilor din țări terțe pentru piețele din UE. În același timp, propunerea nu depășește ceea ce este necesar pentru a atinge obiectivul prevăzut de EMIR de a reduce riscul sistemic, prin stabilirea unor criterii transparente și obiective, care permit identificarea, monitorizarea și atenuarea riscurilor pe care le presupune o CPC dintr-o țară terță la adresa stabilității financiare a UE. Prin urmare, propunerea contribuie în mod direct la instituirea, în ansamblu, a unui caracter mai proporțional al mecanismelor de supraveghere prevăzute în EMIR. De asemenea, propunerea aduce numai modificări specifice Regulamentului privind ESMA, care nu depășesc ceea ce este necesar pentru a permite ESMA să își îndeplinească sarcinile prevăzute în EMIR.</w:t>
      </w:r>
    </w:p>
    <w:p w:rsidR="009D2948" w:rsidRPr="009D2948" w:rsidRDefault="009D2948" w:rsidP="009D2948">
      <w:pPr>
        <w:pStyle w:val="ManualHeading2"/>
        <w:rPr>
          <w:noProof/>
          <w:u w:color="000000"/>
          <w:bdr w:val="nil"/>
        </w:rPr>
      </w:pPr>
      <w:r w:rsidRPr="009D2948">
        <w:t>2.4.</w:t>
      </w:r>
      <w:r w:rsidRPr="009D2948">
        <w:tab/>
        <w:t>Alegerea instrumentului</w:t>
      </w:r>
    </w:p>
    <w:p w:rsidR="009D2948" w:rsidRPr="009D2948" w:rsidRDefault="009D2948" w:rsidP="009D2948">
      <w:pPr>
        <w:spacing w:before="0" w:after="240"/>
        <w:rPr>
          <w:rFonts w:eastAsia="Times New Roman"/>
          <w:noProof/>
          <w:szCs w:val="20"/>
        </w:rPr>
      </w:pPr>
      <w:r w:rsidRPr="009D2948">
        <w:t xml:space="preserve">Atât EMIR, cât și actul juridic de instituire a ESMA sunt regulamente și trebuie modificate, așadar, printr-un instrument juridic de aceeași natură. </w:t>
      </w:r>
    </w:p>
    <w:p w:rsidR="009D2948" w:rsidRPr="009D2948" w:rsidRDefault="009D2948" w:rsidP="009D2948">
      <w:pPr>
        <w:pStyle w:val="ManualHeading1"/>
        <w:rPr>
          <w:noProof/>
        </w:rPr>
      </w:pPr>
      <w:r w:rsidRPr="009D2948">
        <w:t>3.</w:t>
      </w:r>
      <w:r w:rsidRPr="009D2948">
        <w:tab/>
        <w:t xml:space="preserve">REZULTATELE EVALUĂRILOR </w:t>
      </w:r>
      <w:r w:rsidRPr="009D2948">
        <w:rPr>
          <w:i/>
        </w:rPr>
        <w:t>EX POST</w:t>
      </w:r>
      <w:r w:rsidRPr="009D2948">
        <w:t>, ALE CONSULTĂRILOR CU PĂRȚILE INTERESATE ȘI ALE EVALUĂRILOR IMPACTULUI</w:t>
      </w:r>
    </w:p>
    <w:p w:rsidR="009D2948" w:rsidRPr="009D2948" w:rsidRDefault="009D2948" w:rsidP="009D2948">
      <w:pPr>
        <w:pStyle w:val="ManualHeading2"/>
        <w:rPr>
          <w:noProof/>
          <w:u w:color="000000"/>
          <w:bdr w:val="nil"/>
        </w:rPr>
      </w:pPr>
      <w:r w:rsidRPr="009D2948">
        <w:t>3.1.</w:t>
      </w:r>
      <w:r w:rsidRPr="009D2948">
        <w:tab/>
        <w:t xml:space="preserve">Evaluări </w:t>
      </w:r>
      <w:r w:rsidRPr="009D2948">
        <w:rPr>
          <w:i/>
        </w:rPr>
        <w:t>ex post</w:t>
      </w:r>
      <w:r w:rsidRPr="009D2948">
        <w:t>/verificări ale adecvării legislației existente</w:t>
      </w:r>
    </w:p>
    <w:p w:rsidR="009D2948" w:rsidRPr="009D2948" w:rsidRDefault="009D2948" w:rsidP="009D2948">
      <w:pPr>
        <w:pStyle w:val="Text2"/>
        <w:ind w:left="0"/>
        <w:rPr>
          <w:noProof/>
        </w:rPr>
      </w:pPr>
      <w:r w:rsidRPr="009D2948">
        <w:t xml:space="preserve">Raportul privind evaluarea impactului care însoțește prezenta propunere oferă o analiză a măsurii în care actualele mecanismele de supraveghere instituite prin EMIR și care vizează CPC stabilite în interiorul și în afara UE și-au îndeplinit obiectivul de a asigura condiții de concurență echitabile pentru prestarea de servicii de CPC în mod eficace și eficient, fiind în același timp coerente, relevante și cu valoare adăugată la nivelul UE. De asemenea, analiza reflectă rezultatul a două evaluări </w:t>
      </w:r>
      <w:r w:rsidRPr="009D2948">
        <w:rPr>
          <w:i/>
        </w:rPr>
        <w:t>inter pares</w:t>
      </w:r>
      <w:r w:rsidRPr="009D2948">
        <w:t xml:space="preserve"> privind funcționarea colegiilor de supraveghere în temeiul EMIR efectuate de ESMA în 2015</w:t>
      </w:r>
      <w:r w:rsidRPr="009D2948">
        <w:rPr>
          <w:rStyle w:val="FootnoteReference"/>
          <w:noProof/>
        </w:rPr>
        <w:footnoteReference w:id="33"/>
      </w:r>
      <w:r w:rsidRPr="009D2948">
        <w:t xml:space="preserve"> și 2016</w:t>
      </w:r>
      <w:r w:rsidRPr="009D2948">
        <w:rPr>
          <w:rStyle w:val="FootnoteReference"/>
          <w:noProof/>
        </w:rPr>
        <w:footnoteReference w:id="34"/>
      </w:r>
      <w:r w:rsidRPr="009D2948">
        <w:t xml:space="preserve">. În plus, analiza se bazează pe </w:t>
      </w:r>
      <w:r w:rsidRPr="009D2948">
        <w:lastRenderedPageBreak/>
        <w:t>informațiile furnizate de ESMA la evaluarea regimului actual de echivalență și de recunoaștere a țărilor terțe în temeiul EMIR ca parte a unui raport elaborat pentru Comisie în contextul revizuirii regulamentului menționat</w:t>
      </w:r>
      <w:r w:rsidRPr="009D2948">
        <w:rPr>
          <w:rStyle w:val="FootnoteReference"/>
          <w:noProof/>
        </w:rPr>
        <w:footnoteReference w:id="35"/>
      </w:r>
      <w:r w:rsidRPr="009D2948">
        <w:t xml:space="preserve">. </w:t>
      </w:r>
    </w:p>
    <w:p w:rsidR="009D2948" w:rsidRPr="009D2948" w:rsidRDefault="009D2948" w:rsidP="009D2948">
      <w:pPr>
        <w:autoSpaceDE w:val="0"/>
        <w:autoSpaceDN w:val="0"/>
        <w:adjustRightInd w:val="0"/>
        <w:spacing w:after="240"/>
        <w:rPr>
          <w:rFonts w:eastAsia="Times New Roman"/>
          <w:noProof/>
          <w:szCs w:val="20"/>
        </w:rPr>
      </w:pPr>
      <w:r w:rsidRPr="009D2948">
        <w:t xml:space="preserve">În ceea ce privește </w:t>
      </w:r>
      <w:r w:rsidRPr="009D2948">
        <w:rPr>
          <w:b/>
        </w:rPr>
        <w:t>eficacitatea</w:t>
      </w:r>
      <w:r w:rsidRPr="009D2948">
        <w:t xml:space="preserve"> mecanismelor de supraveghere prevăzute în EMIR și aplicabile CPC stabilite în UE, experiența practică arată că prin stabilirea unei cooperări între membrii colegiului în cadrul actualei structuri au putut fi reprezentate punctele de vedere ale autorităților de supraveghere ale diferiților actori implicați în compensarea centrală, contribuindu-se astfel la obiectivele de convergență a practicilor de supraveghere și la o concurență loială între CPC stabilite în UE. Cu toate acestea, există preocupări cu privire la coerența supravegherii CPC la nivelul statelor membre, ceea ce sugerează că s-ar putea aplica o abordare mai eficace a supravegherii transfrontaliere a CPC. În particular, gradul de cooperare între membrii colegiilor variază în mod semnificativ în funcție de rolul exercitat de colegiu în procesul decizional. </w:t>
      </w:r>
      <w:r w:rsidRPr="009D2948">
        <w:rPr>
          <w:noProof/>
          <w:color w:val="000000"/>
        </w:rPr>
        <w:t>Deși, în cursul procesului de autorizare, „</w:t>
      </w:r>
      <w:r w:rsidRPr="009D2948">
        <w:rPr>
          <w:i/>
          <w:noProof/>
          <w:color w:val="000000"/>
        </w:rPr>
        <w:t>ESMA a constatat că, în general, colegiile pentru CPC facilitează cooperarea în ambele sensuri: pe de o parte, autoritățile naționale competente care îndeplineau funcția de președinte au primit contribuții pertinente și constructive de la membrii colegiului, pe care le­au inclus în analizele lor de risc; pe de altă parte, membrii colegiului au primit informațiile de care aveau nevoie pentru a vota adoptarea avizului comun</w:t>
      </w:r>
      <w:r w:rsidRPr="009D2948">
        <w:rPr>
          <w:noProof/>
          <w:color w:val="000000"/>
        </w:rPr>
        <w:t>”</w:t>
      </w:r>
      <w:r w:rsidRPr="009D2948">
        <w:rPr>
          <w:rStyle w:val="FootnoteReference"/>
          <w:noProof/>
          <w:color w:val="000000"/>
        </w:rPr>
        <w:footnoteReference w:id="36"/>
      </w:r>
      <w:r w:rsidRPr="009D2948">
        <w:rPr>
          <w:noProof/>
          <w:color w:val="000000"/>
        </w:rPr>
        <w:t xml:space="preserve">, atunci când nu este nevoie de un astfel de aviz se înregistrează un nivel redus de cooperare. </w:t>
      </w:r>
      <w:r w:rsidRPr="009D2948">
        <w:t>Așadar, ESMA este de părere că există un„</w:t>
      </w:r>
      <w:r w:rsidRPr="009D2948">
        <w:rPr>
          <w:i/>
        </w:rPr>
        <w:t>risc ca, după autorizare, colegiile pentru CPC să devină un simplu mecanism de schimb de informații, și nu un instrument eficace de supraveghere</w:t>
      </w:r>
      <w:r w:rsidRPr="009D2948">
        <w:t xml:space="preserve">.” În plus, în urma observațiilor preliminare s-a constatat că: (i) diverșii membri ai colegiului participă în proporții diferite la discuțiile colegiului și (ii) metodele de supraveghere a autorităților naționale competente variază într-o măsură semnificativă, chiar și în cazurile care vizează CPC comparabile. Modelele comune furnizate de ESMA pentru a sprijini convergența în materie de supraveghere între autoritățile naționale competente nu au reușit să soluționeze această problemă, deoarece autoritățile naționale competente își exercită puterea discreționară în mod diferit. Prin urmare, se pot opera unele ameliorări care să contribuie la consolidarea coerenței exercițiului de supraveghere a CPC la nivelul UE, la îmbunătățirea condițiilor de concurență echitabile în UE și la atingerea unui grad mai eficace de convergență în materie de supraveghere. </w:t>
      </w:r>
    </w:p>
    <w:p w:rsidR="009D2948" w:rsidRPr="009D2948" w:rsidRDefault="009D2948" w:rsidP="009D2948">
      <w:pPr>
        <w:autoSpaceDE w:val="0"/>
        <w:autoSpaceDN w:val="0"/>
        <w:adjustRightInd w:val="0"/>
        <w:spacing w:after="240"/>
        <w:rPr>
          <w:noProof/>
        </w:rPr>
      </w:pPr>
      <w:r w:rsidRPr="009D2948">
        <w:t xml:space="preserve">În ceea ce privește eficacitatea supravegherii CPC din țări terțe, mecanismele actuale au permis ESMA să recunoască 28 de CPC din țări terțe, autorizându-le să presteze servicii de compensare contrapărților din UE. Acest lucru este în concordanță cu obiectivele G20 de a promova acorduri transfrontaliere. În același timp, majoritatea respondenților la consultarea privind EMIR (în principal societăți și asociații reprezentative din sectorul financiar) au considerat că regimul de echivalență instituit de regulamentul menționat pentru CPC din țări terțe a creat </w:t>
      </w:r>
      <w:r w:rsidRPr="009D2948">
        <w:rPr>
          <w:i/>
        </w:rPr>
        <w:t>de facto</w:t>
      </w:r>
      <w:r w:rsidRPr="009D2948">
        <w:t xml:space="preserve"> o situație în care cerințele aplicabile CPC stabilite în UE pot fi mai stricte decât cele care vizează CPC din țări terțe, ceea ce generează condiții de concurență inegale în </w:t>
      </w:r>
      <w:r w:rsidRPr="009D2948">
        <w:lastRenderedPageBreak/>
        <w:t xml:space="preserve">detrimentul celor dintâi. De asemenea, ESMA a subliniat faptul că abordarea din EMIR față de CPC din țări terțe este extrem de flexibilă, acordându-se încredere deplină normelor și mecanismelor de supraveghere din țările terțe, în timp ce majoritatea jurisdicțiilor din țările terțe consideră CPC din țări terțe ca infrastructuri importante din punct de vedere sistemic și le supun unei examinări mai aprofundate. ESMA a susținut că, deși actuala abordare din EMIR ar putea fi un model în ceea ce privește încrederea reciprocă, dacă UE rămâne singura jurisdicție care se bazează în mare măsură pe normele și autoritățile din țările terțe, acest lucru ar putea să prezinte un risc pentru UE și să nu fie în beneficiul CPC stabilite în UE. </w:t>
      </w:r>
    </w:p>
    <w:p w:rsidR="009D2948" w:rsidRPr="009D2948" w:rsidRDefault="009D2948" w:rsidP="009D2948">
      <w:pPr>
        <w:autoSpaceDE w:val="0"/>
        <w:autoSpaceDN w:val="0"/>
        <w:adjustRightInd w:val="0"/>
        <w:spacing w:after="240"/>
        <w:rPr>
          <w:rFonts w:eastAsia="Times New Roman"/>
          <w:noProof/>
          <w:szCs w:val="20"/>
        </w:rPr>
      </w:pPr>
      <w:r w:rsidRPr="009D2948">
        <w:t xml:space="preserve">În ceea ce privește </w:t>
      </w:r>
      <w:r w:rsidRPr="009D2948">
        <w:rPr>
          <w:b/>
        </w:rPr>
        <w:t>eficiența</w:t>
      </w:r>
      <w:r w:rsidRPr="009D2948">
        <w:t xml:space="preserve">, majoritatea respondenților la consultarea privind EMIR au sprijinit obiectivul de a garanta condiții de concurență echitabile între CPC stabilite în Uniune, prin promovarea unei aplicări omogene a regulamentului. În același timp, au evidențiat durata proceselor de aprobare, subliniind faptul că, în anumite cazuri, calendarul de aprobare poate fi amânat pe durată nedeterminată de autoritățile naționale competente, ceea ce generează insecuritate juridică. Unii respondenți au subliniat, de asemenea, necesitatea unui grad mai ridicat de transparență în funcționarea colegiilor, nu numai pentru CPC în ceea ce privește procesele de autorizare și de extindere a serviciilor, ci și pentru utilizatorii CPC­urilor, astfel încât aceștia să poată să beneficieze de o vizibilitate mai bună asupra procesului de autorizare și a consecințelor acestuia. În plus, mai multe autorități, participanți din sector și operatori ai infrastructurilor de piață au solicitat mai multă claritate în acest proces și un calendar pentru autorizarea și extinderea serviciilor furnizate de CPC. Respondenții au sugerat că EMIR ar trebui să clarifice modalitățile procesului de desfășurare a activității colegiului, în special rolurile și responsabilitățile diferiților săi membri. Prin urmare, se pot opera unele ameliorări, în special pentru raționalizarea supravegherii CPC­urilor stabilite în UE. Acest lucru ar putea contribui la o colaborare mai eficientă între autoritățile de supraveghere naționale și de la nivelul UE, evitându-se astfel duplicarea sarcinilor de supraveghere și reducându-se alocarea aferentă de timp și de resurse. </w:t>
      </w:r>
    </w:p>
    <w:p w:rsidR="009D2948" w:rsidRPr="009D2948" w:rsidRDefault="009D2948" w:rsidP="009D2948">
      <w:pPr>
        <w:autoSpaceDE w:val="0"/>
        <w:autoSpaceDN w:val="0"/>
        <w:adjustRightInd w:val="0"/>
        <w:spacing w:after="240"/>
        <w:rPr>
          <w:noProof/>
        </w:rPr>
      </w:pPr>
      <w:r w:rsidRPr="009D2948">
        <w:t xml:space="preserve">În ceea ce privește actualul regim de supraveghere pentru CPC din țări terțe, asociațiile din sector care au răspuns la consultarea privind EMIR, au indicat că procesul de evaluare a echivalenței pe care îl derulează Comisia durează prea mult. Și ESMA a adus în discuție o serie de preocupări cu privire la eficiența procesului de recunoaștere a CPC din țări terțe. În primul rând, aceasta a argumentat că procesul este rigid și greoi, fapt demonstrat de numărul limitat de decizii de recunoaștere adoptate în 2015. În al doilea rând, aceasta a arătat că recunoașterea CPC din țări terțe reprezintă o sarcină administrativă substanțială pentru ESMA. </w:t>
      </w:r>
    </w:p>
    <w:p w:rsidR="009D2948" w:rsidRPr="009D2948" w:rsidRDefault="009D2948" w:rsidP="009D2948">
      <w:pPr>
        <w:spacing w:after="240"/>
        <w:rPr>
          <w:rFonts w:eastAsia="Times New Roman"/>
          <w:noProof/>
          <w:szCs w:val="20"/>
        </w:rPr>
      </w:pPr>
      <w:r w:rsidRPr="009D2948">
        <w:t xml:space="preserve">În ceea ce privește </w:t>
      </w:r>
      <w:r w:rsidRPr="009D2948">
        <w:rPr>
          <w:b/>
        </w:rPr>
        <w:t>relevanța</w:t>
      </w:r>
      <w:r w:rsidRPr="009D2948">
        <w:t>, mecanismele de supraveghere prevăzute de EMIR sunt în continuare o parte integrantă a eforturilor internaționale de a spori stabilitatea pieței instrumentelor financiare derivate extrabursiere la nivel mondial, facilitând în același timp acordurile transfrontaliere de protecție între jurisdicții. Mecanismele de supraveghere prevăzute de EMIR asigură, de asemenea, faptul că piețele financiare contribuie în continuare la o creștere economică durabilă și pe termen lung, în vederea aprofundării pieței interne în interesul consumatorilor și al întreprinderilor, ca parte a eforturilor Comisiei de sprijinire a investițiilor, a creșterii economice și a locurilor de muncă.</w:t>
      </w:r>
    </w:p>
    <w:p w:rsidR="009D2948" w:rsidRPr="009D2948" w:rsidRDefault="009D2948" w:rsidP="009D2948">
      <w:pPr>
        <w:spacing w:after="240"/>
        <w:rPr>
          <w:rFonts w:eastAsia="Times New Roman"/>
          <w:noProof/>
          <w:szCs w:val="20"/>
        </w:rPr>
      </w:pPr>
      <w:r w:rsidRPr="009D2948">
        <w:t xml:space="preserve">Astfel cum se descrie în secțiunea 2.4 din raportul de evaluare a impactului care însoțește prezenta propunere, mecanismele de supraveghere prevăzute în EMIR sunt </w:t>
      </w:r>
      <w:r w:rsidRPr="009D2948">
        <w:rPr>
          <w:b/>
        </w:rPr>
        <w:t>coerente</w:t>
      </w:r>
      <w:r w:rsidRPr="009D2948">
        <w:t xml:space="preserve"> cu alte acte legislative ale UE care au ca scop: (i) să abordeze importanța sistemică a CPC; (ii) să promoveze pe mai departe utilizarea compensării centrale și (iii) să sporească eficiența și eficacitatea supravegherii la nivelul UE, atât în interiorul, cât și în afara UE. </w:t>
      </w:r>
    </w:p>
    <w:p w:rsidR="009D2948" w:rsidRPr="009D2948" w:rsidRDefault="009D2948" w:rsidP="009D2948">
      <w:pPr>
        <w:spacing w:before="0" w:after="240"/>
        <w:rPr>
          <w:rFonts w:eastAsia="Times New Roman"/>
          <w:noProof/>
          <w:szCs w:val="20"/>
        </w:rPr>
      </w:pPr>
      <w:r w:rsidRPr="009D2948">
        <w:lastRenderedPageBreak/>
        <w:t xml:space="preserve">În sfârșit, în ceea ce privește </w:t>
      </w:r>
      <w:r w:rsidRPr="009D2948">
        <w:rPr>
          <w:b/>
        </w:rPr>
        <w:t>valoarea adăugată a UE</w:t>
      </w:r>
      <w:r w:rsidRPr="009D2948">
        <w:t>, mecanismele de supraveghere prevăzute în EMIR au acoperit o lacună prin introducerea unui nou mecanism care să faciliteze convergența practicilor de supraveghere la nivelul UE pentru a aborda riscurile sistemice pe care le presupun CPC care oferă servicii de compensare contrapărților din UE.</w:t>
      </w:r>
    </w:p>
    <w:p w:rsidR="009D2948" w:rsidRPr="009D2948" w:rsidRDefault="009D2948" w:rsidP="009D2948">
      <w:pPr>
        <w:pStyle w:val="ManualHeading2"/>
        <w:rPr>
          <w:noProof/>
          <w:u w:color="000000"/>
          <w:bdr w:val="nil"/>
        </w:rPr>
      </w:pPr>
      <w:r w:rsidRPr="009D2948">
        <w:t>3.2.</w:t>
      </w:r>
      <w:r w:rsidRPr="009D2948">
        <w:tab/>
        <w:t>Consultări cu părțile interesate</w:t>
      </w:r>
    </w:p>
    <w:p w:rsidR="009D2948" w:rsidRPr="009D2948" w:rsidRDefault="009D2948" w:rsidP="009D2948">
      <w:pPr>
        <w:spacing w:before="0" w:after="240"/>
        <w:rPr>
          <w:rFonts w:eastAsia="Times New Roman"/>
          <w:noProof/>
          <w:szCs w:val="20"/>
        </w:rPr>
      </w:pPr>
      <w:r w:rsidRPr="009D2948">
        <w:t xml:space="preserve">Prezenta propunere se bazează pe mai multe consultări publice. </w:t>
      </w:r>
    </w:p>
    <w:p w:rsidR="009D2948" w:rsidRPr="009D2948" w:rsidRDefault="009D2948" w:rsidP="009D2948">
      <w:pPr>
        <w:spacing w:before="0" w:after="240"/>
        <w:rPr>
          <w:noProof/>
          <w:szCs w:val="24"/>
        </w:rPr>
      </w:pPr>
      <w:r w:rsidRPr="009D2948">
        <w:t>În primul rând, aceasta ia în considerare punctele de vedere exprimate de părțile interesate și de autoritățile publice în urma publicării Comunicării Comisiei intitulate „Răspunsul la provocările cu care se confruntă infrastructurile critice ale piețelor financiare și dezvoltarea în continuare a uniunii piețelor de capital” din 4 mai 2017</w:t>
      </w:r>
      <w:r w:rsidRPr="009D2948">
        <w:rPr>
          <w:rStyle w:val="FootnoteReference"/>
          <w:noProof/>
        </w:rPr>
        <w:footnoteReference w:id="37"/>
      </w:r>
      <w:r w:rsidRPr="009D2948">
        <w:t>. În comunicare se consideră că, având în vedere provocările în ceea ce privește compensarea instrumentelor financiare derivate, ar fi necesare noi schimbări pentru a asigura stabilitatea financiară și securitatea și soliditatea CPC care sunt de importanță sistemică pentru piețele financiare din UE, precum și pentru a sprijini dezvoltarea în continuare a uniunii piețelor de capital.</w:t>
      </w:r>
    </w:p>
    <w:p w:rsidR="009D2948" w:rsidRPr="009D2948" w:rsidRDefault="009D2948" w:rsidP="009D2948">
      <w:pPr>
        <w:spacing w:before="0" w:after="240"/>
        <w:rPr>
          <w:rFonts w:eastAsia="Times New Roman"/>
          <w:noProof/>
          <w:szCs w:val="20"/>
        </w:rPr>
      </w:pPr>
      <w:r w:rsidRPr="009D2948">
        <w:t>În al doilea rând, propunerea se bazează pe observațiile care au vizat în mod special EMIR și supravegherea CPC formulate cu ocazia consultării pe tema operațiunilor AES, deschisă în perioada 21 martie - 17 mai 2017. Scopul consultării a fost de a oferi o imagine de ansamblu mai clară asupra domeniilor în care eficiența și eficacitatea AES pot fi consolidate și îmbunătățite</w:t>
      </w:r>
      <w:r w:rsidRPr="009D2948">
        <w:rPr>
          <w:rStyle w:val="FootnoteReference"/>
          <w:noProof/>
        </w:rPr>
        <w:footnoteReference w:id="38"/>
      </w:r>
      <w:r w:rsidRPr="009D2948">
        <w:t xml:space="preserve">. </w:t>
      </w:r>
    </w:p>
    <w:p w:rsidR="009D2948" w:rsidRPr="009D2948" w:rsidRDefault="009D2948" w:rsidP="009D2948">
      <w:pPr>
        <w:spacing w:after="240"/>
        <w:rPr>
          <w:rFonts w:eastAsia="Times New Roman"/>
          <w:noProof/>
        </w:rPr>
      </w:pPr>
      <w:r w:rsidRPr="009D2948">
        <w:t>În al treilea rând, propunerea are în vedere comentariile care s-au concentrat pe aspectele legate de convergența în materie de supraveghere din cadrul consultării referitoare la revizuirea de la jumătatea perioadei a uniunii piețelor de capital, deschisă în perioada 20 ianuarie 2017 - 17 martie 2017</w:t>
      </w:r>
      <w:r w:rsidRPr="009D2948">
        <w:rPr>
          <w:rStyle w:val="FootnoteReference"/>
          <w:noProof/>
        </w:rPr>
        <w:footnoteReference w:id="39"/>
      </w:r>
      <w:r w:rsidRPr="009D2948">
        <w:t>. Consultarea a solicitat punctele de vedere ale părților interesate privind modul în care actualul program pentru uniunea piețelor de capital poate fi actualizat și completat, astfel încât să reprezinte un cadru politic solid pentru dezvoltarea piețelor de capital. S-au primit 178 de răspunsuri.</w:t>
      </w:r>
    </w:p>
    <w:p w:rsidR="009D2948" w:rsidRPr="009D2948" w:rsidRDefault="009D2948" w:rsidP="009D2948">
      <w:pPr>
        <w:spacing w:before="0" w:after="240"/>
        <w:rPr>
          <w:rFonts w:eastAsia="Times New Roman"/>
          <w:noProof/>
          <w:szCs w:val="20"/>
        </w:rPr>
      </w:pPr>
      <w:r w:rsidRPr="009D2948">
        <w:t>În al patrulea rând, propunerea ține seama de contribuțiile care au vizat în mod special mecanismele de supraveghere prevăzute de EMIR formulate cu ocazia consultării pe tema revizuirii acestui regulament, deschisă în perioada mai-august 2015. În cadrul consultării s-au primit peste 170 de contribuții, de la o gamă largă de părți interesate și autorități publice</w:t>
      </w:r>
      <w:r w:rsidRPr="009D2948">
        <w:rPr>
          <w:rStyle w:val="FootnoteReference"/>
          <w:noProof/>
        </w:rPr>
        <w:footnoteReference w:id="40"/>
      </w:r>
      <w:r w:rsidRPr="009D2948">
        <w:t xml:space="preserve">. </w:t>
      </w:r>
    </w:p>
    <w:p w:rsidR="009D2948" w:rsidRPr="009D2948" w:rsidRDefault="009D2948" w:rsidP="009D2948">
      <w:pPr>
        <w:spacing w:before="0" w:after="240"/>
        <w:rPr>
          <w:rFonts w:eastAsia="Times New Roman"/>
          <w:noProof/>
          <w:szCs w:val="20"/>
        </w:rPr>
      </w:pPr>
      <w:r w:rsidRPr="009D2948">
        <w:t xml:space="preserve">În general, respondenții au indicat că mecanismele de supraveghere actuale prevăzute de EMIR contribuie la creșterea securității și solidității CPC stabilite în UE, rolul jucat de colegiile supraveghetorilor bucurându-se de un sprijin general. Respondenții au subliniat, de asemenea, că cea mai mare parte a cerințelor din EMIR au început să se aplice abia de curând, și că, prin urmare, ar fi prematur să se ia în considerare o revizuire completă a arhitecturii de supraveghere existente. Respondenții, și în special autoritățile publice, au subliniat că, date </w:t>
      </w:r>
      <w:r w:rsidRPr="009D2948">
        <w:lastRenderedPageBreak/>
        <w:t>fiind diversele tipuri de CPC care își desfășoară activitatea în prezent (la nivel local și transfrontalier), autoritățile naționale competente ar trebui în continuare să fie implicate activ în activitatea de supraveghere. Cu toate acestea, mulți respondenți au observat, de asemenea, că operațiunile CPC sunt de importanță sistemică transfrontalieră, subliniind nevoia de a evita situația în care supravegherea ar fi efectuată numai la nivel național. Majoritatea respondenților și-au exprimat susținerea pentru creșterea convergenței în materie de supraveghere la nivelul UE în ceea ce privește supravegherea CPC, precizând că actualul regim este fragmentat și ineficient. Intensificarea activității transfrontaliere, importanța sistemică a CPC și accesul la lichidități în zona euro au fost citate de către respondenți ca motive pentru extinderea competențelor de supraveghere la nivelul UE. Cu toate acestea, în ceea ce privește extinderea competențelor de supraveghere directă la nivelul UE asupra CPC din UE și din țările terțe, respondenții au avertizat că o astfel de extindere ar trebui să respecte principiile subsidiarității și proporționalității, mai ales în condițiile în care nicio structură a UE nu ar dispune de suficiente resurse pentru a face față eventualității în care o CPC intră în dificultate majoră, indiferent de cât de limitat este riscul unui astfel de eveniment. În cele din urmă, mai mulți respondenți, inclusiv ESMA</w:t>
      </w:r>
      <w:r w:rsidRPr="009D2948">
        <w:rPr>
          <w:rStyle w:val="FootnoteReference"/>
          <w:noProof/>
        </w:rPr>
        <w:footnoteReference w:id="41"/>
      </w:r>
      <w:r w:rsidRPr="009D2948">
        <w:t>, au subliniat necesitatea de a îmbunătăți cadrul actual în ceea ce privește CPC din țări terțe.</w:t>
      </w:r>
    </w:p>
    <w:p w:rsidR="009D2948" w:rsidRPr="009D2948" w:rsidRDefault="009D2948" w:rsidP="009D2948">
      <w:pPr>
        <w:pStyle w:val="ManualHeading2"/>
        <w:rPr>
          <w:noProof/>
          <w:u w:color="000000"/>
          <w:bdr w:val="nil"/>
        </w:rPr>
      </w:pPr>
      <w:r w:rsidRPr="009D2948">
        <w:t>3.3.</w:t>
      </w:r>
      <w:r w:rsidRPr="009D2948">
        <w:tab/>
        <w:t>Evaluarea impactului</w:t>
      </w:r>
    </w:p>
    <w:p w:rsidR="009D2948" w:rsidRPr="009D2948" w:rsidRDefault="009D2948" w:rsidP="009D2948">
      <w:pPr>
        <w:pBdr>
          <w:top w:val="nil"/>
          <w:left w:val="nil"/>
          <w:bottom w:val="nil"/>
          <w:right w:val="nil"/>
          <w:between w:val="nil"/>
          <w:bar w:val="nil"/>
        </w:pBdr>
        <w:spacing w:before="0" w:after="240"/>
        <w:rPr>
          <w:rFonts w:eastAsia="Arial Unicode MS"/>
          <w:noProof/>
        </w:rPr>
      </w:pPr>
      <w:r w:rsidRPr="009D2948">
        <w:t xml:space="preserve">Comisia a realizat o evaluare a impactului opțiunilor de politică relevante. Opțiunile de politică au fost evaluate prin raportare la obiectivele-cheie de a proteja siguranța și eficiența CPC care sunt de importanță sistemică pentru piețele din UE și de a consolida stabilitatea financiară în UE, fără fragmentarea nejustificată a sistemului global. </w:t>
      </w:r>
    </w:p>
    <w:p w:rsidR="009D2948" w:rsidRPr="009D2948" w:rsidRDefault="009D2948" w:rsidP="009D2948">
      <w:pPr>
        <w:pBdr>
          <w:top w:val="nil"/>
          <w:left w:val="nil"/>
          <w:bottom w:val="nil"/>
          <w:right w:val="nil"/>
          <w:between w:val="nil"/>
          <w:bar w:val="nil"/>
        </w:pBdr>
        <w:spacing w:before="0" w:after="240"/>
        <w:rPr>
          <w:rFonts w:eastAsia="Arial Unicode MS"/>
          <w:noProof/>
        </w:rPr>
      </w:pPr>
      <w:r w:rsidRPr="009D2948">
        <w:t>Raportul de evaluare a impactului a fost aprobat de Comitetul de analiză a reglementării (CAR) la 2 iunie 2017. Raportul i-a fost supus atenției CAR la 22 mai, iar acesta a făcut o serie de recomandări de îmbunătățire, printr-o procedură scrisă. Prin urmare, evaluarea impactului a fost supusă din nou atenției CAR la 30 mai. Modificările introduse în evaluarea impactului pentru a se ține seama de recomandările CAR au fost următoarele:</w:t>
      </w:r>
    </w:p>
    <w:p w:rsidR="009D2948" w:rsidRPr="009D2948" w:rsidRDefault="009D2948" w:rsidP="009D2948">
      <w:pPr>
        <w:pBdr>
          <w:top w:val="nil"/>
          <w:left w:val="nil"/>
          <w:bottom w:val="nil"/>
          <w:right w:val="nil"/>
          <w:between w:val="nil"/>
          <w:bar w:val="nil"/>
        </w:pBdr>
        <w:spacing w:before="0" w:after="240"/>
        <w:rPr>
          <w:rFonts w:eastAsia="Arial Unicode MS"/>
          <w:noProof/>
        </w:rPr>
      </w:pPr>
      <w:r w:rsidRPr="009D2948">
        <w:rPr>
          <w:noProof/>
          <w:u w:val="single"/>
        </w:rPr>
        <w:t xml:space="preserve">1. </w:t>
      </w:r>
      <w:r w:rsidRPr="009D2948">
        <w:rPr>
          <w:u w:val="single"/>
        </w:rPr>
        <w:t xml:space="preserve">Anumite riscuri sistemice legate de retragerea </w:t>
      </w:r>
      <w:r w:rsidRPr="009D2948">
        <w:rPr>
          <w:rStyle w:val="None"/>
          <w:noProof/>
          <w:u w:val="single"/>
        </w:rPr>
        <w:t>Regatului Unit</w:t>
      </w:r>
      <w:r w:rsidRPr="009D2948">
        <w:rPr>
          <w:u w:val="single"/>
        </w:rPr>
        <w:t xml:space="preserve"> din UE</w:t>
      </w:r>
      <w:r w:rsidRPr="009D2948">
        <w:t xml:space="preserve">: o descriere mai detaliată a modificărilor referitoare la retragerea </w:t>
      </w:r>
      <w:r w:rsidRPr="009D2948">
        <w:rPr>
          <w:rStyle w:val="None"/>
          <w:noProof/>
        </w:rPr>
        <w:t>Regatului Unit</w:t>
      </w:r>
      <w:r w:rsidRPr="009D2948">
        <w:t xml:space="preserve"> din UE în secțiunea privind scenariul de referință ca parte a capitolului privind opțiunile de politică. </w:t>
      </w:r>
    </w:p>
    <w:p w:rsidR="009D2948" w:rsidRPr="009D2948" w:rsidRDefault="009D2948" w:rsidP="009D2948">
      <w:pPr>
        <w:pBdr>
          <w:top w:val="nil"/>
          <w:left w:val="nil"/>
          <w:bottom w:val="nil"/>
          <w:right w:val="nil"/>
          <w:between w:val="nil"/>
          <w:bar w:val="nil"/>
        </w:pBdr>
        <w:spacing w:before="0" w:after="240"/>
        <w:rPr>
          <w:rFonts w:eastAsia="Arial Unicode MS"/>
          <w:noProof/>
        </w:rPr>
      </w:pPr>
      <w:r w:rsidRPr="009D2948">
        <w:rPr>
          <w:noProof/>
          <w:u w:val="single"/>
        </w:rPr>
        <w:t xml:space="preserve">2. </w:t>
      </w:r>
      <w:r w:rsidRPr="009D2948">
        <w:rPr>
          <w:u w:val="single"/>
        </w:rPr>
        <w:t>Opțiunea de politică preferată pentru atenuarea riscurilor CPC din țări terțe</w:t>
      </w:r>
      <w:r w:rsidRPr="009D2948">
        <w:t>: o descriere mai detaliată a modului în care opțiunea 3 referitoare la supravegherea pe bază de criterii sau praguri ar funcționa în practică pentru CPC din țări terțe, în funcție de riscurile pe care acestea ar putea să le reprezinte pentru UE.</w:t>
      </w:r>
    </w:p>
    <w:p w:rsidR="009D2948" w:rsidRPr="009D2948" w:rsidRDefault="009D2948" w:rsidP="009D2948">
      <w:pPr>
        <w:pBdr>
          <w:top w:val="nil"/>
          <w:left w:val="nil"/>
          <w:bottom w:val="nil"/>
          <w:right w:val="nil"/>
          <w:between w:val="nil"/>
          <w:bar w:val="nil"/>
        </w:pBdr>
        <w:spacing w:before="0" w:after="240"/>
        <w:rPr>
          <w:rFonts w:eastAsia="Arial Unicode MS"/>
          <w:noProof/>
        </w:rPr>
      </w:pPr>
      <w:r w:rsidRPr="009D2948">
        <w:rPr>
          <w:noProof/>
          <w:u w:val="single"/>
        </w:rPr>
        <w:t xml:space="preserve">3. </w:t>
      </w:r>
      <w:r w:rsidRPr="009D2948">
        <w:rPr>
          <w:u w:val="single"/>
        </w:rPr>
        <w:t>Impactul opțiunilor de politică preferate în ceea ce privește riscurile sistemice</w:t>
      </w:r>
      <w:r w:rsidRPr="009D2948">
        <w:t>: o descriere mai detaliată a rolului băncilor centrale emitente din perspectiva CPC din UE și din afara UE. Clarificarea faptului că compromisul dintre sarcina de supraveghere și stabilitatea financiară ar urma să fie proporțional cu expunerea UE la riscurile pe care le prezintă CPC­urile din țări terțe. Explicarea faptului că politica dedicată de localizare ar reduce costurile la un nivel minim.</w:t>
      </w:r>
    </w:p>
    <w:p w:rsidR="009D2948" w:rsidRPr="009D2948" w:rsidRDefault="009D2948" w:rsidP="009D2948">
      <w:pPr>
        <w:pBdr>
          <w:top w:val="nil"/>
          <w:left w:val="nil"/>
          <w:bottom w:val="nil"/>
          <w:right w:val="nil"/>
          <w:between w:val="nil"/>
          <w:bar w:val="nil"/>
        </w:pBdr>
        <w:spacing w:before="0" w:after="240"/>
        <w:rPr>
          <w:rFonts w:eastAsia="Arial Unicode MS"/>
          <w:noProof/>
        </w:rPr>
      </w:pPr>
      <w:r w:rsidRPr="009D2948">
        <w:rPr>
          <w:noProof/>
          <w:u w:val="single"/>
        </w:rPr>
        <w:lastRenderedPageBreak/>
        <w:t xml:space="preserve">4. </w:t>
      </w:r>
      <w:r w:rsidRPr="009D2948">
        <w:rPr>
          <w:u w:val="single"/>
        </w:rPr>
        <w:t>Alte aspecte</w:t>
      </w:r>
      <w:r w:rsidRPr="009D2948">
        <w:t>: (i) clarificări cu privire la modul în care procesul de luare a deciziilor în cadrul sesiunii executive ar funcționa în comparație cu colegiile actuale; (ii) definirea obiectivelor operaționale în capitolul privind monitorizarea și evaluarea și (iii) explicații suplimentare cu privire la motivul pentru care nu există evaluări formale ale CPC din UE ca anexă la raportul de evaluare a impactului.</w:t>
      </w:r>
    </w:p>
    <w:p w:rsidR="009D2948" w:rsidRPr="009D2948" w:rsidRDefault="009D2948" w:rsidP="009D2948">
      <w:pPr>
        <w:spacing w:before="0" w:after="240"/>
        <w:rPr>
          <w:rFonts w:eastAsia="Arial Unicode MS"/>
          <w:noProof/>
        </w:rPr>
      </w:pPr>
      <w:r w:rsidRPr="009D2948">
        <w:t xml:space="preserve">Opțiunile avute în vedere în evaluarea impactului se referă la modificări specifice ale mecanismelor de supraveghere prevăzute în EMIR, ce urmează să se aplice CPC stabilite atât în UE, cât și în țări terțe care furnizează sau doresc să furnizeze servicii contrapărților din UE. Pentru a se atinge obiectivele urmărite, au fost identificate mai multe opțiuni de politică: </w:t>
      </w:r>
    </w:p>
    <w:p w:rsidR="009D2948" w:rsidRPr="009D2948" w:rsidRDefault="009D2948" w:rsidP="00AF5EB7">
      <w:pPr>
        <w:pStyle w:val="Bullet0"/>
        <w:numPr>
          <w:ilvl w:val="0"/>
          <w:numId w:val="1"/>
        </w:numPr>
        <w:rPr>
          <w:noProof/>
        </w:rPr>
      </w:pPr>
      <w:r w:rsidRPr="009D2948">
        <w:t>Intensificarea supravegherii CPC stabilite în UE necesită raționalizarea și sporirea gradului de centralizare a actualelor mecanisme de supraveghere prin instituirea unui mecanism european de supraveghere, care să asigure implicarea corespunzătoare a autorităților naționale, a băncilor centrale emitente și a ESMA, în limitele responsabilităților acestora. Acest lucru va contribui la sporirea coerenței mecanismelor de supraveghere a CPC stabilite în UE prin promovarea unor condiții de concurență echitabile între CPC europene, precum și la o aplicare mai omogenă a EMIR în UE, garantându-se totodată că domeniile specifice ale responsabilității în materie de supraveghere și ale responsabilității fiscal-bugetare aferente vor fi în continuare aliniate în mod adecvat. Măsurile menționate mai sus vor contribui la reducerea costurilor atât pe plan instituțional, prin evitarea suprapunerilor în materie de supraveghere între diversele autorități, cât și pentru CPC, prin simplificarea cadrului lor de supraveghere și limitarea riscului de duplicare a activităților de supraveghere.</w:t>
      </w:r>
    </w:p>
    <w:p w:rsidR="009D2948" w:rsidRPr="009D2948" w:rsidRDefault="009D2948" w:rsidP="00AF5EB7">
      <w:pPr>
        <w:pStyle w:val="Bullet0"/>
        <w:numPr>
          <w:ilvl w:val="0"/>
          <w:numId w:val="16"/>
        </w:numPr>
        <w:rPr>
          <w:noProof/>
        </w:rPr>
      </w:pPr>
      <w:r w:rsidRPr="009D2948">
        <w:t xml:space="preserve">Pentru a consolida mecanismele de supraveghere din UE menite să atenueze riscurile legate de CPC din țări terțe, în raportul de evaluare a impactului se ia în considerare posibilitatea ca ESMA și băncile centrale emitente relevante să aplice acestor CPC o „scară variabilă” de cerințe suplimentare de supraveghere, bazată pe criterii sau praguri obiective. Gradul și intensitatea supravegherii exercitate de UE ar urma să fie proporționale și să depindă de riscurile la care CPC din țări terțe expun Uniunea. Ar putea fi stabilite diferite criterii sau praguri: CPC cu impact redus (CPC de nivel 1) ar urma, în esență, să facă obiectul punerii în aplicare în continuare a regimului EMIR privind echivalența și recunoașterea, în timp ce CPC­urile cu impact mediu și cele cu impact ridicat (CPC de nivel 2) ar urma să facă obiectul unei scări variabile de cerințe suplimentare de supraveghere, printre care, la capătul spectrului de cerințe, al unei cerințe privind autorizarea și stabilirea în UE, care ar urma să se aplice oricăror CPC din țări terțe ce ar prezenta un important risc de expunere la adresa UE și a stabilității sistemului său financiar. </w:t>
      </w:r>
    </w:p>
    <w:p w:rsidR="009D2948" w:rsidRPr="009D2948" w:rsidRDefault="009D2948" w:rsidP="00AF5EB7">
      <w:pPr>
        <w:pStyle w:val="Bullet0"/>
        <w:numPr>
          <w:ilvl w:val="0"/>
          <w:numId w:val="16"/>
        </w:numPr>
        <w:rPr>
          <w:noProof/>
        </w:rPr>
      </w:pPr>
      <w:r w:rsidRPr="009D2948">
        <w:t xml:space="preserve">Această gradare a cerințelor de supraveghere va permite o supraveghere proporțională și echilibrată a CPC din țări terțe și o atenuare corespunzătoare a oricărui risc sistemic conex, fără a conduce la fragmentarea inutilă a sistemului mondial și fără a impune costuri excesive participanților la piață. În acest mod, vor fi consolidate mecanismele de care dispun autoritățile de supraveghere și băncile centrale emitente din UE pentru a aborda riscurile aferente CPC din țări terțe, asigurând totodată condiții de concurență echitabile între CPC stabilite în UE și cele din țări terțe și prevăzând o mai bună asigurare a respectării continue a cerințelor de către CPC din țări terțe și o mai bună conformitate continuă a acestor CPC­uri. Cu toate că această opțiune ar putea genera anumite costuri suplimentare la nivel instituțional și pentru CPC din țări terțe, dar și, în ultimă instanță, pentru participanții </w:t>
      </w:r>
      <w:r w:rsidRPr="009D2948">
        <w:lastRenderedPageBreak/>
        <w:t>la piață, aceste costuri trebuie raportate la îmbunătățirile aduse atenuării riscului sistemic, chiar dacă valoarea exactă a beneficiilor monetare ale unei reduceri a riscului sistemic este dificil de cuantificat în prealabil.</w:t>
      </w:r>
    </w:p>
    <w:p w:rsidR="009D2948" w:rsidRPr="009D2948" w:rsidRDefault="009D2948" w:rsidP="009D2948">
      <w:pPr>
        <w:rPr>
          <w:noProof/>
        </w:rPr>
      </w:pPr>
      <w:r w:rsidRPr="009D2948">
        <w:t xml:space="preserve">Prin pachetul de opțiuni propuse se urmărește instituirea unor mecanisme clare și coerente de supraveghere a CPC stabilite în UE și în țări terțe. </w:t>
      </w:r>
    </w:p>
    <w:p w:rsidR="009D2948" w:rsidRPr="009D2948" w:rsidRDefault="009D2948" w:rsidP="009D2948">
      <w:pPr>
        <w:pBdr>
          <w:top w:val="nil"/>
          <w:left w:val="nil"/>
          <w:bottom w:val="nil"/>
          <w:right w:val="nil"/>
          <w:between w:val="nil"/>
          <w:bar w:val="nil"/>
        </w:pBdr>
        <w:spacing w:before="0" w:after="240"/>
        <w:rPr>
          <w:noProof/>
        </w:rPr>
      </w:pPr>
      <w:r w:rsidRPr="009D2948">
        <w:t xml:space="preserve">Raportul de evaluare a impactului analizează, de asemenea, costurile și beneficiile globale ale opțiunilor preferate, pentru a evalua costurile de asigurare a conformității și sarcinile impuse participanților la piață. Secțiunea următoare prezintă impactul estimat al măsurilor propuse. </w:t>
      </w:r>
    </w:p>
    <w:p w:rsidR="009D2948" w:rsidRPr="009D2948" w:rsidRDefault="009D2948" w:rsidP="009D2948">
      <w:pPr>
        <w:pStyle w:val="ManualHeading2"/>
        <w:rPr>
          <w:noProof/>
          <w:u w:color="000000"/>
          <w:bdr w:val="nil"/>
        </w:rPr>
      </w:pPr>
      <w:r w:rsidRPr="009D2948">
        <w:t>3.4</w:t>
      </w:r>
      <w:r w:rsidRPr="009D2948">
        <w:tab/>
        <w:t>Adecvarea reglementărilor și simplificarea</w:t>
      </w:r>
    </w:p>
    <w:p w:rsidR="009D2948" w:rsidRPr="009D2948" w:rsidRDefault="009D2948" w:rsidP="009D2948">
      <w:pPr>
        <w:pBdr>
          <w:top w:val="nil"/>
          <w:left w:val="nil"/>
          <w:bottom w:val="nil"/>
          <w:right w:val="nil"/>
          <w:between w:val="nil"/>
          <w:bar w:val="nil"/>
        </w:pBdr>
        <w:spacing w:before="0" w:after="240"/>
        <w:rPr>
          <w:noProof/>
        </w:rPr>
      </w:pPr>
      <w:r w:rsidRPr="009D2948">
        <w:t>Deși EMIR are drept obiectiv general reducerea riscului sistemic prin sporirea siguranței și eficienței CPC, prezenta inițiativă își propune să mărească eficacitatea și eficiența supravegherii CPC și, aplicând o abordare proporțională bazată pe o evaluare aprofundată a riscului, să reducă sarcina de reglementare și de asigurare a conformității suportată de participanții la piață. Această abordare este în concordanță cu Agenda pentru o mai bună reglementare a Comisiei.</w:t>
      </w:r>
    </w:p>
    <w:p w:rsidR="009D2948" w:rsidRPr="009D2948" w:rsidRDefault="009D2948" w:rsidP="009D2948">
      <w:pPr>
        <w:pBdr>
          <w:top w:val="nil"/>
          <w:left w:val="nil"/>
          <w:bottom w:val="nil"/>
          <w:right w:val="nil"/>
          <w:between w:val="nil"/>
          <w:bar w:val="nil"/>
        </w:pBdr>
        <w:spacing w:before="0" w:after="240"/>
        <w:rPr>
          <w:noProof/>
        </w:rPr>
      </w:pPr>
      <w:r w:rsidRPr="009D2948">
        <w:t>Prin această inițiativă vor fi consolidate mecanismele de supraveghere a CPC stabilite în UE (răspunzându-se astfel provocării reprezentate de creșterea mărimii, integrării, concentrării și interconectării acestora) și li se oferă autorităților UE posibilitatea de a monitoriza mai bine și de a atenua riscurile legate de expunerea UE la CPC din țări terțe. Acest lucru va contribui la reducerea și mai mult a probabilității, deja scăzute (dar cu un impact extrem de ridicat) ca o CPC să intre într-o dificultate majoră și va consolida stabilitatea generală a sistemului financiar al UE în ansamblul său. Cadrul de supraveghere consolidat va spori, de asemenea, securitatea juridică și economică în general. Deși acest cadru poate genera costuri economice inițiale, criza financiară din 2007-2008 demonstrează din plin, în mod empiric, avantajele prevenirii crizelor prin mecanisme de supraveghere cât mai eficace cu putință.</w:t>
      </w:r>
    </w:p>
    <w:p w:rsidR="009D2948" w:rsidRPr="009D2948" w:rsidRDefault="009D2948" w:rsidP="009D2948">
      <w:pPr>
        <w:pBdr>
          <w:top w:val="nil"/>
          <w:left w:val="nil"/>
          <w:bottom w:val="nil"/>
          <w:right w:val="nil"/>
          <w:between w:val="nil"/>
          <w:bar w:val="nil"/>
        </w:pBdr>
        <w:spacing w:before="0" w:after="240"/>
        <w:rPr>
          <w:noProof/>
        </w:rPr>
      </w:pPr>
      <w:r w:rsidRPr="009D2948">
        <w:t>Costurile opțiunilor preferate nu pot fi estimate decât într-o măsură limitată, întrucât ambele probleme se referă la supravegherea CPC. În timp ce în cazul autorităților UE și al celor naționale costurile suplimentare sau restructurarea costurilor (de exemplu, resurse și atribuții suplimentare) pot fi cuantificate, impactul este mai greu de stabilit în cazul participanților la piață și ar urma să se bazeze pe ipoteze ce riscă să pună sub semnul întrebării calculul costurilor. În plus, având în vedere faptul că opțiunea preferată pentru CPC din țări terțe se bazează pe o scară variabilă de cerințe de supraveghere, costurile conexe ar urma să varieze de la o CPC la alta și să depindă de impactul pe care îl au asupra UE activitățile CPC supravegheate sau recunoscute. Cu toate acestea, este posibil să se identifice sursa potențialelor costuri sau creșteri ale eficienței pentru participanții la piață.</w:t>
      </w:r>
    </w:p>
    <w:p w:rsidR="009D2948" w:rsidRPr="009D2948" w:rsidRDefault="009D2948" w:rsidP="009D2948">
      <w:pPr>
        <w:pBdr>
          <w:top w:val="nil"/>
          <w:left w:val="nil"/>
          <w:bottom w:val="nil"/>
          <w:right w:val="nil"/>
          <w:between w:val="nil"/>
          <w:bar w:val="nil"/>
        </w:pBdr>
        <w:spacing w:before="0" w:after="240"/>
        <w:rPr>
          <w:i/>
          <w:noProof/>
        </w:rPr>
      </w:pPr>
      <w:r w:rsidRPr="009D2948">
        <w:rPr>
          <w:i/>
          <w:noProof/>
        </w:rPr>
        <w:t>Potențialul de simplificare a reglementărilor și de reducere a costurilor de reglementare</w:t>
      </w:r>
    </w:p>
    <w:p w:rsidR="009D2948" w:rsidRPr="009D2948" w:rsidRDefault="009D2948" w:rsidP="009D2948">
      <w:pPr>
        <w:pBdr>
          <w:top w:val="nil"/>
          <w:left w:val="nil"/>
          <w:bottom w:val="nil"/>
          <w:right w:val="nil"/>
          <w:between w:val="nil"/>
          <w:bar w:val="nil"/>
        </w:pBdr>
        <w:spacing w:before="0" w:after="240"/>
        <w:rPr>
          <w:noProof/>
        </w:rPr>
      </w:pPr>
      <w:r w:rsidRPr="009D2948">
        <w:t>Prezenta inițiativă vizează raționalizarea cadrului de supraveghere a CPC stabilite în UE și o supraveghere mai strictă a CPC din țări terțe. Prin centralizarea activității de supraveghere la nivelul UE, în cadrul unui mecanism european de supraveghere, prezenta inițiativă elimină suprapunerile de sarcini între autoritățile naționale. Această măsură ar trebui să creeze economii de scară la nivelul UE și să reducă, la nivel național, necesarul de resurse consacrate CPC.</w:t>
      </w:r>
    </w:p>
    <w:p w:rsidR="009D2948" w:rsidRPr="009D2948" w:rsidRDefault="009D2948" w:rsidP="009D2948">
      <w:pPr>
        <w:pBdr>
          <w:top w:val="nil"/>
          <w:left w:val="nil"/>
          <w:bottom w:val="nil"/>
          <w:right w:val="nil"/>
          <w:between w:val="nil"/>
          <w:bar w:val="nil"/>
        </w:pBdr>
        <w:spacing w:before="0" w:after="240"/>
        <w:rPr>
          <w:noProof/>
        </w:rPr>
      </w:pPr>
      <w:r w:rsidRPr="009D2948">
        <w:lastRenderedPageBreak/>
        <w:t>În ceea ce îi privește pe participanții la piață, CPC ar trebui să beneficieze în principal de reducerea sarcinii administrative, datorită instituirii unui ghișeu unic pentru supravegherea transfrontalieră la nivelul UE.</w:t>
      </w:r>
    </w:p>
    <w:p w:rsidR="009D2948" w:rsidRPr="009D2948" w:rsidRDefault="009D2948" w:rsidP="009D2948">
      <w:pPr>
        <w:pBdr>
          <w:top w:val="nil"/>
          <w:left w:val="nil"/>
          <w:bottom w:val="nil"/>
          <w:right w:val="nil"/>
          <w:between w:val="nil"/>
          <w:bar w:val="nil"/>
        </w:pBdr>
        <w:spacing w:before="0" w:after="240"/>
        <w:rPr>
          <w:i/>
          <w:noProof/>
        </w:rPr>
      </w:pPr>
      <w:r w:rsidRPr="009D2948">
        <w:rPr>
          <w:i/>
          <w:noProof/>
        </w:rPr>
        <w:t>Impactul asupra participanților la piață (inclusiv IMM-urile)</w:t>
      </w:r>
    </w:p>
    <w:p w:rsidR="009D2948" w:rsidRPr="009D2948" w:rsidRDefault="009D2948" w:rsidP="009D2948">
      <w:pPr>
        <w:pBdr>
          <w:top w:val="nil"/>
          <w:left w:val="nil"/>
          <w:bottom w:val="nil"/>
          <w:right w:val="nil"/>
          <w:between w:val="nil"/>
          <w:bar w:val="nil"/>
        </w:pBdr>
        <w:spacing w:before="0" w:after="240"/>
        <w:rPr>
          <w:noProof/>
        </w:rPr>
      </w:pPr>
      <w:r w:rsidRPr="009D2948">
        <w:t>În ceea ce privește supravegherea CPC stabilite în UE, nu este de așteptat ca schimbările propuse de opțiunea preferată să aibă un impact semnificativ asupra costului compensării, nici pentru membrii compensatori, nici pentru clienții acestora, fie ei indirecți. Pentru a finanța acest mecanism european, există posibilitatea de a impune CPC obligația de a achita taxe de supraveghere. Cuantumul acestor taxe ar urma totuși să fie proporțional cu activitatea CPC și nu ar reprezenta decât o parte neglijabilă din cifra lor de afaceri. Cu toate că aceste costuri pot fi repercutate asupra pieței, ele nu ar reprezenta decât costuri de adaptare minime.</w:t>
      </w:r>
    </w:p>
    <w:p w:rsidR="009D2948" w:rsidRPr="009D2948" w:rsidRDefault="009D2948" w:rsidP="009D2948">
      <w:pPr>
        <w:pBdr>
          <w:top w:val="nil"/>
          <w:left w:val="nil"/>
          <w:bottom w:val="nil"/>
          <w:right w:val="nil"/>
          <w:between w:val="nil"/>
          <w:bar w:val="nil"/>
        </w:pBdr>
        <w:spacing w:before="0" w:after="240"/>
        <w:rPr>
          <w:noProof/>
        </w:rPr>
      </w:pPr>
      <w:r w:rsidRPr="009D2948">
        <w:t xml:space="preserve">În ceea ce privește supravegherea CPC din țări terțe, opțiunea preferată prevede că, în cele mai multe situații, ar apărea costuri concrete numai în cazul în care autorizarea și stabilirea în UE sunt impuse ca parte a scării variabile de cerințe de supraveghere. Făcând abstracție de cerința privind localizarea, CPC de nivel 1 și de nivel 2 ar urma să se afle într-o situație apropiată de cea a CPC stabilite în UE, având de achitat numai taxe de supraveghere limitate, care vor finanța mecanismul european. Această opțiune nu ar impune decât costuri suplimentare limitate în sarcina participanților la piață. </w:t>
      </w:r>
    </w:p>
    <w:p w:rsidR="009D2948" w:rsidRPr="009D2948" w:rsidRDefault="009D2948" w:rsidP="009D2948">
      <w:pPr>
        <w:pBdr>
          <w:top w:val="nil"/>
          <w:left w:val="nil"/>
          <w:bottom w:val="nil"/>
          <w:right w:val="nil"/>
          <w:between w:val="nil"/>
          <w:bar w:val="nil"/>
        </w:pBdr>
        <w:spacing w:before="0" w:after="240"/>
        <w:rPr>
          <w:noProof/>
        </w:rPr>
      </w:pPr>
      <w:r w:rsidRPr="009D2948">
        <w:t>Pentru înființarea și lansarea activității mecanismului european de supraveghere care să asigure sarcinile curente ale activității de supraveghere a celor 17 CPC stabilite în prezent în UE va fi necesar un personal de bază. În ipoteza în care toate CPC din țări terțe care solicită recunoașterea vor fi, în cele din urmă, recunoscute, ar însemna că sesiunea executivă va avea în jur de 40 de CPC din țări terțe în competența sa, fie indirect, prin monitorizare și schimb de informații (respectiv CPC de nivel 1), fie, pe lângă aceasta, prin intermediul unei supravegheri directe a CPC de nivel 2, care prezintă un potențial mai mare de riscuri semnificative.</w:t>
      </w:r>
    </w:p>
    <w:p w:rsidR="009D2948" w:rsidRPr="009D2948" w:rsidRDefault="009D2948" w:rsidP="009D2948">
      <w:pPr>
        <w:pBdr>
          <w:top w:val="nil"/>
          <w:left w:val="nil"/>
          <w:bottom w:val="nil"/>
          <w:right w:val="nil"/>
          <w:between w:val="nil"/>
          <w:bar w:val="nil"/>
        </w:pBdr>
        <w:spacing w:before="0" w:after="240"/>
        <w:rPr>
          <w:noProof/>
        </w:rPr>
      </w:pPr>
      <w:r w:rsidRPr="009D2948">
        <w:t>În consecință, luând în considerare numărul de CPC din țări terțe care trebuie să fie supravegheate, fie direct, fie indirect, precum și tipul și complexitatea sarcinilor care urmează să fie îndeplinite pentru CPC de nivel 1 și, respectiv, de nivel 2, numărul estimat de angajați este de 49 în echivalent normă întreagă. În ansamblu, costurile suplimentare legate de opțiunile preferate în materie de supraveghere a CPC ar urma să se ridice la aproximativ 7 milioane EUR pe an.</w:t>
      </w:r>
    </w:p>
    <w:p w:rsidR="009D2948" w:rsidRPr="009D2948" w:rsidRDefault="009D2948" w:rsidP="009D2948">
      <w:pPr>
        <w:pBdr>
          <w:top w:val="nil"/>
          <w:left w:val="nil"/>
          <w:bottom w:val="nil"/>
          <w:right w:val="nil"/>
          <w:between w:val="nil"/>
          <w:bar w:val="nil"/>
        </w:pBdr>
        <w:spacing w:before="0" w:after="240"/>
        <w:rPr>
          <w:noProof/>
        </w:rPr>
      </w:pPr>
      <w:r w:rsidRPr="009D2948">
        <w:t>În afară de costurile legate de supraveghere, cea mai mare parte a costurilor care ar urma să fie suportate de contrapărțile de compensare (membrii compensatori și clienții acestora) ar urma să fie generate de introducerea unei cerințe privind autorizarea și stabilirea în UE care va viza CPC de nivel 2 ce prezintă o mare importanță sistemică. Aceste costuri ar urma să fie determinate de considerații de ordin juridic și operațional, precum și, în cazul în care nu este calibrată în mod corespunzător, de fragmentarea pieței și eventualele sale consecințe asupra lichidității pieței și a prețurilor de executare. Ajustările pozitive sau negative ale eficienței cerințelor de marjă vor depinde în mare măsură de capacitatea participanților la piață de a substitui CPC din țări terțe cu CPC stabilite în UE. Factorii determinanți ai acestor costuri sunt detaliați în secțiunea 5.3 din raportul de evaluare a impactului care însoțește prezenta propunere.</w:t>
      </w:r>
    </w:p>
    <w:p w:rsidR="009D2948" w:rsidRPr="009D2948" w:rsidRDefault="009D2948" w:rsidP="009D2948">
      <w:pPr>
        <w:pBdr>
          <w:top w:val="nil"/>
          <w:left w:val="nil"/>
          <w:bottom w:val="nil"/>
          <w:right w:val="nil"/>
          <w:between w:val="nil"/>
          <w:bar w:val="nil"/>
        </w:pBdr>
        <w:spacing w:before="0" w:after="240"/>
        <w:rPr>
          <w:noProof/>
        </w:rPr>
      </w:pPr>
      <w:r w:rsidRPr="009D2948">
        <w:t xml:space="preserve">În plus, o politică de localizare care nu ar fi adaptată în funcție de riscul sistemic al unei CPC dintr-o țară terță definit pe baza unor criterii obiective ar putea avea un impact asupra </w:t>
      </w:r>
      <w:r w:rsidRPr="009D2948">
        <w:lastRenderedPageBreak/>
        <w:t>costurilor compensării, a accesului la compensare indirectă pentru clienții membrilor compensatori (inclusiv contrapărțile nefinanciare și contrapărțile financiare mici) și, prin urmare, asupra capacității generale de a acoperi riscurile pentru contrapărțile din UE.</w:t>
      </w:r>
    </w:p>
    <w:p w:rsidR="009D2948" w:rsidRPr="009D2948" w:rsidRDefault="009D2948" w:rsidP="009D2948">
      <w:pPr>
        <w:pBdr>
          <w:top w:val="nil"/>
          <w:left w:val="nil"/>
          <w:bottom w:val="nil"/>
          <w:right w:val="nil"/>
          <w:between w:val="nil"/>
          <w:bar w:val="nil"/>
        </w:pBdr>
        <w:spacing w:before="0" w:after="240"/>
        <w:rPr>
          <w:noProof/>
        </w:rPr>
      </w:pPr>
      <w:r w:rsidRPr="009D2948">
        <w:t xml:space="preserve">Cu toate acestea, acest lucru trebuie analizat în comparație cu avantajele unei mai bune preveniri a crizelor. În general, întreprinderile, IMM-urile și microîntreprinderile vor beneficia de pe urma unei mai mari stabilități a CPC și a continuității principalelor funcții critice ale acestora în cazul apariției, în viitor, a unei crize care ar conduce la intrarea lor în dificultate sau la intrarea în dificultate majoră. Probabilitatea apariției unei astfel de crize ar trebui scadă și mai mult odată cu îmbunătățirea capacității autorităților competente din UE de a preîntâmpina acumularea de riscuri sistemice în CPC din UE și de a reduce transmiterea dificultăților financiare dăunătoare prin intermediul CPC din țări terțe. În consecință, ar urma să fie diminuată și probabilitatea ca o criză care afectează sectorul financiar să aibă efecte de domino - precum scăderea disponibilității și/sau capacității sectorului bancar de a asigura finanțare pentru economia reală, recesiuni etc. -, care tind să afecteze puternic IMM-urile și capacitatea acestora de a obține finanțare. </w:t>
      </w:r>
    </w:p>
    <w:p w:rsidR="009D2948" w:rsidRPr="009D2948" w:rsidRDefault="009D2948" w:rsidP="009D2948">
      <w:pPr>
        <w:pBdr>
          <w:top w:val="nil"/>
          <w:left w:val="nil"/>
          <w:bottom w:val="nil"/>
          <w:right w:val="nil"/>
          <w:between w:val="nil"/>
          <w:bar w:val="nil"/>
        </w:pBdr>
        <w:spacing w:before="0" w:after="240"/>
        <w:rPr>
          <w:noProof/>
        </w:rPr>
      </w:pPr>
      <w:r w:rsidRPr="009D2948">
        <w:t>În plus, prin clarificarea atât a mecanismelor de supraveghere a CPC din UE, cât și a celor de supraveghere a CPC din țări terțe și concomitent cu recenta inițiativă de revizuire a EMIR întreprinsă de Comisie în cadrul REFIT, care urmărește reducerea costurilor excesive care trebuie suportate de contrapărțile mai mici, propunerea ar trebui să contribuie la promovarea în continuare a utilizării compensării centrale și la facilitarea capacității IMM­urilor de acces la instrumente financiare, fie pentru a-și acoperi tranzacțiile împotriva riscurilor, fie pentru realizarea de investiții. Prin urmare, propunerea va facilita efectuarea de noi tranzacții transfrontaliere în UE și va promova o piață eficientă și competitivă a CPC­urilor din UE, contribuind astfel la obiectivele uniunii piețelor de capital.</w:t>
      </w:r>
    </w:p>
    <w:p w:rsidR="009D2948" w:rsidRPr="009D2948" w:rsidRDefault="009D2948" w:rsidP="009D2948">
      <w:pPr>
        <w:pBdr>
          <w:top w:val="nil"/>
          <w:left w:val="nil"/>
          <w:bottom w:val="nil"/>
          <w:right w:val="nil"/>
          <w:between w:val="nil"/>
          <w:bar w:val="nil"/>
        </w:pBdr>
        <w:spacing w:before="0" w:after="240"/>
        <w:rPr>
          <w:i/>
          <w:noProof/>
        </w:rPr>
      </w:pPr>
      <w:r w:rsidRPr="009D2948">
        <w:rPr>
          <w:i/>
          <w:noProof/>
        </w:rPr>
        <w:t>Impactul asupra bugetului UE</w:t>
      </w:r>
    </w:p>
    <w:p w:rsidR="009D2948" w:rsidRPr="009D2948" w:rsidRDefault="009D2948" w:rsidP="009D2948">
      <w:pPr>
        <w:pBdr>
          <w:top w:val="nil"/>
          <w:left w:val="nil"/>
          <w:bottom w:val="nil"/>
          <w:right w:val="nil"/>
          <w:between w:val="nil"/>
          <w:bar w:val="nil"/>
        </w:pBdr>
        <w:spacing w:before="0" w:after="240"/>
        <w:rPr>
          <w:noProof/>
        </w:rPr>
      </w:pPr>
      <w:r w:rsidRPr="009D2948">
        <w:t>În ansamblu, schimbările avute în vedere în ceea ce privește supravegherea CPC din UE nu ar urma să aibă impact sub nicio formă asupra bugetului UE, deoarece toate costurile suplimentare, cum ar fi resursele suplimentare pentru mecanismul european, ar urma să fie acoperite din taxele de supraveghere percepute de la CPC. Totuși, aceste schimbări ar trebui, în ultimă instanță, să aducă beneficii tuturor participanților la piață, precum și statelor membre, deoarece ar trebui să conducă la creșterea siguranței pieței de compensare din UE. Analiza impactului financiar al consolidării supravegherii CPC stabilite pe teritoriul UE continuă în secțiunile de mai jos.</w:t>
      </w:r>
    </w:p>
    <w:p w:rsidR="009D2948" w:rsidRPr="009D2948" w:rsidRDefault="009D2948" w:rsidP="009D2948">
      <w:pPr>
        <w:pBdr>
          <w:top w:val="nil"/>
          <w:left w:val="nil"/>
          <w:bottom w:val="nil"/>
          <w:right w:val="nil"/>
          <w:between w:val="nil"/>
          <w:bar w:val="nil"/>
        </w:pBdr>
        <w:spacing w:before="0" w:after="240"/>
        <w:rPr>
          <w:noProof/>
        </w:rPr>
      </w:pPr>
      <w:r w:rsidRPr="009D2948">
        <w:t>În mod similar, modificările avute în vedere pentru a atenua riscurile generate de CPC din țări terțe nu ar urma să aibă sub nicio formă vreun impact asupra bugetului UE, deoarece finanțarea oricăror resurse suplimentare pentru mecanismul european ar urma să fie asigurată tot prin perceperea de taxe de supraveghere de la CPC din țări terțe. Totuși, aceste schimbări ar urma să fie benefice pentru UE, deoarece ar reduce probabilitatea de a importa în UE riscuri la adresa stabilității financiare și ar oferi asigurarea că contrapărțile din UE care efectuează tranzacții cu CPC din țări terțe își desfășoară activitatea într-un mediu sigur, promovând astfel piețe mondiale puternice și stabile.</w:t>
      </w:r>
    </w:p>
    <w:p w:rsidR="009D2948" w:rsidRPr="009D2948" w:rsidRDefault="009D2948" w:rsidP="009D2948">
      <w:pPr>
        <w:pStyle w:val="ManualHeading2"/>
        <w:rPr>
          <w:noProof/>
          <w:u w:color="000000"/>
          <w:bdr w:val="nil"/>
        </w:rPr>
      </w:pPr>
      <w:r w:rsidRPr="009D2948">
        <w:t>3.5</w:t>
      </w:r>
      <w:r w:rsidRPr="009D2948">
        <w:tab/>
        <w:t>Drepturi fundamentale</w:t>
      </w:r>
    </w:p>
    <w:p w:rsidR="009D2948" w:rsidRPr="009D2948" w:rsidRDefault="009D2948" w:rsidP="009D2948">
      <w:pPr>
        <w:pBdr>
          <w:top w:val="nil"/>
          <w:left w:val="nil"/>
          <w:bottom w:val="nil"/>
          <w:right w:val="nil"/>
          <w:between w:val="nil"/>
          <w:bar w:val="nil"/>
        </w:pBdr>
        <w:spacing w:before="0" w:after="240"/>
        <w:rPr>
          <w:noProof/>
        </w:rPr>
      </w:pPr>
      <w:r w:rsidRPr="009D2948">
        <w:t xml:space="preserve">UE s-a angajat să respecte standarde ridicate de protecție a drepturilor fundamentale și este parte la numeroase convenții privind drepturile omului. În acest context, propunerea nu va avea probabil niciun impact direct asupra acestor drepturi, astfel cum au fost enumerate în </w:t>
      </w:r>
      <w:r w:rsidRPr="009D2948">
        <w:lastRenderedPageBreak/>
        <w:t>principalele convenții ale ONU privind drepturile omului, în Carta drepturilor fundamentale a Uniunii Europene, care este parte integrantă a tratatelor UE, și în Convenția Europeană a Drepturilor Omului (CEDO).</w:t>
      </w:r>
    </w:p>
    <w:p w:rsidR="009D2948" w:rsidRPr="009D2948" w:rsidRDefault="009D2948" w:rsidP="009D2948">
      <w:pPr>
        <w:pStyle w:val="ManualHeading1"/>
        <w:rPr>
          <w:noProof/>
        </w:rPr>
      </w:pPr>
      <w:r w:rsidRPr="009D2948">
        <w:t>4.</w:t>
      </w:r>
      <w:r w:rsidRPr="009D2948">
        <w:tab/>
        <w:t>IMPLICAȚIILE BUGETARE</w:t>
      </w:r>
    </w:p>
    <w:p w:rsidR="009D2948" w:rsidRPr="009D2948" w:rsidRDefault="009D2948" w:rsidP="009D2948">
      <w:pPr>
        <w:rPr>
          <w:noProof/>
          <w:szCs w:val="24"/>
        </w:rPr>
      </w:pPr>
      <w:r w:rsidRPr="009D2948">
        <w:t>Nu este de așteptat ca modificările avute în vedere pentru a consolida supravegherea CPC­urilor din UE și pentru a atenua riscurile pe care le prezintă CPC din țări terțe să aibă impact asupra bugetului UE.</w:t>
      </w:r>
    </w:p>
    <w:p w:rsidR="009D2948" w:rsidRPr="009D2948" w:rsidRDefault="009D2948" w:rsidP="009D2948">
      <w:pPr>
        <w:rPr>
          <w:noProof/>
          <w:szCs w:val="24"/>
        </w:rPr>
      </w:pPr>
      <w:r w:rsidRPr="009D2948">
        <w:t xml:space="preserve">Eventualele sarcini suplimentare care îi vor reveni ESMA, cum ar fi procesul de înregistrare a CPC din țări terțe și supravegherea continuă a acestora, ar putea duce la necesitatea unei majorări a resurselor planificate ale ESMA. Cu toate acestea, toate costurile suplimentare pentru bugetul UE ar putea fi atenuate prin mecanisme de sporire a finanțării mecanismului european, cum ar fi colectarea de taxe de la CPC din UE și din țări terțe care se vor afla sub supravegherea sa directă. </w:t>
      </w:r>
    </w:p>
    <w:p w:rsidR="009D2948" w:rsidRPr="009D2948" w:rsidRDefault="009D2948" w:rsidP="009D2948">
      <w:r w:rsidRPr="009D2948">
        <w:t xml:space="preserve">Impactul financiar și bugetar al propunerii este indicat în fișa financiară legislativă anexată la prezenta propunere. </w:t>
      </w:r>
    </w:p>
    <w:p w:rsidR="009D2948" w:rsidRPr="009D2948" w:rsidRDefault="009D2948" w:rsidP="009D2948">
      <w:pPr>
        <w:pStyle w:val="ManualHeading1"/>
        <w:rPr>
          <w:noProof/>
        </w:rPr>
      </w:pPr>
      <w:r w:rsidRPr="009D2948">
        <w:t>5.</w:t>
      </w:r>
      <w:r w:rsidRPr="009D2948">
        <w:tab/>
        <w:t>ALTE ELEMENTE</w:t>
      </w:r>
    </w:p>
    <w:p w:rsidR="009D2948" w:rsidRPr="009D2948" w:rsidRDefault="009D2948" w:rsidP="009D2948">
      <w:pPr>
        <w:pStyle w:val="ManualHeading2"/>
        <w:rPr>
          <w:noProof/>
          <w:u w:color="000000"/>
          <w:bdr w:val="nil"/>
        </w:rPr>
      </w:pPr>
      <w:r w:rsidRPr="009D2948">
        <w:t>5.1.</w:t>
      </w:r>
      <w:r w:rsidRPr="009D2948">
        <w:tab/>
        <w:t>Planuri de punere în aplicare și modalități de monitorizare, evaluare și raportare</w:t>
      </w:r>
    </w:p>
    <w:p w:rsidR="009D2948" w:rsidRPr="009D2948" w:rsidRDefault="009D2948" w:rsidP="009D2948">
      <w:pPr>
        <w:rPr>
          <w:noProof/>
          <w:szCs w:val="24"/>
        </w:rPr>
      </w:pPr>
      <w:r w:rsidRPr="009D2948">
        <w:t>Propunerea include cerința de evaluare a EMIR în ansamblul său, accentul fiind pus în special pe eficiența și eficacitatea mecanismelor de supraveghere propuse în vederea îndeplinirii obiectivului inițial al EMIR de asigurare a unui grad mai ridicat de stabilitate financiară. Prin urmare, evaluarea ar trebui să ia în considerare toate aspectele EMIR, în special următoarele:</w:t>
      </w:r>
    </w:p>
    <w:p w:rsidR="009D2948" w:rsidRPr="009D2948" w:rsidRDefault="009D2948" w:rsidP="00AF5EB7">
      <w:pPr>
        <w:pStyle w:val="Bullet0"/>
        <w:numPr>
          <w:ilvl w:val="0"/>
          <w:numId w:val="16"/>
        </w:numPr>
        <w:rPr>
          <w:noProof/>
        </w:rPr>
      </w:pPr>
      <w:r w:rsidRPr="009D2948">
        <w:t>numărul de CPC care au intrat în procedura de redresare sau de rezoluție;</w:t>
      </w:r>
    </w:p>
    <w:p w:rsidR="009D2948" w:rsidRPr="009D2948" w:rsidRDefault="009D2948" w:rsidP="00AF5EB7">
      <w:pPr>
        <w:pStyle w:val="Bullet0"/>
        <w:numPr>
          <w:ilvl w:val="0"/>
          <w:numId w:val="16"/>
        </w:numPr>
        <w:rPr>
          <w:noProof/>
        </w:rPr>
      </w:pPr>
      <w:r w:rsidRPr="009D2948">
        <w:t>numărul ocaziilor în care autoritățile naționale competente au recurs la mecanismul de soluționare a litigiilor;</w:t>
      </w:r>
    </w:p>
    <w:p w:rsidR="009D2948" w:rsidRPr="009D2948" w:rsidRDefault="009D2948" w:rsidP="00AF5EB7">
      <w:pPr>
        <w:pStyle w:val="Bullet0"/>
        <w:numPr>
          <w:ilvl w:val="0"/>
          <w:numId w:val="16"/>
        </w:numPr>
        <w:rPr>
          <w:noProof/>
        </w:rPr>
      </w:pPr>
      <w:r w:rsidRPr="009D2948">
        <w:t>numărul inspecțiilor la fața locului în cazul CPC din țări terțe;</w:t>
      </w:r>
    </w:p>
    <w:p w:rsidR="009D2948" w:rsidRPr="009D2948" w:rsidRDefault="009D2948" w:rsidP="00AF5EB7">
      <w:pPr>
        <w:pStyle w:val="Bullet0"/>
        <w:numPr>
          <w:ilvl w:val="0"/>
          <w:numId w:val="16"/>
        </w:numPr>
        <w:rPr>
          <w:noProof/>
        </w:rPr>
      </w:pPr>
      <w:r w:rsidRPr="009D2948">
        <w:t>numărul de CPC recunoscute din țări terțe;</w:t>
      </w:r>
    </w:p>
    <w:p w:rsidR="009D2948" w:rsidRPr="009D2948" w:rsidRDefault="009D2948" w:rsidP="00AF5EB7">
      <w:pPr>
        <w:pStyle w:val="Bullet0"/>
        <w:numPr>
          <w:ilvl w:val="0"/>
          <w:numId w:val="16"/>
        </w:numPr>
        <w:rPr>
          <w:noProof/>
        </w:rPr>
      </w:pPr>
      <w:r w:rsidRPr="009D2948">
        <w:t>numărul de cazuri de nerespectare de către CPC din țări terțe a condițiilor privind echivalența și/sau recunoașterea;</w:t>
      </w:r>
    </w:p>
    <w:p w:rsidR="009D2948" w:rsidRPr="009D2948" w:rsidRDefault="009D2948" w:rsidP="00AF5EB7">
      <w:pPr>
        <w:pStyle w:val="Bullet0"/>
        <w:numPr>
          <w:ilvl w:val="0"/>
          <w:numId w:val="16"/>
        </w:numPr>
        <w:rPr>
          <w:noProof/>
        </w:rPr>
      </w:pPr>
      <w:r w:rsidRPr="009D2948">
        <w:t>costurile estimate pentru contrapărțile din UE.</w:t>
      </w:r>
    </w:p>
    <w:p w:rsidR="009D2948" w:rsidRPr="009D2948" w:rsidRDefault="009D2948" w:rsidP="009D2948">
      <w:pPr>
        <w:rPr>
          <w:noProof/>
          <w:szCs w:val="24"/>
        </w:rPr>
      </w:pPr>
      <w:r w:rsidRPr="009D2948">
        <w:t>În principiu, această evaluare ar trebui să se efectueze după cel puțin 5 ani de la punerea în aplicare a acestor modificări.</w:t>
      </w:r>
    </w:p>
    <w:p w:rsidR="009D2948" w:rsidRPr="009D2948" w:rsidRDefault="009D2948" w:rsidP="009D2948">
      <w:pPr>
        <w:rPr>
          <w:noProof/>
          <w:szCs w:val="24"/>
        </w:rPr>
      </w:pPr>
      <w:r w:rsidRPr="009D2948">
        <w:t>Scopul evaluării este de a obține contribuții de la toate părțile interesate relevante, și mai ales de la CPC, membrii compensatori, contrapărțile nefinanciare, contrapărțile financiare mici și, în general, de la clienții și clienții indirecți ai membrilor compensatori. De asemenea, se va cere contribuția ESMA, precum și a autorităților naționale și a băncilor centrale. Ar trebui obținute de la ESMA date statistice în vederea analizei.</w:t>
      </w:r>
    </w:p>
    <w:p w:rsidR="009D2948" w:rsidRPr="009D2948" w:rsidRDefault="009D2948" w:rsidP="009D2948">
      <w:pPr>
        <w:pStyle w:val="ManualHeading2"/>
        <w:rPr>
          <w:noProof/>
          <w:u w:color="000000"/>
          <w:bdr w:val="nil"/>
        </w:rPr>
      </w:pPr>
      <w:r w:rsidRPr="009D2948">
        <w:lastRenderedPageBreak/>
        <w:t>5.2.</w:t>
      </w:r>
      <w:r w:rsidRPr="009D2948">
        <w:tab/>
        <w:t>Explicații detaliate referitoare la prevederile specifice ale propunerii</w:t>
      </w:r>
    </w:p>
    <w:p w:rsidR="009D2948" w:rsidRPr="009D2948" w:rsidRDefault="009D2948" w:rsidP="009D2948">
      <w:pPr>
        <w:pStyle w:val="ManualHeading3"/>
        <w:rPr>
          <w:noProof/>
        </w:rPr>
      </w:pPr>
      <w:r w:rsidRPr="009D2948">
        <w:t>5.2.1.</w:t>
      </w:r>
      <w:r w:rsidRPr="009D2948">
        <w:tab/>
        <w:t xml:space="preserve">Crearea sesiunii executive pentru CPC în cadrul consiliului supraveghetorilor ESMA </w:t>
      </w:r>
    </w:p>
    <w:p w:rsidR="009D2948" w:rsidRPr="009D2948" w:rsidRDefault="009D2948" w:rsidP="009D2948">
      <w:pPr>
        <w:rPr>
          <w:b/>
          <w:noProof/>
          <w:szCs w:val="24"/>
        </w:rPr>
      </w:pPr>
      <w:r w:rsidRPr="009D2948">
        <w:rPr>
          <w:b/>
          <w:noProof/>
        </w:rPr>
        <w:t>Modificări care au scopul de a preciza relația dintre sesiunea executivă pentru CPC și consiliul supraveghetorilor ESMA (Regulamentul privind ESMA, articolele 4, 6, 40, 42, 43)</w:t>
      </w:r>
    </w:p>
    <w:p w:rsidR="009D2948" w:rsidRPr="009D2948" w:rsidRDefault="009D2948" w:rsidP="009D2948">
      <w:pPr>
        <w:rPr>
          <w:noProof/>
          <w:szCs w:val="24"/>
        </w:rPr>
      </w:pPr>
      <w:r w:rsidRPr="009D2948">
        <w:t>Articolul 1 alineatul (1) introduce un nou alineat (4) la articolul 4 din Regulamentul privind ESMA, pentru a se prevedea o definiție a CPC aliniată la definiția din EMIR.</w:t>
      </w:r>
    </w:p>
    <w:p w:rsidR="009D2948" w:rsidRPr="009D2948" w:rsidRDefault="009D2948" w:rsidP="009D2948">
      <w:pPr>
        <w:rPr>
          <w:noProof/>
          <w:szCs w:val="24"/>
        </w:rPr>
      </w:pPr>
      <w:r w:rsidRPr="009D2948">
        <w:t>Articolul 1 alineatul (2) introduce un punct nou (1a) la articolul 6 din Regulamentul privind ESMA, pentru a institui un consiliu al supraveghetorilor în sesiune executivă (sesiunea executivă pentru CPC) în cadrul ESMA în domeniul supravegherii CPC din Uniune și din țări terțe.</w:t>
      </w:r>
    </w:p>
    <w:p w:rsidR="009D2948" w:rsidRPr="009D2948" w:rsidRDefault="009D2948" w:rsidP="009D2948">
      <w:pPr>
        <w:rPr>
          <w:noProof/>
          <w:szCs w:val="24"/>
        </w:rPr>
      </w:pPr>
      <w:r w:rsidRPr="009D2948">
        <w:t>Articolul 1 alineatul (4) introduce o nouă literă (f) la articolul 40 alineatul (1) din Regulamentul privind ESMA, pentru a se prevedea că șeful și cei doi directori ai sesiunii executive pentru CPC sunt membri fără drept de vot ai consiliului supraveghetorilor ESMA.</w:t>
      </w:r>
    </w:p>
    <w:p w:rsidR="009D2948" w:rsidRPr="009D2948" w:rsidRDefault="009D2948" w:rsidP="009D2948">
      <w:pPr>
        <w:rPr>
          <w:noProof/>
          <w:szCs w:val="24"/>
        </w:rPr>
      </w:pPr>
      <w:r w:rsidRPr="009D2948">
        <w:t>Articolul 1 alineatul (5) modifică primul paragraf al articolului 42 din Regulamentul privind ESMA, astfel încât să se prevadă că președintele, membrii cu drept de vot ai consiliului supraveghetorilor, șeful și cei doi directori ai sesiunii executive pentru CPC acționează în mod independent și obiectiv în interesul Uniunii.</w:t>
      </w:r>
    </w:p>
    <w:p w:rsidR="009D2948" w:rsidRPr="009D2948" w:rsidRDefault="009D2948" w:rsidP="009D2948">
      <w:pPr>
        <w:rPr>
          <w:b/>
          <w:noProof/>
          <w:szCs w:val="24"/>
        </w:rPr>
      </w:pPr>
      <w:r w:rsidRPr="009D2948">
        <w:t>Articolul 1 alineatul (6) modifică alineatul (1) de la articolul 43 din Regulamentul privind ESMA, pentru a se face o distincție între atribuțiile consiliului supraveghetorilor și atribuțiile sesiunii executive pentru CPC. Articolul 1 alineatul (6) înlocuiește, de asemenea, alineatul (8) de la articolul 43 din Regulamentul privind ESMA, pentru a se prevedea că consiliul supraveghetorilor exercită autoritate asupra directorului executiv în acord cu sesiunea executivă pentru CPC.</w:t>
      </w:r>
    </w:p>
    <w:p w:rsidR="009D2948" w:rsidRPr="009D2948" w:rsidRDefault="009D2948" w:rsidP="009D2948">
      <w:pPr>
        <w:rPr>
          <w:b/>
          <w:noProof/>
          <w:szCs w:val="24"/>
        </w:rPr>
      </w:pPr>
      <w:r w:rsidRPr="009D2948">
        <w:rPr>
          <w:b/>
          <w:noProof/>
        </w:rPr>
        <w:t>Modificări care au scopul de a stabili organizarea sesiunii executive pentru CPC</w:t>
      </w:r>
      <w:r w:rsidRPr="009D2948">
        <w:t xml:space="preserve"> </w:t>
      </w:r>
      <w:r w:rsidRPr="009D2948">
        <w:rPr>
          <w:b/>
          <w:noProof/>
        </w:rPr>
        <w:t>(Regulamentul privind ESMA, noile articole 44a — 44c)</w:t>
      </w:r>
    </w:p>
    <w:p w:rsidR="009D2948" w:rsidRPr="009D2948" w:rsidRDefault="009D2948" w:rsidP="009D2948">
      <w:pPr>
        <w:rPr>
          <w:noProof/>
          <w:szCs w:val="24"/>
        </w:rPr>
      </w:pPr>
      <w:r w:rsidRPr="009D2948">
        <w:t xml:space="preserve">Pentru a stabili modul de organizare în cadrul ESMA al consiliului supraveghetorilor în sesiune executivă (sesiunea executivă pentru CPC), articolul 1 alineatul (7) introduce noile articole 44a, 44b și 44c, ca parte a unei noi secțiuni 1A în capitolul III din Regulamentul privind ESMA. Noua secțiune 1A stabilește componența sesiunii executive pentru CPC, atribuțiile și competențele decizionale ale acesteia, astfel încât să se asigure o abordare coerentă în materie de supraveghere în întreaga UE, un nivel corespunzător de expertiză, precum și un proces decizional rapid și eficace în ceea ce privește supravegherea CPC. </w:t>
      </w:r>
    </w:p>
    <w:p w:rsidR="009D2948" w:rsidRPr="009D2948" w:rsidRDefault="009D2948" w:rsidP="009D2948">
      <w:pPr>
        <w:rPr>
          <w:noProof/>
          <w:szCs w:val="24"/>
        </w:rPr>
      </w:pPr>
      <w:r w:rsidRPr="009D2948">
        <w:t xml:space="preserve">Conform noului articol 44a, consiliul supraveghetorilor în sesiunea sa executivă pentru CPC este alcătuit din: (i) membri permanenți, inclusiv un șef și doi directori independenți, cu drept de vot, și un reprezentant al BCE și al Comisiei, fără drept de vot și (ii) membri specifici pentru fiecare CPC, inclusiv un reprezentant al autorității competente din statul membru în care este stabilită contrapartea centrală, cu drept de vot, și un reprezentant al băncii (băncilor) centrale emitente relevante, fără drept de vot. Membrii permanenți ar trebui să participe la toate reuniunile sesiunii executive pentru CPC. Membrii specifici pentru fiecare CPC ar trebui să participe atunci când este necesar și oportun pentru CPC care se află sub supravegherea lor. Șeful sesiunii executive pentru CPC poate invita și alți membri ai actualului colegiu de supraveghetori, în temeiul articolului 18 din EMIR, și reprezentanți ai autorităților CPC recunoscute de ESMA din țări terțe, în calitate de observatori, pentru a se asigura că punctele de vedere ale celorlalte autorități relevante sunt luate în considerare în mod suficient de către </w:t>
      </w:r>
      <w:r w:rsidRPr="009D2948">
        <w:lastRenderedPageBreak/>
        <w:t>sesiunea executivă pentru CPC. Prezența membrilor permanenți independenți și a membrilor specifici pentru fiecare CPC va garanta că deciziile luate în cadrul sesiunii executive pentru CPC sunt consecvente, adecvate și proporționale în întreaga UE, precum și că autoritățile naționale competente, băncile centrale emitente și observatorii relevanți sunt implicați în procesul decizional cu privire la aspectele legate de o CPC stabilită într-un stat membru. Atunci când se iau decizii legate de o CPC dintr-o țară terță, numai membrii permanenți ai sesiunii executive pentru CPC și băncile centrale relevante care emit monede în Uniune ar trebui să participe la procesul decizional.</w:t>
      </w:r>
    </w:p>
    <w:p w:rsidR="009D2948" w:rsidRPr="009D2948" w:rsidRDefault="009D2948" w:rsidP="009D2948">
      <w:pPr>
        <w:rPr>
          <w:rFonts w:eastAsia="Times New Roman"/>
          <w:noProof/>
          <w:szCs w:val="24"/>
        </w:rPr>
      </w:pPr>
      <w:r w:rsidRPr="009D2948">
        <w:t xml:space="preserve">Noul articol 44b prevede că sesiunea executivă pentru CPC îndeplinește o serie de atribuții specifice care îi sunt încredințate în temeiul EMIR, cu scopul de a asigura buna funcționare a pieței interne, precum și stabilitatea financiară a Uniunii și a statelor membre. Trimiterile la ESMA în modificările aduse EMIR prin prezenta propunere se referă, prin urmare, la sesiunea executivă pentru CPC, cu excepția cazului în care se specifică altfel. De asemenea, noul articol 44b prevede că sesiunea executivă pentru CPC trebuie să dispună de personal dedicat și de resurse adecvate care să-i asigure autonomia, independența și funcționarea adecvată. </w:t>
      </w:r>
    </w:p>
    <w:p w:rsidR="009D2948" w:rsidRPr="009D2948" w:rsidRDefault="009D2948" w:rsidP="009D2948">
      <w:pPr>
        <w:rPr>
          <w:rFonts w:eastAsia="Times New Roman"/>
          <w:noProof/>
          <w:szCs w:val="24"/>
        </w:rPr>
      </w:pPr>
      <w:r w:rsidRPr="009D2948">
        <w:t xml:space="preserve">Noul articol 44c prevede că, pentru a garanta un proces decizional rapid și eficace, sesiunea executivă pentru CPC adoptă deciziile cu majoritatea simplă a membrilor săi, în conformitate cu drepturile de vot prevăzute de noul articol 44a alineatul (1), și că, în caz de egalitate de voturi, șeful sesiunii executive pentru CPC are votul decisiv. </w:t>
      </w:r>
    </w:p>
    <w:p w:rsidR="009D2948" w:rsidRPr="009D2948" w:rsidRDefault="009D2948" w:rsidP="009D2948">
      <w:pPr>
        <w:rPr>
          <w:rFonts w:eastAsia="Times New Roman"/>
          <w:b/>
          <w:noProof/>
          <w:szCs w:val="24"/>
        </w:rPr>
      </w:pPr>
      <w:r w:rsidRPr="009D2948">
        <w:rPr>
          <w:b/>
          <w:noProof/>
        </w:rPr>
        <w:t>Modificări care au scopul de a stabili răspunderea și independența membrilor sesiunii executive pentru CPC (Regulamentul privind ESMA, noul articol 48a, articolele 49 și 50)</w:t>
      </w:r>
    </w:p>
    <w:p w:rsidR="009D2948" w:rsidRPr="009D2948" w:rsidRDefault="009D2948" w:rsidP="009D2948">
      <w:pPr>
        <w:rPr>
          <w:noProof/>
          <w:szCs w:val="24"/>
        </w:rPr>
      </w:pPr>
      <w:r w:rsidRPr="009D2948">
        <w:t xml:space="preserve">Articolul 1 alineatul (8) înlocuiește titlul capitolului III secțiunea 3 din Regulamentul privind ESMA, pentru a stabili cerințele care se aplică șefului și celor doi directori ai sesiunii executive pentru CPC. </w:t>
      </w:r>
    </w:p>
    <w:p w:rsidR="009D2948" w:rsidRPr="009D2948" w:rsidRDefault="009D2948" w:rsidP="009D2948">
      <w:pPr>
        <w:rPr>
          <w:noProof/>
          <w:szCs w:val="24"/>
        </w:rPr>
      </w:pPr>
      <w:r w:rsidRPr="009D2948">
        <w:t xml:space="preserve">Articolul 1 alineatul (9) introduce noul articol 48a care să prevadă condițiile privind numirea și atribuțiile șefului și ale directorilor sesiunii executive pentru CPC. Conform articolului 48a alineatul (2), șeful și cei doi directori se numesc pe baza meritelor, a competențelor, a cunoștințelor privind compensarea, posttranzacționarea și aspectele financiare, precum și a experienței relevante pentru supravegherea și reglementarea CPC, astfel încât să se asigure un nivel adecvat de expertiză, pe baza unei proceduri de selecție deschise. Conform articolului 48a alineatul (4), Comisia va face o propunere pentru numirea candidaților, în vederea aprobării de către Parlamentul European. În urma aprobării Parlamentului European, Consiliul va adopta o decizie de punere în aplicare prin care se numește șeful și cei doi directori. Implicarea colegiutorilor în procedura de numire va asigura transparența și controlul democratic. De asemenea, conform articolului 48a alineatul (5), pe baza unei propuneri a Comisiei aprobată de Parlamentul European, Consiliul poate să adopte un act de punere în aplicare, pentru a demite șeful sau directorii în anumite condiții, astfel încât aceștia să răspundă în fața Parlamentului European și a Consiliului și să se protejeze în acest fel drepturile instituțiilor Uniunii. </w:t>
      </w:r>
    </w:p>
    <w:p w:rsidR="009D2948" w:rsidRPr="009D2948" w:rsidRDefault="009D2948" w:rsidP="009D2948">
      <w:pPr>
        <w:rPr>
          <w:noProof/>
        </w:rPr>
      </w:pPr>
      <w:r w:rsidRPr="009D2948">
        <w:t>Articolul 1 alineatul (10) modifică articolul 49 din Regulamentul privind ESMA, pentru a prevedea că șeful și directorii sesiunii executive pentru CPC acționează în mod independent și obiectiv în interesul Uniunii.</w:t>
      </w:r>
    </w:p>
    <w:p w:rsidR="009D2948" w:rsidRPr="009D2948" w:rsidRDefault="009D2948" w:rsidP="009D2948">
      <w:pPr>
        <w:rPr>
          <w:noProof/>
          <w:szCs w:val="24"/>
        </w:rPr>
      </w:pPr>
      <w:r w:rsidRPr="009D2948">
        <w:t xml:space="preserve">Articolul 1 alineatul (11) modifică articolul 50 din Regulamentul privind ESMA, pentru a prevedea că, în vederea asigurării responsabilității democratice, Parlamentul European și Consiliul pot adresa șefului sesiunii executive pentru CPC invitația de a prezenta o declarație, ori de câte ori este necesar. De asemenea, șeful sesiunii executive pentru CPC trebuie să </w:t>
      </w:r>
      <w:r w:rsidRPr="009D2948">
        <w:lastRenderedPageBreak/>
        <w:t>prezinte Parlamentului European, la cerere, rapoarte scrise cu privire la principalele activități ale sesiunii executive pentru CPC, precum și să transmită orice informații relevante pe care Parlamentul European le solicită pe o bază ad-hoc.</w:t>
      </w:r>
    </w:p>
    <w:p w:rsidR="009D2948" w:rsidRPr="009D2948" w:rsidRDefault="009D2948" w:rsidP="009D2948">
      <w:pPr>
        <w:rPr>
          <w:noProof/>
          <w:szCs w:val="24"/>
        </w:rPr>
      </w:pPr>
      <w:r w:rsidRPr="009D2948">
        <w:rPr>
          <w:b/>
          <w:noProof/>
        </w:rPr>
        <w:t>Modificări care au scopul de a preciza interacțiunile dintre sesiunea executivă pentru CPC și atribuțiile directorului executiv al ESMA, modul de stabilire a bugetului și obligația de secret profesional (Regulamentul privind ESMA, articolele 53, 63 și 70)</w:t>
      </w:r>
    </w:p>
    <w:p w:rsidR="009D2948" w:rsidRPr="009D2948" w:rsidRDefault="009D2948" w:rsidP="009D2948">
      <w:pPr>
        <w:rPr>
          <w:noProof/>
          <w:szCs w:val="24"/>
        </w:rPr>
      </w:pPr>
      <w:r w:rsidRPr="009D2948">
        <w:t>Articolul 1 alineatul (12) modifică articolul 53 din Regulamentul privind ESMA, pentru a stabili interacțiunea dintre sesiunea executivă pentru CPC și atribuțiile directorului executiv al ESMA. Articolul 1 alineatul (12) litera (a) modifică articolul 53 alineatul (2), pentru a prevedea că directorul executiv ia în considerare orientările sesiunii executive pentru CPC pentru punerea în aplicare a programului de lucru anual al ESMA, sub controlul consiliului de administrație. Articolul 1 alineatul (12) litera (b) modifică articolul 53 alineatul (4), pentru a stabili că, atunci când pregătește programul de lucru multianual, directorul executiv trebuie să obțină, înainte de a transmite programul consiliului de administrație, aprobarea sesiunii executive pentru CPC, în ceea ce privește atribuțiile care intră în responsabilitatea acesteia. Articolul 1 alineatul (12) litera (c) modifică articolul 53 alineatul (7), pentru a prevedea că, atunci când pregătește proiectul de raport privind activitățile ESMA, directorul executiv trebuie să obțină, înainte de a transmite proiectul de raport consiliului de administrație, aprobarea sesiunii executive pentru CPC, în ceea ce privește atribuțiile care intră în responsabilitatea acesteia.</w:t>
      </w:r>
    </w:p>
    <w:p w:rsidR="009D2948" w:rsidRPr="009D2948" w:rsidRDefault="009D2948" w:rsidP="009D2948">
      <w:pPr>
        <w:rPr>
          <w:noProof/>
          <w:szCs w:val="24"/>
        </w:rPr>
      </w:pPr>
      <w:r w:rsidRPr="009D2948">
        <w:t>Articolul 1 alineatul (13) introduce un nou alineat (1a) la articolul 63 din Regulamentul privind ESMA, pentru a stabili că atât cheltuielile, cât și taxele legate de atribuțiile sesiunii executive pentru CPC se identifică în mod distinct în situația estimărilor de venituri și cheltuieli a ESMA. Sesiunea executivă pentru CPC aprobă proiectul pregătit de directorul executiv cu privire la aceste cheltuieli și taxe înainte de adoptarea situației estimărilor de venituri și cheltuieli.</w:t>
      </w:r>
    </w:p>
    <w:p w:rsidR="009D2948" w:rsidRPr="009D2948" w:rsidRDefault="009D2948" w:rsidP="009D2948">
      <w:pPr>
        <w:rPr>
          <w:noProof/>
        </w:rPr>
      </w:pPr>
      <w:r w:rsidRPr="009D2948">
        <w:t>Articolul 1 alineatul (14) modifică articolul 70 alineatul (1) din Regulamentul privind ESMA, pentru a prevedea că membrii sesiunii executive pentru CPC fac obiectul cerințelor privind secretul profesional, în temeiul articolului 339 din TFUE și al dispozițiilor relevante din legislația Uniunii, chiar și după încetarea atribuțiilor lor.</w:t>
      </w:r>
    </w:p>
    <w:p w:rsidR="009D2948" w:rsidRPr="009D2948" w:rsidRDefault="009D2948" w:rsidP="009D2948">
      <w:pPr>
        <w:rPr>
          <w:b/>
          <w:noProof/>
          <w:szCs w:val="24"/>
        </w:rPr>
      </w:pPr>
      <w:r w:rsidRPr="009D2948">
        <w:rPr>
          <w:b/>
          <w:noProof/>
        </w:rPr>
        <w:t>Modificări care au scopul de a consolida capacitatea ESMA de a colecta informații (Regulamentul privind ESMA, articolul 35)</w:t>
      </w:r>
    </w:p>
    <w:p w:rsidR="009D2948" w:rsidRPr="009D2948" w:rsidRDefault="009D2948" w:rsidP="009D2948">
      <w:pPr>
        <w:rPr>
          <w:noProof/>
        </w:rPr>
      </w:pPr>
      <w:r w:rsidRPr="009D2948">
        <w:t>Articolul 1 alineatul (3) înlocuiește articolul 35 al șaselea paragraf din Regulamentul privind ESMA, pentru a prevedea că, în cazul în care nu sunt disponibile informații complete din partea autorităților competente sau a altor entități din statul membru, ESMA poate solicita informații direct de la o CPC autorizată sau recunoscută, de la un depozitar central de titluri de valoare autorizat și de la un loc de tranzacționare autorizat. ESMA informează autoritățile competente cu privire la astfel de cereri.</w:t>
      </w:r>
    </w:p>
    <w:p w:rsidR="009D2948" w:rsidRPr="009D2948" w:rsidRDefault="009D2948" w:rsidP="009D2948">
      <w:pPr>
        <w:pStyle w:val="ManualHeading3"/>
        <w:rPr>
          <w:noProof/>
        </w:rPr>
      </w:pPr>
      <w:r w:rsidRPr="009D2948">
        <w:t>5.2.2.</w:t>
      </w:r>
      <w:r w:rsidRPr="009D2948">
        <w:tab/>
        <w:t>Supravegherea CPC stabilite în Uniune</w:t>
      </w:r>
    </w:p>
    <w:p w:rsidR="009D2948" w:rsidRPr="009D2948" w:rsidRDefault="009D2948" w:rsidP="009D2948">
      <w:pPr>
        <w:rPr>
          <w:b/>
          <w:noProof/>
          <w:szCs w:val="24"/>
        </w:rPr>
      </w:pPr>
      <w:r w:rsidRPr="009D2948">
        <w:rPr>
          <w:b/>
          <w:noProof/>
        </w:rPr>
        <w:t xml:space="preserve">Modificarea condițiilor și a procedurilor de autorizare a unei CPC stabilite în UE (EMIR, articolele 17, 18, 19, 20 și 21) </w:t>
      </w:r>
    </w:p>
    <w:p w:rsidR="009D2948" w:rsidRPr="009D2948" w:rsidRDefault="009D2948" w:rsidP="009D2948">
      <w:pPr>
        <w:rPr>
          <w:i/>
          <w:noProof/>
          <w:szCs w:val="24"/>
        </w:rPr>
      </w:pPr>
      <w:r w:rsidRPr="009D2948">
        <w:rPr>
          <w:i/>
          <w:noProof/>
        </w:rPr>
        <w:t>Procedura de acordare și de refuzare a autorizației</w:t>
      </w:r>
    </w:p>
    <w:p w:rsidR="009D2948" w:rsidRPr="009D2948" w:rsidRDefault="009D2948" w:rsidP="009D2948">
      <w:pPr>
        <w:rPr>
          <w:noProof/>
          <w:szCs w:val="24"/>
        </w:rPr>
      </w:pPr>
      <w:r w:rsidRPr="009D2948">
        <w:t xml:space="preserve">Articolul 2 alineatul (2) modifică articolul 17 alineatul (3) din EMIR, pentru ca autoritatea competentă să evalueze în consultare cu ESMA caracterul complet al unei cereri depuse de o CPC și pentru ca ESMA și colegiul să ia cunoștință de orice informație suplimentară pe care autoritatea competentă a primit-o cu privire la o cerere. </w:t>
      </w:r>
    </w:p>
    <w:p w:rsidR="009D2948" w:rsidRPr="009D2948" w:rsidRDefault="009D2948" w:rsidP="009D2948">
      <w:pPr>
        <w:rPr>
          <w:i/>
          <w:noProof/>
          <w:szCs w:val="24"/>
        </w:rPr>
      </w:pPr>
      <w:r w:rsidRPr="009D2948">
        <w:rPr>
          <w:i/>
          <w:noProof/>
        </w:rPr>
        <w:lastRenderedPageBreak/>
        <w:t xml:space="preserve">Președintele și componența colegiului </w:t>
      </w:r>
    </w:p>
    <w:p w:rsidR="009D2948" w:rsidRPr="009D2948" w:rsidRDefault="009D2948" w:rsidP="009D2948">
      <w:pPr>
        <w:rPr>
          <w:noProof/>
          <w:szCs w:val="24"/>
        </w:rPr>
      </w:pPr>
      <w:r w:rsidRPr="009D2948">
        <w:t xml:space="preserve">Articolul 2 alineatul (3) modifică articolul 18 din EMIR, pentru a clarifica modul de alocare a responsabilităților între autorități în cadrul colegiului. Conform noului articol 18 alineatul (1), colegiul este prezidat și administrat de către șeful sesiunii executive pentru CPC. Noua literă (a) de la articolul 18 alineatul (2) din EMIR prevede că la colegiu participă membrii permanenți ai sesiunii executive pentru CPC, și nu ESMA. Noua literă (c) de la articolul 18 alineatul (2) din EMIR include BCE, </w:t>
      </w:r>
      <w:r w:rsidRPr="009D2948">
        <w:rPr>
          <w:rStyle w:val="None"/>
          <w:noProof/>
        </w:rPr>
        <w:t>în conformitate cu Regulamentul (UE) nr. 1024/2013</w:t>
      </w:r>
      <w:r w:rsidRPr="009D2948">
        <w:t xml:space="preserve">, în categoria autorităților competente responsabile de supravegherea membrilor compensatori ai CPC stabiliți în cele trei state membre cu cele mai mari contribuții agregate pe durata unui an la fondul de garantare al CPC menționat la articolul 42, atunci când acest lucru este relevant. </w:t>
      </w:r>
    </w:p>
    <w:p w:rsidR="009D2948" w:rsidRPr="009D2948" w:rsidRDefault="009D2948" w:rsidP="009D2948">
      <w:pPr>
        <w:rPr>
          <w:i/>
          <w:noProof/>
          <w:szCs w:val="24"/>
        </w:rPr>
      </w:pPr>
      <w:r w:rsidRPr="009D2948">
        <w:rPr>
          <w:i/>
          <w:noProof/>
        </w:rPr>
        <w:t>Avizul colegiului</w:t>
      </w:r>
    </w:p>
    <w:p w:rsidR="009D2948" w:rsidRPr="009D2948" w:rsidRDefault="009D2948" w:rsidP="009D2948">
      <w:pPr>
        <w:rPr>
          <w:noProof/>
          <w:szCs w:val="24"/>
        </w:rPr>
      </w:pPr>
      <w:r w:rsidRPr="009D2948">
        <w:t>Articolul 2 alineatul (4) modifică articolul 19 alineatul (3) din EMIR în ceea ce privește drepturile de vot ale membrilor colegiului, pentru a stabili că fiecare membru permanent al sesiunii executive pentru CPC dispune de câte un vot, cu excepția reprezentantului Comisiei, care nu are drept de vot.</w:t>
      </w:r>
    </w:p>
    <w:p w:rsidR="009D2948" w:rsidRPr="009D2948" w:rsidRDefault="009D2948" w:rsidP="009D2948">
      <w:pPr>
        <w:rPr>
          <w:i/>
          <w:noProof/>
          <w:szCs w:val="24"/>
        </w:rPr>
      </w:pPr>
      <w:r w:rsidRPr="009D2948">
        <w:rPr>
          <w:i/>
          <w:noProof/>
        </w:rPr>
        <w:t>Retragerea autorizației</w:t>
      </w:r>
    </w:p>
    <w:p w:rsidR="009D2948" w:rsidRPr="009D2948" w:rsidRDefault="009D2948" w:rsidP="009D2948">
      <w:pPr>
        <w:rPr>
          <w:noProof/>
          <w:szCs w:val="24"/>
        </w:rPr>
      </w:pPr>
      <w:r w:rsidRPr="009D2948">
        <w:t>Articolul 2 alineatul (5) modifică articolul 20 alineatul (6) din EMIR, pentru a prevedea că autoritatea competentă a CPC transmite ESMA și membrilor colegiului proiectul de decizie, pe deplin motivată, de retragere a autorizației.</w:t>
      </w:r>
    </w:p>
    <w:p w:rsidR="009D2948" w:rsidRPr="009D2948" w:rsidRDefault="009D2948" w:rsidP="009D2948">
      <w:pPr>
        <w:rPr>
          <w:i/>
          <w:noProof/>
          <w:szCs w:val="24"/>
        </w:rPr>
      </w:pPr>
      <w:r w:rsidRPr="009D2948">
        <w:rPr>
          <w:i/>
          <w:noProof/>
        </w:rPr>
        <w:t>Examinare și evaluare</w:t>
      </w:r>
    </w:p>
    <w:p w:rsidR="009D2948" w:rsidRPr="009D2948" w:rsidRDefault="009D2948" w:rsidP="009D2948">
      <w:pPr>
        <w:rPr>
          <w:noProof/>
          <w:szCs w:val="24"/>
        </w:rPr>
      </w:pPr>
      <w:r w:rsidRPr="009D2948">
        <w:t>Literele (a) și (b) de la articolul 2 alineatul (6) înlocuiesc alineatele (1) și (3) de la articolul 21 din EMIR cu privire la examinarea și evaluarea CPC autorizate. Noul articol 21 alineatul (1) prevede că autoritatea competentă în cooperare cu ESMA examinează și evaluează conformitatea CPC cu prevederile EMIR. Noul articol 21 alineatul (3) prevede că ESMA va stabili intervalul de timp la care se desfășoară examinarea și evaluarea, precum și amploarea acestui exercițiu și stabilește, de asemenea, că personalul ESMA ar trebui să fie invitat să participe la inspecțiile la fața locului. Conform acestor noi prevederi, autoritatea competentă trebuie să transmită ESMA toate informațiile pe care le primește de la o CPC și să solicite toate informațiile pe care ESMA dorește să le obțină și pe care CPC în cauză nu le poate furniza.</w:t>
      </w:r>
    </w:p>
    <w:p w:rsidR="009D2948" w:rsidRPr="009D2948" w:rsidRDefault="009D2948" w:rsidP="009D2948">
      <w:pPr>
        <w:rPr>
          <w:b/>
          <w:noProof/>
          <w:szCs w:val="24"/>
        </w:rPr>
      </w:pPr>
      <w:r w:rsidRPr="009D2948">
        <w:rPr>
          <w:b/>
          <w:noProof/>
        </w:rPr>
        <w:t>Modificări în ceea ce privește autorizarea și supravegherea CPC stabilite în UE (EMIR, noile articole 21a, 21b și 21c)</w:t>
      </w:r>
    </w:p>
    <w:p w:rsidR="009D2948" w:rsidRPr="009D2948" w:rsidRDefault="009D2948" w:rsidP="009D2948">
      <w:pPr>
        <w:rPr>
          <w:noProof/>
          <w:szCs w:val="24"/>
        </w:rPr>
      </w:pPr>
      <w:r w:rsidRPr="009D2948">
        <w:t xml:space="preserve">Articolul 2 alineatul (7) introduce noile articole 21a, 21b și 21c în EMIR, pentru a stabili rolul sesiunii executive pentru CPC în ceea ce privește autorizarea și supravegherea CPC și pentru a clarifica modul de alocare a responsabilităților între autorități. </w:t>
      </w:r>
    </w:p>
    <w:p w:rsidR="009D2948" w:rsidRPr="009D2948" w:rsidRDefault="009D2948" w:rsidP="009D2948">
      <w:pPr>
        <w:rPr>
          <w:noProof/>
          <w:szCs w:val="24"/>
        </w:rPr>
      </w:pPr>
      <w:r w:rsidRPr="009D2948">
        <w:t xml:space="preserve">Autoritățile naționale competente își exercită în continuare responsabilitățile în materie de supraveghere care le revin în prezent în temeiul EMIR, însă pentru deciziile care au scopul de a promova convergența în materie de supraveghere a CPC la nivelul Uniunii, este nevoie de acordul prealabil al ESMA și, dacă este cazul, al băncii (băncilor) centrale relevante emitente. Noul articol 21a prevede că autoritățile competente vor pregăti proiectele de decizii pe care le vor prezenta ESMA în vederea obținerii acordului prealabil în cazul deciziilor legate de: accesul la o CPC, accesul la un loc de tranzacționare, autorizarea CPC, extinderea activităților și serviciilor CPC, cerințele de capital, retragerea autorizației, procesul de examinare și evaluare, acționarii și asociații care dețin participații calificate, informarea autorităților competente, examinarea modelelor, testele de rezistență și testările </w:t>
      </w:r>
      <w:r w:rsidRPr="009D2948">
        <w:rPr>
          <w:i/>
        </w:rPr>
        <w:t>ex post</w:t>
      </w:r>
      <w:r w:rsidRPr="009D2948">
        <w:t xml:space="preserve"> (</w:t>
      </w:r>
      <w:r w:rsidRPr="009D2948">
        <w:rPr>
          <w:i/>
        </w:rPr>
        <w:t>back testing</w:t>
      </w:r>
      <w:r w:rsidRPr="009D2948">
        <w:t xml:space="preserve">), precum și aprobarea acordurilor de interoperabilitate. Orice alte decizii referitoare la aplicarea </w:t>
      </w:r>
      <w:r w:rsidRPr="009D2948">
        <w:lastRenderedPageBreak/>
        <w:t>articolului 22 în legătură cu cerințele pentru CPC și acordurile de interoperabilitate prevăzute în titlul IV și, respectiv, în titlul V din EMIR vor face, de asemenea, obiectul acordului prealabil al ESMA. În cazul în care ESMA propune modificări la anumite proiecte de decizie prezentate de o autoritate competentă, deciziile se adoptată numai după ce au fost modificate conform solicitării ESMA. În cazul în care ESMA formulează obiecții cu privire la anumite proiecte de decizie ale unei autorități competente, respectivele decizii nu se adoptă. Noul articol 21a introduce, de asemenea, un mecanism de soluționare a litigiilor în caz de dezacord între ESMA și autoritățile naționale competente. În cazul în care o autoritate competentă nu este de acord cu modificările sau cu obiecțiile aduse de ESMA la anumite proiecte de decizie ale autorității competente, decizia finală va fi luată de consiliul supraveghetorilor ESMA. În fine, noul articol 21a prevede că ESMA poate adopta o decizie individuală cu privire la participantul de pe piața financiară atunci când autoritățile naționale competente nu dau curs avizului sau solicitărilor adresate de ESMA.</w:t>
      </w:r>
    </w:p>
    <w:p w:rsidR="009D2948" w:rsidRPr="009D2948" w:rsidRDefault="009D2948" w:rsidP="009D2948">
      <w:pPr>
        <w:rPr>
          <w:noProof/>
          <w:szCs w:val="24"/>
        </w:rPr>
      </w:pPr>
      <w:r w:rsidRPr="009D2948">
        <w:t xml:space="preserve">În mod similar, este necesar acordul prealabil al băncilor centrale emitente relevante în cazul deciziilor avute în vedere de autoritățile naționale competente, date fiind riscurile potențiale pe care funcționarea inadecvată a unei CPC le-ar putea avea asupra definirii și punerii în aplicare a politicii monetare a Uniunii și asupra promovării bunei funcționări a sistemelor de plăți. Deși mandatele băncilor centrale și ale supraveghetorilor se pot suprapune, este posibil să existe neconcordanțe atunci când acțiunile de supraveghere influențează principalele responsabilități ale băncilor centrale în domenii precum stabilitatea prețurilor, politica monetară și sistemele de plăți. Noul articol 21b prevede atribuțiile băncii centrale emitente relevante, astfel încât să se stabilească responsabilitățile fiecărei autorități, în special în ceea ce privește sistemele de decontare și de plată ale unei CPC și riscul de lichiditate aferent. Acesta prevede, de asemenea, procedurile de gestionare în cazul tranzacțiilor denominate în moneda acelei bănci centrale emitente. În temeiul noului articol 21b, autoritățile competente trebuie să obțină acordul băncilor centrale emitente relevante pentru deciziile referitoare la autorizarea unei CPC, extinderea activităților și serviciilor unei CPC, retragerea autorizației, cerințele de marjă, controlul riscului de lichiditate, cerințele de garantare, decontare și aprobarea acordurilor de interoperabilitate. </w:t>
      </w:r>
    </w:p>
    <w:p w:rsidR="009D2948" w:rsidRPr="009D2948" w:rsidRDefault="009D2948" w:rsidP="009D2948">
      <w:pPr>
        <w:rPr>
          <w:noProof/>
          <w:szCs w:val="24"/>
        </w:rPr>
      </w:pPr>
      <w:r w:rsidRPr="009D2948">
        <w:t xml:space="preserve">Dacă banca centrală emitentă relevantă formulează obiecții la proiectele de decizii ale unei autorități competente în aceste domenii, deciziile respective nu se adoptă. Dacă banca centrală emitentă relevantă propune modificări la proiectele de decizii ale unei autorități competente în aceste domenii, deciziile respective se adoptă numai după ce au fost modificate corespunzător. </w:t>
      </w:r>
    </w:p>
    <w:p w:rsidR="009D2948" w:rsidRPr="009D2948" w:rsidRDefault="009D2948" w:rsidP="009D2948">
      <w:pPr>
        <w:rPr>
          <w:noProof/>
          <w:szCs w:val="24"/>
        </w:rPr>
      </w:pPr>
      <w:r w:rsidRPr="009D2948">
        <w:t>Noul articol 21c prevede că atât CPC stabilite în state membre, cât și CPC din țări terțe plătesc taxe pentru atribuțiile de supraveghere și pentru atribuțiile administrative desfășurate de ESMA cu privire la: (i) cererile de autorizare menționate la articolul 17, (ii) cererile de recunoaștere în temeiul articolului 25 și (iii) taxele anuale asociate atribuțiilor care intră în responsabilitatea ESMA. Comisia va preciza în detaliu în cadrul unui act delegat tipurile de taxe, ocaziile în care se plătesc aceste taxe, cuantumul taxelor și modalitățile de plată de către CPC din Uniune autorizate sau care au depus o cerere de autorizare, de către CPC din țări terțe care sunt recunoscute și care nu sunt importante din punct de vedere sistemic (CPC de nivel 1) și de către CPC recunoscute care sunt sau pot deveni importante din punct de vedere sistemic pentru stabilitatea financiară a Uniunii sau a unuia ori a mai multor state membre (CPC de nivel 2). Taxele percepute în scopul supravegherii vor contribui la finanțarea atribuțiilor sesiunii executive pentru CPC și vor permite ESMA să își îndeplinească responsabilitățile.</w:t>
      </w:r>
    </w:p>
    <w:p w:rsidR="009D2948" w:rsidRPr="009D2948" w:rsidRDefault="009D2948" w:rsidP="009D2948">
      <w:pPr>
        <w:rPr>
          <w:b/>
          <w:noProof/>
          <w:szCs w:val="24"/>
        </w:rPr>
      </w:pPr>
      <w:r w:rsidRPr="009D2948">
        <w:rPr>
          <w:b/>
          <w:noProof/>
        </w:rPr>
        <w:t>Modificări cu privire la cooperarea dintre autorități (EMIR, articolul 24)</w:t>
      </w:r>
    </w:p>
    <w:p w:rsidR="009D2948" w:rsidRPr="009D2948" w:rsidRDefault="009D2948" w:rsidP="009D2948">
      <w:pPr>
        <w:rPr>
          <w:noProof/>
          <w:szCs w:val="24"/>
        </w:rPr>
      </w:pPr>
      <w:r w:rsidRPr="009D2948">
        <w:lastRenderedPageBreak/>
        <w:t xml:space="preserve">Articolul 2 alineatul (8) modifică articolul 24 din EMIR, pentru a include efectele negative potențiale asupra mecanismelor de transmisie a politicii monetare și asupra bunei funcționări a sistemelor de plăți în situații de urgență pe care autoritatea competentă a CPC sau orice altă autoritate le aduce fără întârziere la cunoștința ESMA, a colegiului, a membrilor relevanți ai SEBC și a altor autorități relevante. </w:t>
      </w:r>
    </w:p>
    <w:p w:rsidR="009D2948" w:rsidRPr="009D2948" w:rsidRDefault="009D2948" w:rsidP="009D2948">
      <w:pPr>
        <w:pStyle w:val="ManualHeading3"/>
        <w:rPr>
          <w:noProof/>
        </w:rPr>
      </w:pPr>
      <w:r w:rsidRPr="009D2948">
        <w:t>5.2.3.</w:t>
      </w:r>
      <w:r w:rsidRPr="009D2948">
        <w:tab/>
        <w:t>Contrapărțile centrale din țări terțe</w:t>
      </w:r>
    </w:p>
    <w:p w:rsidR="009D2948" w:rsidRPr="009D2948" w:rsidRDefault="009D2948" w:rsidP="009D2948">
      <w:pPr>
        <w:rPr>
          <w:bCs/>
          <w:noProof/>
          <w:szCs w:val="24"/>
        </w:rPr>
      </w:pPr>
      <w:r w:rsidRPr="009D2948">
        <w:t>La cinci ani de la adoptarea EMIR, volumul activității CPC, atât la nivelul UE, cât și la nivel mondial, a crescut rapid ca amploare și domeniu de aplicare. Compensarea centrală în ceea ce privește rata dobânzii și instrumentele financiare derivate de credit a devenit mai importantă. Rolul tot mai mare pe care CPC îl au în sistemul financiar mondial nu este doar urmarea introducerii obligațiilor de compensare centrală pentru diferite clase de active, ci și a recurgerii benevole tot mai frecvente la compensarea centrală în contextul în care participanții la piață cunosc din ce în ce mai bine avantajele compensării centrale. EMIR prevede deja obligația de compensare centrală a anumitor instrumente financiare derivate pe rata dobânzii și a anumitor instrumente de tip credit default swap, în concordanță cu cerințele similare din celelalte țări care fac parte din G20. S-au modificat, de asemenea, normele privind capitalul băncilor, pentru a stimula compensarea centrală și pentru ca opțiunea compensării bilaterale să devină mai costisitoare în termeni relativi, în timp ce tranzacțiile bilaterale sunt supuse, din martie 2017, unor cerințe de garantare suplimentare. Drept urmare, numărul operațiunilor de compensare a crescut, însă în prezent se concentrează într-un număr relativ limitat de CPC globale.</w:t>
      </w:r>
    </w:p>
    <w:p w:rsidR="009D2948" w:rsidRPr="009D2948" w:rsidRDefault="009D2948" w:rsidP="009D2948">
      <w:pPr>
        <w:rPr>
          <w:noProof/>
          <w:szCs w:val="24"/>
        </w:rPr>
      </w:pPr>
      <w:r w:rsidRPr="009D2948">
        <w:t>În prezent sunt recunoscute 28 de CPC din țări terțe în temeiul dispozițiilor EMIR privind echivalența. Alte 12 CPC din 10 jurisdicții au solicitat recunoașterea și așteaptă decizia Comisiei privind echivalența regimurilor lor de reglementare și de supraveghere.</w:t>
      </w:r>
    </w:p>
    <w:p w:rsidR="009D2948" w:rsidRPr="009D2948" w:rsidRDefault="009D2948" w:rsidP="009D2948">
      <w:pPr>
        <w:rPr>
          <w:b/>
          <w:noProof/>
          <w:szCs w:val="24"/>
        </w:rPr>
      </w:pPr>
      <w:r w:rsidRPr="009D2948">
        <w:rPr>
          <w:b/>
          <w:noProof/>
        </w:rPr>
        <w:t>Modificări care au scopul de a consolida punerea în aplicare a dispozițiilor privind echivalența regimurilor CPC din țări terțe [EMIR, articolul 25 alineatul (6)]</w:t>
      </w:r>
    </w:p>
    <w:p w:rsidR="009D2948" w:rsidRPr="009D2948" w:rsidRDefault="009D2948" w:rsidP="009D2948">
      <w:pPr>
        <w:rPr>
          <w:noProof/>
          <w:szCs w:val="24"/>
        </w:rPr>
      </w:pPr>
      <w:r w:rsidRPr="009D2948">
        <w:t>Comisia va recurge în continuare la deciziile de echivalență pentru a stabili conformitatea cadrelor juridice și de supraveghere ale țărilor terțe cu cerințele prevăzute de EMIR în scopul de a permite recunoașterea CPC situate în acele țări terțe. Prezenta propunere confirmă faptul că pentru stabilirea echivalenței, Comisia poate aplica condiții suplimentare. Articolul 2 alineatul (9) litera (e) introduce noile alineate (6a) și (6b), astfel încât Comisia să poată preciza, dacă este cazul, prin intermediul unui act delegat, criteriile pe care se va baza în evaluarea sa privind acordarea echivalenței în cazul regimurilor CPC dintr-o țară terță. Nou alineat (6b) de la articolul 25 alineatul (6) din EMIR încredințează ESMA sarcina de a monitoriza evoluțiile în materie de reglementare și supraveghere în regimurile CPC din țări terțe care au fost considerate a fi echivalente de către Comisie.</w:t>
      </w:r>
    </w:p>
    <w:p w:rsidR="009D2948" w:rsidRPr="009D2948" w:rsidRDefault="009D2948" w:rsidP="009D2948">
      <w:pPr>
        <w:rPr>
          <w:bCs/>
          <w:noProof/>
          <w:szCs w:val="24"/>
        </w:rPr>
      </w:pPr>
      <w:r w:rsidRPr="009D2948">
        <w:rPr>
          <w:b/>
          <w:noProof/>
        </w:rPr>
        <w:t>Modificări în ceea ce privește recunoașterea CPC din țări terțe [EMIR, articolul 6 alineatul (2), articolul 25 noile alineate (2a), (2b) și (2c) și noul articol 25a]</w:t>
      </w:r>
    </w:p>
    <w:p w:rsidR="009D2948" w:rsidRPr="009D2948" w:rsidRDefault="009D2948" w:rsidP="009D2948">
      <w:pPr>
        <w:rPr>
          <w:i/>
          <w:noProof/>
          <w:szCs w:val="24"/>
        </w:rPr>
      </w:pPr>
      <w:r w:rsidRPr="009D2948">
        <w:rPr>
          <w:i/>
          <w:noProof/>
        </w:rPr>
        <w:t xml:space="preserve">O transparență sporită </w:t>
      </w:r>
    </w:p>
    <w:p w:rsidR="009D2948" w:rsidRPr="009D2948" w:rsidRDefault="009D2948" w:rsidP="009D2948">
      <w:pPr>
        <w:rPr>
          <w:noProof/>
          <w:szCs w:val="24"/>
        </w:rPr>
      </w:pPr>
      <w:r w:rsidRPr="009D2948">
        <w:t>Pentru a asigura un grad mai ridicat de transparență pentru părțile interesate și public, în general, EMIR este modificat pentru a clarifica modalitățile de înregistrare a CPC, prin prezentarea mai multor informații în registrul public al ESMA [articolul 2 alineatul (1) modifică articolul 6 alineatul (2) litera (b)].</w:t>
      </w:r>
    </w:p>
    <w:p w:rsidR="009D2948" w:rsidRPr="009D2948" w:rsidRDefault="009D2948" w:rsidP="009D2948">
      <w:pPr>
        <w:rPr>
          <w:bCs/>
          <w:noProof/>
          <w:szCs w:val="24"/>
        </w:rPr>
      </w:pPr>
      <w:r w:rsidRPr="009D2948">
        <w:t>Nu s-au introdus cerințe suplimentare în propunerea privind recunoașterea CPC din țări terțe.</w:t>
      </w:r>
    </w:p>
    <w:p w:rsidR="009D2948" w:rsidRPr="009D2948" w:rsidRDefault="009D2948" w:rsidP="009D2948">
      <w:pPr>
        <w:rPr>
          <w:bCs/>
          <w:i/>
          <w:noProof/>
          <w:szCs w:val="24"/>
        </w:rPr>
      </w:pPr>
      <w:r w:rsidRPr="009D2948">
        <w:rPr>
          <w:i/>
          <w:noProof/>
        </w:rPr>
        <w:t>Clasificarea CPC din țări terțe care nu sunt importante din punct de vedere sistemic (nivelul 1) și a CPC din țări terțe care sunt importante din punct de vedere sistemic (nivelul 2)</w:t>
      </w:r>
    </w:p>
    <w:p w:rsidR="009D2948" w:rsidRPr="009D2948" w:rsidRDefault="009D2948" w:rsidP="009D2948">
      <w:pPr>
        <w:rPr>
          <w:bCs/>
          <w:noProof/>
          <w:szCs w:val="24"/>
        </w:rPr>
      </w:pPr>
      <w:r w:rsidRPr="009D2948">
        <w:lastRenderedPageBreak/>
        <w:t>Având în vedere creșterea la nivel global a operațiunilor de compensare și concentrarea riscurilor la nivelul unui număr limitat de CPC globale, trebuie să se facă o distincție în funcție de tipul de CPC dintr-o țară terță recunoscută în temeiul EMIR. Așadar, prezenta propunere prevede obligativitatea ESMA de a lua în considerare, în momentul în care analizează cererea de recunoaștere, gradul de risc sistemic pe care îl prezintă o CPC dintr-o țară terță. În acest sens și pentru a asigura aplicarea proporțională a cerințelor, trebuie să se facă distincția între CPC cu risc mai mic și cele care sunt sau vor fi importante din punct de vedere sistemic pentru Uniune sau unul ori mai multe state membre. Acest lucru reflectă faptul că nu toate CPC din țări terțe au aceeași importanță sistemică. Importanța sistemică va depinde de sfera și de tipul tranzacțiilor compensate, precum și de volumul activității lor de compensare. De exemplu, o CPC relativ mică dintr-o țară terță care compensează doar un număr limitat de contracte care sunt, de exemplu, denominate în moneda locală va prezenta în mod obiectiv mai puține probleme și un risc mai redus pentru sistemul financiar al Uniunii decât o CPC dintr-o țară terță care compensează un volum important de contracte care sunt denominate într-o monedă din Uniune.</w:t>
      </w:r>
    </w:p>
    <w:p w:rsidR="009D2948" w:rsidRPr="009D2948" w:rsidRDefault="009D2948" w:rsidP="009D2948">
      <w:pPr>
        <w:rPr>
          <w:bCs/>
          <w:noProof/>
          <w:szCs w:val="24"/>
        </w:rPr>
      </w:pPr>
      <w:r w:rsidRPr="009D2948">
        <w:t>Se propune, așadar, ca ESMA să aibă competența de a face distincția între CPC care sunt sau ar putea deveni importante din punct de vedere sistemic și cele care nu sunt importante din punct de vedere sistemic. CPC din țări terțe în cazul cărora ESMA a stabilit că nu sunt importante din punct de vedere sistemic sau că nu este probabil să devină importante din punct de vedere sistemic pentru Uniune și statele membre sunt considerate „de nivel 1” [articolul 2 alineatul (9) litera (a) introduce litera (e) la articolul 25 alineatul (2) din EMIR]. Aceste CPC de nivel 1 vor fi în continuare supuse dispozițiilor și condițiilor actuale care reglementează deciziile de echivalență adoptate de Comisie privind țările terțe și care permit ESMA să recunoască CPC individuale din țări terțe. ESMA va avea, de asemenea, noi responsabilități în ceea ce privește supravegherea acestor CPC de nivel 1 recunoscute.</w:t>
      </w:r>
    </w:p>
    <w:p w:rsidR="009D2948" w:rsidRPr="009D2948" w:rsidRDefault="009D2948" w:rsidP="009D2948">
      <w:pPr>
        <w:rPr>
          <w:bCs/>
          <w:noProof/>
          <w:szCs w:val="24"/>
        </w:rPr>
      </w:pPr>
      <w:r w:rsidRPr="009D2948">
        <w:t xml:space="preserve">Pe lângă CPC de nivel 1, ESMA va trebui, de asemenea, să aibă competența de a stabili o altă categorie de CPC din țări terțe, și anume categoria CPC din țări terțe care sunt considerate a fi importante din punct de vedere sistemic sau susceptibile de a deveni, în viitorul apropiat, importante din punct de vedere sistemic pentru stabilitatea economică și financiară a Uniunii și a statelor membre („CPC de nivel 2”). Această dispoziție este prevăzută la articolul 2 alineatul (9) litera (c) care introduce un nou alineat (2a) la articolul 25 din EMIR. </w:t>
      </w:r>
    </w:p>
    <w:p w:rsidR="009D2948" w:rsidRPr="009D2948" w:rsidRDefault="009D2948" w:rsidP="009D2948">
      <w:pPr>
        <w:rPr>
          <w:bCs/>
          <w:noProof/>
          <w:szCs w:val="24"/>
        </w:rPr>
      </w:pPr>
      <w:r w:rsidRPr="009D2948">
        <w:t>Sunt prevăzute patru criterii obiective în baza cărora ESMA stabilește dacă o CPC dintr-o țară terță intră în categoria „CPC de nivel 2” [articolul 25 noul alineat (2a)]:</w:t>
      </w:r>
    </w:p>
    <w:p w:rsidR="009D2948" w:rsidRPr="009D2948" w:rsidRDefault="009D2948" w:rsidP="009D2948">
      <w:pPr>
        <w:rPr>
          <w:bCs/>
          <w:noProof/>
          <w:szCs w:val="24"/>
        </w:rPr>
      </w:pPr>
      <w:r w:rsidRPr="009D2948">
        <w:t>(i) natura, dimensiunea și complexitatea activității CPC din țara terță;</w:t>
      </w:r>
    </w:p>
    <w:p w:rsidR="009D2948" w:rsidRPr="009D2948" w:rsidRDefault="009D2948" w:rsidP="009D2948">
      <w:pPr>
        <w:rPr>
          <w:bCs/>
          <w:noProof/>
          <w:szCs w:val="24"/>
        </w:rPr>
      </w:pPr>
      <w:r w:rsidRPr="009D2948">
        <w:t xml:space="preserve">(ii) efectul pe care intrarea în dificultate majoră a unei CPC dintr-o țară terță sau perturbarea activității unei CPC dintr-o țară terță îl poate avea asupra piețelor critice, asupra instituțiilor financiare sau sistemului financiar în general și asupra stabilității financiare a UE; </w:t>
      </w:r>
    </w:p>
    <w:p w:rsidR="009D2948" w:rsidRPr="009D2948" w:rsidRDefault="009D2948" w:rsidP="009D2948">
      <w:pPr>
        <w:rPr>
          <w:bCs/>
          <w:noProof/>
          <w:szCs w:val="24"/>
        </w:rPr>
      </w:pPr>
      <w:r w:rsidRPr="009D2948">
        <w:t>(iii) structura membrilor compensatori ai CPC din țara terță și</w:t>
      </w:r>
    </w:p>
    <w:p w:rsidR="009D2948" w:rsidRPr="009D2948" w:rsidRDefault="009D2948" w:rsidP="009D2948">
      <w:pPr>
        <w:rPr>
          <w:bCs/>
          <w:noProof/>
          <w:szCs w:val="24"/>
        </w:rPr>
      </w:pPr>
      <w:r w:rsidRPr="009D2948">
        <w:t>(iv) legătura, interdependența sau alte interacțiuni dintre CPC din țara terță și alte infrastructuri ale pieței financiare.</w:t>
      </w:r>
    </w:p>
    <w:p w:rsidR="009D2948" w:rsidRPr="009D2948" w:rsidRDefault="009D2948" w:rsidP="009D2948">
      <w:pPr>
        <w:rPr>
          <w:bCs/>
          <w:noProof/>
          <w:szCs w:val="24"/>
        </w:rPr>
      </w:pPr>
      <w:r w:rsidRPr="009D2948">
        <w:t xml:space="preserve">Aceste criterii vor trebui precizate mai în detaliu de către Comisie într-un act delegat [articolul 25 alineatul (2a) al doilea paragraf] în termen de șase luni de la adoptarea regulamentului. </w:t>
      </w:r>
    </w:p>
    <w:p w:rsidR="009D2948" w:rsidRPr="009D2948" w:rsidRDefault="009D2948" w:rsidP="009D2948">
      <w:pPr>
        <w:rPr>
          <w:bCs/>
          <w:noProof/>
          <w:szCs w:val="24"/>
        </w:rPr>
      </w:pPr>
      <w:r w:rsidRPr="009D2948">
        <w:t xml:space="preserve">În cazul în care ESMA stabilește că o CPC dintr-o țară terță intră în categoria CPC de nivel 2, respectiva CPC poate fi recunoscută și poate să presteze servicii sau activități de compensare în Uniune numai dacă îndeplinește unele condiții suplimentare. Aceste condiții sunt necesare pentru a ține seama de preocupările suplimentare care apar în legătură cu stabilitatea </w:t>
      </w:r>
      <w:r w:rsidRPr="009D2948">
        <w:lastRenderedPageBreak/>
        <w:t>financiară din Uniune și din unul sau mai multe state membre. CPC care au fost deja recunoscute în temeiul actualului regim EMIR vor fi recunoscute în continuare ca CPC de nivel 1 până în momentul în care ESMA stabilește dacă aceste CPC din țări terțe intră în categoria CPC de nivel 2.</w:t>
      </w:r>
    </w:p>
    <w:p w:rsidR="009D2948" w:rsidRPr="009D2948" w:rsidRDefault="009D2948" w:rsidP="009D2948">
      <w:pPr>
        <w:rPr>
          <w:bCs/>
          <w:i/>
          <w:noProof/>
          <w:szCs w:val="24"/>
        </w:rPr>
      </w:pPr>
      <w:r w:rsidRPr="009D2948">
        <w:rPr>
          <w:i/>
          <w:noProof/>
        </w:rPr>
        <w:t>Cerințe proporționale pentru CPC de nivel 2 din țări terțe, care sunt importante din punct de vedere sistemic</w:t>
      </w:r>
    </w:p>
    <w:p w:rsidR="009D2948" w:rsidRPr="009D2948" w:rsidRDefault="009D2948" w:rsidP="009D2948">
      <w:pPr>
        <w:rPr>
          <w:bCs/>
          <w:noProof/>
          <w:szCs w:val="24"/>
        </w:rPr>
      </w:pPr>
      <w:r w:rsidRPr="009D2948">
        <w:t>CPC din țări terțe care sunt importante din punct de vedere sistemic trebuie să îndeplinească patru cerințe suplimentare [a se vedea articolul 2 alineatul (9) litera (b)]:</w:t>
      </w:r>
    </w:p>
    <w:p w:rsidR="009D2948" w:rsidRPr="009D2948" w:rsidRDefault="009D2948" w:rsidP="009D2948">
      <w:pPr>
        <w:rPr>
          <w:bCs/>
          <w:noProof/>
          <w:szCs w:val="24"/>
        </w:rPr>
      </w:pPr>
      <w:r w:rsidRPr="009D2948">
        <w:t>(i) respectarea continuă a cerințelor prudențiale relevante și necesare aplicabile în cazul CPC din UE. Aceste cerințe se referă la cerințele de capital, cerințele privind gestionarea internă a organizației, conduita profesională, marje, fondul de garantare, resursele financiare, lichiditatea, investițiile, testele de rezistență, decontarea și interoperabilitatea. Cerințele sunt în prezent prevăzute la articolul 16 și în titlurile IV și V din EMIR;</w:t>
      </w:r>
    </w:p>
    <w:p w:rsidR="009D2948" w:rsidRPr="009D2948" w:rsidRDefault="009D2948" w:rsidP="009D2948">
      <w:pPr>
        <w:rPr>
          <w:bCs/>
          <w:noProof/>
          <w:szCs w:val="24"/>
        </w:rPr>
      </w:pPr>
      <w:r w:rsidRPr="009D2948">
        <w:t>(ii) o confirmare scrisă, în termen de 180 de zile, de la băncile centrale emitente relevante din UE, care să ateste că CPC din țara terță respectă cerințele impuse de respectivele bănci centrale. Băncile centrale impun aceste cerințe suplimentare în contextul exercitării atribuțiilor lor de politică monetară. De exemplu, băncile centrale ar putea impune cerințe suplimentare pentru a aborda riscurile de lichiditate sau sistemele de plată ori de decontare din Uniune sau din statele membre. În particular, cerințele s-ar putea referi la disponibilitatea și la tipul de garanție reală deținută de o CPC, la nivelul marjelor de ajustare (</w:t>
      </w:r>
      <w:r w:rsidRPr="009D2948">
        <w:rPr>
          <w:i/>
        </w:rPr>
        <w:t>„haircuts”</w:t>
      </w:r>
      <w:r w:rsidRPr="009D2948">
        <w:t>) aplicate garanției reale, la politica de investiții sau la segregarea garanțiilor reale, la disponibilitatea unor mecanisme de lichiditate între băncile centrale implicate, la impactul potențial al operațiunilor CPC și la implicațiile pe care intrarea în dificultate majoră a CPC sau perturbarea activităților acestora le pot avea asupra sistemului financiar și a stabilității financiare din Uniune;</w:t>
      </w:r>
    </w:p>
    <w:p w:rsidR="009D2948" w:rsidRPr="009D2948" w:rsidRDefault="009D2948" w:rsidP="009D2948">
      <w:pPr>
        <w:rPr>
          <w:bCs/>
          <w:noProof/>
          <w:szCs w:val="24"/>
        </w:rPr>
      </w:pPr>
      <w:r w:rsidRPr="009D2948">
        <w:t>(iii) pentru ca ESMA să își poată exercita noile responsabilități în materie de supraveghere, CPC din țara terță trebuie să își exprime în scris acordul privind accesul ESMA, la cerere, la orice informații deținute de CPC și la oricare dintre sediile CPC. Evident, ESMA trebuie să poată să pună în aplicare această dispoziție în țara terță, fapt care ar trebui să fie confirmat printr-un aviz juridic;</w:t>
      </w:r>
    </w:p>
    <w:p w:rsidR="009D2948" w:rsidRPr="009D2948" w:rsidRDefault="009D2948" w:rsidP="009D2948">
      <w:pPr>
        <w:rPr>
          <w:bCs/>
          <w:noProof/>
          <w:szCs w:val="24"/>
        </w:rPr>
      </w:pPr>
      <w:r w:rsidRPr="009D2948">
        <w:t xml:space="preserve">(iv) CPC din țara terță ar trebui să instituie toate procedurile și măsurile necesare pentru a respecta prima și a treia condiție de mai sus. </w:t>
      </w:r>
    </w:p>
    <w:p w:rsidR="009D2948" w:rsidRPr="009D2948" w:rsidRDefault="009D2948" w:rsidP="009D2948">
      <w:pPr>
        <w:rPr>
          <w:bCs/>
          <w:noProof/>
          <w:szCs w:val="24"/>
        </w:rPr>
      </w:pPr>
      <w:r w:rsidRPr="009D2948">
        <w:t>Întrucât cerințele de mai sus trebuie aplicate în mod proporțional, propunerea introduce un sistem prin care o CPC dintr-o țară terță poate să se bazeze în continuare pe normele și cerințele din propria țară. Acest nou sistem de conformitate comparabilă, care respectă standardele CSF și reflectă un sistem similar aplicat de autoritățile SUA, are la bază o procedură simplă în temeiul căreia CPC din țara terță poate solicita ESMA să compare cerințele EMIR și standardele UE în materie de supraveghere a CPC cu cele ale țării terțe. În cazul în care comparația este posibilă, ESMA poate stabili că prin aplicarea unor cerințe sau a tuturor cerințelor instituite, precum și prin asigurarea supravegherii corespunzătoare în țara terță respectivă se obține un rezultat comparabil cu cel care rezultă în urma aplicării EMIR și poate renunța la aplicarea dispoziției EMIR corespunzătoare. Această abordare va reduce în mod semnificativ sarcinile care rezultă din dubla aplicare a normelor și cerințelor. Comisia va trebui să adopte un act delegat în care să indice detaliile evaluării pe care o efectuează ESMA (noul articol 25a).</w:t>
      </w:r>
    </w:p>
    <w:p w:rsidR="009D2948" w:rsidRPr="009D2948" w:rsidRDefault="009D2948" w:rsidP="009D2948">
      <w:pPr>
        <w:rPr>
          <w:bCs/>
          <w:noProof/>
          <w:szCs w:val="24"/>
        </w:rPr>
      </w:pPr>
      <w:r w:rsidRPr="009D2948">
        <w:t xml:space="preserve">Cu toate acestea, având în vedere concentrarea tot mai mare a serviciilor de compensare într­un număr limitat de CPC globale și riscul crescut pe care îl implică această concentrare, </w:t>
      </w:r>
      <w:r w:rsidRPr="009D2948">
        <w:lastRenderedPageBreak/>
        <w:t xml:space="preserve">unele CPC pot avea o foarte mare importanță sistemică pentru sistemul financiar al UE. Așadar, atunci când stabilește dacă o CPC dintr-o țară terță este sau poate deveni importantă din punct de vedere sistemic, ESMA poate stabili, de asemenea, în acord cu banca centrală relevantă (băncile centrale relevante) din UE, că riscurile pe care acea entitate le prezintă la adresa stabilității financiare a Uniunii sau a unuia ori a mai multor state membre sunt de o asemenea amploare încât chiar și aplicarea integrală a EMIR la această CPC din țara terță nu este suficientă pentru a atenua în mod suficient riscurile și că, prin urmare, această CPC nu ar trebui să fie recunoscută. În cazul în care se stabilește că provocările întâmpinate în garantarea stabilității financiare în UE nu pot fi abordate prin procesul de recunoaștere a CPC din țări terțe, se propune ca ESMA, în acord cu băncile centrale relevante din UE, să aibă competența de a recomanda Comisiei ca acea CPC să nu fie recunoscută. Pe această bază, Comisia este împuternicită să ia o decizie de nerecunoaștere a acelei CPC, iar dacă acea CPC dorește să ofere servicii de compensare în Uniune, ar trebui să fie autorizată și stabilită în unul din statele membre [noul alineat (2c) de la articolul 25]. </w:t>
      </w:r>
    </w:p>
    <w:p w:rsidR="009D2948" w:rsidRPr="009D2948" w:rsidRDefault="009D2948" w:rsidP="009D2948">
      <w:pPr>
        <w:rPr>
          <w:i/>
          <w:noProof/>
          <w:szCs w:val="24"/>
        </w:rPr>
      </w:pPr>
      <w:r w:rsidRPr="009D2948">
        <w:rPr>
          <w:b/>
          <w:noProof/>
        </w:rPr>
        <w:t>Modificări care au scopul de a consolida supravegherea continuă a CPC din țări terțe după încheierea procesului de recunoaștere [EMIR, articolul 25 alineatele (5), (6) și (7) și noile articole 25b - 25 m]</w:t>
      </w:r>
    </w:p>
    <w:p w:rsidR="009D2948" w:rsidRPr="009D2948" w:rsidRDefault="009D2948" w:rsidP="009D2948">
      <w:pPr>
        <w:rPr>
          <w:bCs/>
          <w:i/>
          <w:noProof/>
          <w:szCs w:val="24"/>
        </w:rPr>
      </w:pPr>
      <w:r w:rsidRPr="009D2948">
        <w:rPr>
          <w:i/>
          <w:noProof/>
        </w:rPr>
        <w:t>Supravegherea de către ESMA a CPC din țări terțe</w:t>
      </w:r>
    </w:p>
    <w:p w:rsidR="009D2948" w:rsidRPr="009D2948" w:rsidRDefault="009D2948" w:rsidP="009D2948">
      <w:pPr>
        <w:rPr>
          <w:bCs/>
          <w:noProof/>
          <w:szCs w:val="24"/>
        </w:rPr>
      </w:pPr>
      <w:r w:rsidRPr="009D2948">
        <w:t>Pentru a aborda deficiențele legate de punerea în aplicare a sistemului de echivalență și recunoaștere prevăzut de EMIR pentru supravegherea CPC din țări terțe, se propune consolidarea competențelor ESMA. Se va asigura astfel că ESMA nu mai întâmpină dificultăți în ceea ce privește accesul la informațiile unei CPC, efectuarea de inspecții la sediile CPC și schimbul de informații cu autoritățile de reglementare, organismele de supraveghere și băncile centrale relevante din UE. Se va reduce la minimum riscul ca practicile și/sau ajustările la modelele de gestionare a riscului să nu fie detectate, ceea ce ar putea avea implicații importante pentru stabilitatea financiară a entităților din UE. În al doilea rând, se vor rezolva eventualele neconcordanțe dintre obiectivele de supraveghere și cele ale băncilor centrale în cadrul colegiilor în contextul CPC din țări terțe în care sunt implicate autorități din afara UE. În fine, se abordează riscul ca modificările la normele CPC și/sau la cadrul de reglementare aduse într-o țară terță să afecteze rezultatele în materie de reglementare sau de supraveghere. Aceasta înseamnă că se vor asigura condiții egale pentru CPC din UE și pentru cele din țări terțe și că arbitrajul de reglementare sau de supraveghere nu va fi posibil. Noile responsabilități ale ESMA de exercitare a supravegherii asupra CPC de nivel 1 și de nivel 2 recunoscute sunt prevăzute la noul articolul 25b (a se vedea mai jos).</w:t>
      </w:r>
    </w:p>
    <w:p w:rsidR="009D2948" w:rsidRPr="009D2948" w:rsidRDefault="009D2948" w:rsidP="009D2948">
      <w:pPr>
        <w:rPr>
          <w:i/>
          <w:noProof/>
          <w:szCs w:val="24"/>
        </w:rPr>
      </w:pPr>
      <w:r w:rsidRPr="009D2948">
        <w:rPr>
          <w:i/>
          <w:noProof/>
        </w:rPr>
        <w:t>Consolidarea punerii în aplicare a actualului regim de recunoaștere</w:t>
      </w:r>
    </w:p>
    <w:p w:rsidR="009D2948" w:rsidRPr="009D2948" w:rsidRDefault="009D2948" w:rsidP="009D2948">
      <w:pPr>
        <w:rPr>
          <w:noProof/>
          <w:szCs w:val="24"/>
        </w:rPr>
      </w:pPr>
      <w:r w:rsidRPr="009D2948">
        <w:t>Articolul 2 alineatul (9) litera (c) înlocuiește articolul 25 alineatul (5) din EMIR, pentru a preciza că ESMA trebuie să revizuiască, cel puțin o dată la doi ani, recunoașterea unei CPC dintr-o țară terță care și-a extins activitățile și serviciile din Uniune. Dispozițiile privind retragerea recunoașterii unei CPC dintr-o țară terță au fost mutate la noile articole 25 m și 25n (a se vedea mai jos).</w:t>
      </w:r>
    </w:p>
    <w:p w:rsidR="009D2948" w:rsidRPr="009D2948" w:rsidRDefault="009D2948" w:rsidP="009D2948">
      <w:pPr>
        <w:rPr>
          <w:noProof/>
          <w:szCs w:val="24"/>
        </w:rPr>
      </w:pPr>
      <w:r w:rsidRPr="009D2948">
        <w:t>Articolul 2 alineatul (9) litera (f) înlocuiește articolul 25 alineatul (7) prima teză din EMIR, pentru a prevedea că acordurile de cooperare dintre ESMA și autoritățile competente relevante ale CPC din țări terțe care dispun de regimuri echivalente trebuie să se aplice efectiv.</w:t>
      </w:r>
    </w:p>
    <w:p w:rsidR="009D2948" w:rsidRPr="009D2948" w:rsidRDefault="009D2948" w:rsidP="009D2948">
      <w:pPr>
        <w:rPr>
          <w:noProof/>
          <w:szCs w:val="24"/>
        </w:rPr>
      </w:pPr>
      <w:r w:rsidRPr="009D2948">
        <w:t xml:space="preserve">Articolul 2 alineatul (9) litera (g) modifică articolul 25 alineatul (7) litera (d), pentru a preciza că procedurile privind coordonarea activităților de supraveghere ar trebui să includă acordul autorităților din țările terțe de efectuare a investigațiilor și a inspecțiilor la fața locului în </w:t>
      </w:r>
      <w:r w:rsidRPr="009D2948">
        <w:lastRenderedPageBreak/>
        <w:t>conformitate cu articolele 25d și 25e din prezenta propunere. Respectiva literă (g) introduce, de asemenea, o nouă literă (e) la articolul 25 alineatul (7), care stabilește că acordurile de cooperare dintre ESMA și autoritățile competente relevante ale CPC din țări terțe care dispun de regimuri echivalente trebuie să indice procedurile necesare pentru monitorizarea eficace a evoluțiilor în materie de reglementare și de supraveghere dintr-o țară terță</w:t>
      </w:r>
      <w:r w:rsidRPr="009D2948">
        <w:rPr>
          <w:rStyle w:val="FootnoteReference"/>
          <w:noProof/>
        </w:rPr>
        <w:footnoteReference w:id="42"/>
      </w:r>
      <w:r w:rsidRPr="009D2948">
        <w:t>.</w:t>
      </w:r>
    </w:p>
    <w:p w:rsidR="009D2948" w:rsidRPr="009D2948" w:rsidRDefault="009D2948" w:rsidP="009D2948">
      <w:pPr>
        <w:rPr>
          <w:i/>
          <w:noProof/>
          <w:szCs w:val="24"/>
        </w:rPr>
      </w:pPr>
      <w:r w:rsidRPr="009D2948">
        <w:rPr>
          <w:i/>
          <w:noProof/>
        </w:rPr>
        <w:t xml:space="preserve">Nou rol al ESMA și al băncii (băncilor) centrale emitente relevante în supravegherea CPC recunoscute din țări terțe </w:t>
      </w:r>
    </w:p>
    <w:p w:rsidR="009D2948" w:rsidRPr="009D2948" w:rsidRDefault="009D2948" w:rsidP="009D2948">
      <w:pPr>
        <w:rPr>
          <w:noProof/>
          <w:szCs w:val="24"/>
        </w:rPr>
      </w:pPr>
      <w:r w:rsidRPr="009D2948">
        <w:t>Articolul 2 alineatul (10) introduce noile articole 25b - 25n în EMIR, pentru a acorda ESMA noi competențe de supraveghere a CPC recunoscute de nivel 1 și 2 din țări terțe, cu scopul de a consolida monitorizarea și asigurarea conformității continue de către CPC din țări terțe a cerințelor EMIR. Alineatul respectiv prevede, de asemenea, implicarea băncilor centrale emitente relevante în recunoașterea și supravegherea CPC din țări terțe în ceea ce privește instrumentele financiare denominate în monede din Uniune care sunt compensate în mare măsură în CPC situate în afara Uniunii, cu scopul de a atenua riscurile pentru piața internă a Uniunii și stabilitatea financiară a Uniunii sau a unuia ori a mai multor state membre.</w:t>
      </w:r>
    </w:p>
    <w:p w:rsidR="009D2948" w:rsidRPr="009D2948" w:rsidRDefault="009D2948" w:rsidP="009D2948">
      <w:pPr>
        <w:rPr>
          <w:b/>
          <w:noProof/>
          <w:szCs w:val="24"/>
        </w:rPr>
      </w:pPr>
      <w:r w:rsidRPr="009D2948">
        <w:t xml:space="preserve">Noul articol 25b prevede noi competențe pentru ESMA, care să asigure conformitatea continuă a CPC de nivel 1 și 2 din țări terțe. </w:t>
      </w:r>
    </w:p>
    <w:p w:rsidR="009D2948" w:rsidRPr="009D2948" w:rsidRDefault="009D2948" w:rsidP="009D2948">
      <w:pPr>
        <w:rPr>
          <w:noProof/>
          <w:szCs w:val="24"/>
        </w:rPr>
      </w:pPr>
      <w:r w:rsidRPr="009D2948">
        <w:t>Alineatul (1) de la noul articol 25b prevede că ESMA răspunde de supravegherea constantă a conformității continue de către CPC de nivel 2 a cerințelor prudențiale prevăzute la articolul 16 și în titlurile IV și V din EMIR. De asemenea, ESMA va solicita fiecărei CPC de nivel 2 să confirme că îndeplinește toate celelalte cerințe suplimentare în materie de supraveghere prevăzute la articolul 25 alineatul (2b) cel puțin o dată pe an, în conformitate cu articolul 25b alineatul (1) al doilea paragraf. Banca centrală emitentă relevantă (băncile centrale emitente relevante) vor notifica de îndată ESMA în cazul în care consideră că o CPC de nivel 2 nu mai îndeplinește condițiile stabilite la articolul 25 alineatul (2b) litera (b).</w:t>
      </w:r>
    </w:p>
    <w:p w:rsidR="009D2948" w:rsidRPr="009D2948" w:rsidRDefault="009D2948" w:rsidP="009D2948">
      <w:pPr>
        <w:rPr>
          <w:noProof/>
          <w:szCs w:val="24"/>
        </w:rPr>
      </w:pPr>
      <w:r w:rsidRPr="009D2948">
        <w:t xml:space="preserve">Alineatul (2) de la noul articol 25b prevede că ESMA obține aprobarea băncii (băncilor) centrale emitente relevante înainte de adoptarea deciziilor referitoare la cerințele de marjă, controlul riscului de lichiditate, cerințele de garantare, decontare și aprobarea acordurilor de interoperabilitate. În cazul în care banca centrală emitentă relevantă (băncile centrale emitente relevante) formulează obiecții cu privire la proiectul de decizie, ESMA nu adoptă proiectul de decizie. În cazul în care banca centrală emitentă relevantă (băncile centrale emitente relevante) sugerează modificări la proiectul de decizie, ESMA poate adopta proiectul de decizie doar în forma modificată. </w:t>
      </w:r>
    </w:p>
    <w:p w:rsidR="009D2948" w:rsidRPr="009D2948" w:rsidRDefault="009D2948" w:rsidP="009D2948">
      <w:pPr>
        <w:rPr>
          <w:noProof/>
          <w:szCs w:val="24"/>
        </w:rPr>
      </w:pPr>
      <w:r w:rsidRPr="009D2948">
        <w:t>Alineatul (3) de la noul articol 25b prevede că ESMA evaluează reziliența CPC recunoscute la condițiile de piață nefavorabile în conformitate cu metodologiile comune stabilite la articolul 32 alineatul (2) din Regulamentul privind ESMA.</w:t>
      </w:r>
    </w:p>
    <w:p w:rsidR="009D2948" w:rsidRPr="009D2948" w:rsidRDefault="009D2948" w:rsidP="009D2948">
      <w:pPr>
        <w:rPr>
          <w:b/>
          <w:noProof/>
          <w:szCs w:val="24"/>
        </w:rPr>
      </w:pPr>
      <w:r w:rsidRPr="009D2948">
        <w:t>Noul articol 25c prevede că, în vederea unei solicitări sau a unei decizii a ESMA, o CPC dintr-o țară terță și părțile terțe conexe trebuie să furnizeze toate informațiile necesare, astfel încât ESMA să își poată îndeplini atribuțiile care îi revin în temeiul EMIR.</w:t>
      </w:r>
    </w:p>
    <w:p w:rsidR="009D2948" w:rsidRPr="009D2948" w:rsidRDefault="009D2948" w:rsidP="009D2948">
      <w:pPr>
        <w:rPr>
          <w:noProof/>
          <w:szCs w:val="24"/>
        </w:rPr>
      </w:pPr>
      <w:r w:rsidRPr="009D2948">
        <w:t xml:space="preserve">Noul articol 25d stabilește că ESMA poate solicita prin intermediul unei decizii ca o CPC de nivel 2 dintr-o țară terță să se supună unor investigații generale. </w:t>
      </w:r>
    </w:p>
    <w:p w:rsidR="009D2948" w:rsidRPr="009D2948" w:rsidRDefault="009D2948" w:rsidP="009D2948">
      <w:pPr>
        <w:rPr>
          <w:noProof/>
          <w:szCs w:val="24"/>
        </w:rPr>
      </w:pPr>
      <w:r w:rsidRPr="009D2948">
        <w:t xml:space="preserve">Noul articol 25e stabilește că ESMA poate solicita prin intermediul unei decizii ca o CPC de nivel 2 dintr-o țară terță să se supună unor inspecții la fața locului. ESMA ar trebui să comunice autorităților competente din țara terță intenția sa de efectuare a unei inspecții la fața </w:t>
      </w:r>
      <w:r w:rsidRPr="009D2948">
        <w:lastRenderedPageBreak/>
        <w:t>locului. Respectivele autorități pot, de asemenea, să participe la inspecție. Banca centrală emitentă (băncile centrale emitente) este invitată (sunt invitate) să participe la aceste inspecții la fața locului.</w:t>
      </w:r>
    </w:p>
    <w:p w:rsidR="009D2948" w:rsidRPr="009D2948" w:rsidRDefault="009D2948" w:rsidP="009D2948">
      <w:pPr>
        <w:rPr>
          <w:noProof/>
          <w:szCs w:val="24"/>
        </w:rPr>
      </w:pPr>
      <w:r w:rsidRPr="009D2948">
        <w:t>Noile articole 25f și 25i stabilesc norme procedurale, inclusiv respectarea drepturilor la apărare, în cazul în care există indicii clare ale unor posibile sustrageri ale CPC din țări terțe de la prezentarea tuturor informațiilor necesare sau de la investigațiile generale și de la inspecțiile la fața locului.</w:t>
      </w:r>
      <w:r w:rsidRPr="009D2948">
        <w:rPr>
          <w:b/>
          <w:noProof/>
        </w:rPr>
        <w:t xml:space="preserve"> </w:t>
      </w:r>
      <w:r w:rsidRPr="009D2948">
        <w:t xml:space="preserve">Articolul 2 alineatul (13) introduce o nouă anexă III în EMIR care include o listă a faptelor care pot constitui încălcări săvârșite de către o CPC dintr-o țară terță, printre care: (i) încălcări legate de cerințe de capital; (ii) încălcări legate de cerințe organizaționale sau de conflicte de interese; (iii) încălcări legate de cerințe operaționale; (iv) încălcări legate de transparență și disponibilitatea informațiilor și (v) încălcări legate de obstacole în calea activităților de supraveghere. </w:t>
      </w:r>
    </w:p>
    <w:p w:rsidR="009D2948" w:rsidRPr="009D2948" w:rsidRDefault="009D2948" w:rsidP="009D2948">
      <w:pPr>
        <w:rPr>
          <w:noProof/>
          <w:szCs w:val="24"/>
        </w:rPr>
      </w:pPr>
      <w:r w:rsidRPr="009D2948">
        <w:t>Noul articol 25g prevede amenzi în cazul încălcărilor constatate care au fost săvârșite de CPC din țări terțe. Articolul 2 alineatul (13) introduce o nouă anexă IV în EMIR care include o listă a circumstanțelor agravante și atenuante a faptelor care pot constitui încălcări săvârșite de către o CPC dintr-o țară terță.</w:t>
      </w:r>
    </w:p>
    <w:p w:rsidR="009D2948" w:rsidRPr="009D2948" w:rsidRDefault="009D2948" w:rsidP="009D2948">
      <w:pPr>
        <w:rPr>
          <w:noProof/>
          <w:szCs w:val="24"/>
        </w:rPr>
      </w:pPr>
      <w:r w:rsidRPr="009D2948">
        <w:t>Noul articol 25h prevede impunerea, în anumite situații, prin decizie a ESMA de penalități cu titlu cominatoriu eficace și proporționale CPC din țări terțe. Penalitățile pot fi impuse pentru ca CPC să pună capăt încălcării, să furnizeze informații sau să se supună investigațiilor ori inspecțiilor.</w:t>
      </w:r>
    </w:p>
    <w:p w:rsidR="009D2948" w:rsidRPr="009D2948" w:rsidRDefault="009D2948" w:rsidP="009D2948">
      <w:pPr>
        <w:rPr>
          <w:noProof/>
          <w:szCs w:val="24"/>
        </w:rPr>
      </w:pPr>
      <w:r w:rsidRPr="009D2948">
        <w:t xml:space="preserve">Noul articol 25j prevede că ESMA face publice, sub rezerva anumitor condiții, cazurile în care s-au impus amenzi sau penalități cu titlu cominatoriu CPC din țări terțe. </w:t>
      </w:r>
    </w:p>
    <w:p w:rsidR="009D2948" w:rsidRPr="009D2948" w:rsidRDefault="009D2948" w:rsidP="009D2948">
      <w:pPr>
        <w:rPr>
          <w:noProof/>
          <w:szCs w:val="24"/>
        </w:rPr>
      </w:pPr>
      <w:r w:rsidRPr="009D2948">
        <w:t>Noul articol 25k prevede că deciziile ESMA de impunere de amenzi sau de penalități cu titlu cominatoriu CPC din țări terțe fac obiectul controlului exercitat de către Curtea de Justiție.</w:t>
      </w:r>
    </w:p>
    <w:p w:rsidR="009D2948" w:rsidRPr="009D2948" w:rsidRDefault="009D2948" w:rsidP="009D2948">
      <w:pPr>
        <w:rPr>
          <w:noProof/>
          <w:szCs w:val="24"/>
        </w:rPr>
      </w:pPr>
      <w:r w:rsidRPr="009D2948">
        <w:t xml:space="preserve">Noul articol 25l împuternicește Comisia să adopte acte delegate pentru a ține seama de evoluțiile de pe piețele financiare cu privire la măsurile de modificare a anexei IV din EMIR. </w:t>
      </w:r>
    </w:p>
    <w:p w:rsidR="009D2948" w:rsidRPr="009D2948" w:rsidRDefault="009D2948" w:rsidP="009D2948">
      <w:pPr>
        <w:rPr>
          <w:noProof/>
          <w:szCs w:val="24"/>
        </w:rPr>
      </w:pPr>
      <w:r w:rsidRPr="009D2948">
        <w:t xml:space="preserve">Noul articol 25m din EMIR prevede că ESMA retrage parțial sau integral o decizie de recunoaștere a unei CPC dintr-o țară terță dacă sunt îndeplinite anumite condiții. </w:t>
      </w:r>
    </w:p>
    <w:p w:rsidR="009D2948" w:rsidRPr="009D2948" w:rsidRDefault="009D2948" w:rsidP="009D2948">
      <w:pPr>
        <w:rPr>
          <w:noProof/>
          <w:szCs w:val="24"/>
        </w:rPr>
      </w:pPr>
      <w:r w:rsidRPr="009D2948">
        <w:t xml:space="preserve">Noul articol 25n prevede că ESMA adoptă una sau mai multe decizii atunci când constată că o CPC de nivel 2 dintr-o țară terță a săvârșit o încălcare, inclusiv decizii privind solicitarea CPC să pună capăt încălcării, impunerea de amenzi, formularea de anunțuri publice, precum și retragerea recunoașterii CPC respectiv. </w:t>
      </w:r>
    </w:p>
    <w:p w:rsidR="009D2948" w:rsidRPr="009D2948" w:rsidRDefault="009D2948" w:rsidP="009D2948">
      <w:pPr>
        <w:pStyle w:val="ManualHeading3"/>
        <w:rPr>
          <w:noProof/>
        </w:rPr>
      </w:pPr>
      <w:r w:rsidRPr="009D2948">
        <w:t>5.2.4.</w:t>
      </w:r>
      <w:r w:rsidRPr="009D2948">
        <w:tab/>
        <w:t>Cerințe prudențiale aplicabile CPC</w:t>
      </w:r>
    </w:p>
    <w:p w:rsidR="009D2948" w:rsidRPr="009D2948" w:rsidRDefault="009D2948" w:rsidP="009D2948">
      <w:pPr>
        <w:rPr>
          <w:b/>
          <w:noProof/>
          <w:szCs w:val="24"/>
        </w:rPr>
      </w:pPr>
      <w:r w:rsidRPr="009D2948">
        <w:rPr>
          <w:b/>
          <w:noProof/>
        </w:rPr>
        <w:t>Modificări cu privire la validarea modelelor și parametrilor (EMIR, articolul 49)</w:t>
      </w:r>
    </w:p>
    <w:p w:rsidR="009D2948" w:rsidRPr="009D2948" w:rsidRDefault="009D2948" w:rsidP="009D2948">
      <w:pPr>
        <w:rPr>
          <w:noProof/>
          <w:szCs w:val="24"/>
        </w:rPr>
      </w:pPr>
      <w:r w:rsidRPr="009D2948">
        <w:t xml:space="preserve">Până în prezent, pe lângă obligația CPC de obținere a validării independente, articolul 49 prevedea obligația ca autoritățile naționale competente și ESMA să valideze separat modificările semnificative aduse de CPC la modelele și parametrii adoptați pentru calcularea cerințelor de marjă, a contribuțiilor la fondul de garantare, a cerințelor de garantare și a altor mecanisme de control al riscurilor. Articolul 2 alineatul (11) litera (b) introduce noile alineate (1a), (1b), (1c), (1d), (1e) și (1f) la articolul 49 din EMIR, pentru a preciza condițiile în care o CPC poate obține validarea pentru modificările semnificative pe care le-a adus la modelele și parametrii adoptați. În conformitate cu alineatul (1a), validarea autorităților naționale competente este suficientă, deoarece articolul 2 alineatul (7) introduce un nou articol 21a în EMIR care prevede că aprobarea prealabilă a ESMA este necesară pentru ca autoritățile naționale competente să poată emite decizia de validare în temeiul articolului 49 din EMIR. Prin urmare, nu mai este necesară validarea separată de către ESMA. Atunci când o CPC </w:t>
      </w:r>
      <w:r w:rsidRPr="009D2948">
        <w:lastRenderedPageBreak/>
        <w:t>dorește să adopte o modificare semnificativă a modelelor și a parametrilor, aceasta trebuie să solicite validarea autorității competente cu privire la modificarea respectivă. Autoritatea competentă, în consultare cu ESMA, efectuează o evaluare a riscurilor CPC și prezintă un raport colegiului, care adoptă apoi un aviz majoritar. După adoptarea avizului, autoritatea competentă informează CPC dacă s-a aprobat sau s-a respins acordarea validării. În plus, noile alineate constituie temeiul juridic pentru adoptarea preliminară a unei modificări semnificative a modelelor sau parametrilor, dacă acest lucru este necesar.</w:t>
      </w:r>
    </w:p>
    <w:p w:rsidR="009D2948" w:rsidRPr="009D2948" w:rsidRDefault="009D2948" w:rsidP="009D2948">
      <w:pPr>
        <w:rPr>
          <w:b/>
          <w:noProof/>
          <w:szCs w:val="24"/>
        </w:rPr>
      </w:pPr>
      <w:r w:rsidRPr="009D2948">
        <w:t>Articolul 2 alineatul (11) litera (a) modifică articolul 49 alineatul (1) din EMIR în consecință și elimină cerința privind cele două validări. Modelele și parametrii adoptați fac obiectul unui aviz al colegiului în conformitate cu procesul definit la articolul menționat. Ultimul paragraf al articolului 49 alineatul (1) modificat prevede că ESMA transmite informațiile cu privire la rezultatele testelor de rezistență nu numai autorităților europene de supraveghere, ci și SEBC și Comitetului unic de rezoluție, pentru a le permite acestora să evalueze expunerea întreprinderilor financiare în cazurile în care CPC nu își pot îndeplini obligațiile.</w:t>
      </w:r>
    </w:p>
    <w:p w:rsidR="009D2948" w:rsidRPr="009D2948" w:rsidRDefault="009D2948" w:rsidP="009D2948">
      <w:pPr>
        <w:pStyle w:val="ManualHeading3"/>
        <w:rPr>
          <w:noProof/>
        </w:rPr>
      </w:pPr>
      <w:r w:rsidRPr="009D2948">
        <w:t>5.2.5.</w:t>
      </w:r>
      <w:r w:rsidRPr="009D2948">
        <w:tab/>
        <w:t>Dispoziții tranzitorii</w:t>
      </w:r>
    </w:p>
    <w:p w:rsidR="009D2948" w:rsidRPr="009D2948" w:rsidRDefault="009D2948" w:rsidP="009D2948">
      <w:pPr>
        <w:rPr>
          <w:b/>
          <w:noProof/>
          <w:szCs w:val="24"/>
        </w:rPr>
      </w:pPr>
      <w:r w:rsidRPr="009D2948">
        <w:rPr>
          <w:b/>
          <w:noProof/>
        </w:rPr>
        <w:t>Modificări care au scopul de a stabili dispoziții tranzitorii care permit revizuirea deciziilor de recunoaștere adoptate înainte de intrarea în vigoare (EMIR, articolul 89)</w:t>
      </w:r>
    </w:p>
    <w:p w:rsidR="009D2948" w:rsidRPr="009D2948" w:rsidRDefault="009D2948" w:rsidP="009D2948">
      <w:pPr>
        <w:rPr>
          <w:noProof/>
          <w:szCs w:val="24"/>
        </w:rPr>
      </w:pPr>
      <w:r w:rsidRPr="009D2948">
        <w:t>Articolul 2 alineatul (12) introduce un nou alineat la articolul 89 prin care se stabilesc dispoziții tranzitorii care prevăd că noul articol 25 alineatul (2) litera (e) și noul articol 25 alineatul (2a) se vor aplica de la data intrării în vigoare a actului delegat care stabilește criteriile de încadrare a unei CPC în categoria CPC de nivel 2, menționate la articolul 25 alineatul (2a) al doilea paragraf. Articolul 2 alineatul (12) prevede, de asemenea, posibilitatea ca ESMA să revizuiască deciziile de recunoaștere a CPC din țări terțe înainte ca prezenta propunere să intre în vigoare. Noua dispoziție prevede că revizuirea se va efectua în termen de 12 luni de la intrarea în vigoare a actului delegat care detaliază criteriile în baza cărora se stabilește dacă o CPC dintr-o țară terță este sau poate deveni importantă din punct de vedere sistemic pentru stabilitatea financiară a Uniunii sau a unuia ori a mai multor state membre.</w:t>
      </w:r>
    </w:p>
    <w:p w:rsidR="009D2948" w:rsidRPr="009D2948" w:rsidRDefault="009D2948" w:rsidP="009D2948">
      <w:pPr>
        <w:rPr>
          <w:noProof/>
        </w:rPr>
        <w:sectPr w:rsidR="009D2948" w:rsidRPr="009D2948" w:rsidSect="006B1E4D">
          <w:footerReference w:type="default" r:id="rId15"/>
          <w:footerReference w:type="first" r:id="rId16"/>
          <w:pgSz w:w="11907" w:h="16839"/>
          <w:pgMar w:top="1134" w:right="1417" w:bottom="1134" w:left="1417" w:header="709" w:footer="709" w:gutter="0"/>
          <w:cols w:space="708"/>
          <w:docGrid w:linePitch="360"/>
        </w:sectPr>
      </w:pPr>
    </w:p>
    <w:p w:rsidR="009D2948" w:rsidRPr="009D2948" w:rsidRDefault="009D2948" w:rsidP="009D2948">
      <w:pPr>
        <w:pStyle w:val="Rfrenceinterinstitutionnelle"/>
        <w:rPr>
          <w:noProof/>
        </w:rPr>
      </w:pPr>
      <w:r w:rsidRPr="009D2948">
        <w:lastRenderedPageBreak/>
        <w:t>2017/0136 (COD)</w:t>
      </w:r>
    </w:p>
    <w:p w:rsidR="009D2948" w:rsidRPr="009D2948" w:rsidRDefault="009D2948" w:rsidP="009D2948">
      <w:pPr>
        <w:pStyle w:val="Statut"/>
        <w:rPr>
          <w:noProof/>
        </w:rPr>
      </w:pPr>
      <w:r>
        <w:t>Propunere de</w:t>
      </w:r>
    </w:p>
    <w:p w:rsidR="009D2948" w:rsidRPr="009D2948" w:rsidRDefault="009D2948" w:rsidP="009D2948">
      <w:pPr>
        <w:pStyle w:val="Typedudocument"/>
      </w:pPr>
      <w:r>
        <w:t>REGULAMENT AL PARLAMENTULUI EUROPEAN ŞI AL CONSILIULUI</w:t>
      </w:r>
    </w:p>
    <w:p w:rsidR="009D2948" w:rsidRPr="009D2948" w:rsidRDefault="009D2948" w:rsidP="009D2948">
      <w:pPr>
        <w:pStyle w:val="Titreobjet"/>
      </w:pPr>
      <w:r w:rsidRPr="009D2948">
        <w:t>de modificare a Regulamentului (UE) nr. 1095/2010 de instituire a Autorității europene de supraveghere (Autoritatea europeană pentru valori mobiliare și piețe) și a Regulamentului (UE) nr. 648/2012 în ceea ce privește procedurile și autoritățile implicate în autorizarea contrapărților centrale și cerințele pentru recunoașterea contrapărților centrale din țări terțe</w:t>
      </w:r>
    </w:p>
    <w:p w:rsidR="009D2948" w:rsidRPr="009D2948" w:rsidRDefault="009D2948" w:rsidP="009D2948">
      <w:pPr>
        <w:pStyle w:val="Institutionquiagit"/>
        <w:rPr>
          <w:noProof/>
        </w:rPr>
      </w:pPr>
      <w:r w:rsidRPr="009D2948">
        <w:t>PARLAMENTUL EUROPEAN ȘI CONSILIUL UNIUNII EUROPENE,</w:t>
      </w:r>
    </w:p>
    <w:p w:rsidR="009D2948" w:rsidRPr="009D2948" w:rsidRDefault="009D2948" w:rsidP="009D2948">
      <w:pPr>
        <w:rPr>
          <w:noProof/>
        </w:rPr>
      </w:pPr>
      <w:r w:rsidRPr="009D2948">
        <w:t>având în vedere Tratatul privind funcționarea Uniunii Europene, în special articolul 114,</w:t>
      </w:r>
    </w:p>
    <w:p w:rsidR="009D2948" w:rsidRPr="009D2948" w:rsidRDefault="009D2948" w:rsidP="009D2948">
      <w:pPr>
        <w:rPr>
          <w:noProof/>
        </w:rPr>
      </w:pPr>
      <w:r w:rsidRPr="009D2948">
        <w:t>având în vedere propunerea Comisiei Europene,</w:t>
      </w:r>
    </w:p>
    <w:p w:rsidR="009D2948" w:rsidRPr="009D2948" w:rsidRDefault="009D2948" w:rsidP="009D2948">
      <w:pPr>
        <w:rPr>
          <w:noProof/>
        </w:rPr>
      </w:pPr>
      <w:r w:rsidRPr="009D2948">
        <w:t>după transmiterea proiectului de act legislativ către parlamentele naționale,</w:t>
      </w:r>
    </w:p>
    <w:p w:rsidR="009D2948" w:rsidRPr="009D2948" w:rsidRDefault="009D2948" w:rsidP="009D2948">
      <w:pPr>
        <w:rPr>
          <w:noProof/>
        </w:rPr>
      </w:pPr>
      <w:r w:rsidRPr="009D2948">
        <w:t>având în vedere avizul Băncii Centrale Europene</w:t>
      </w:r>
      <w:r w:rsidRPr="009D2948">
        <w:rPr>
          <w:rStyle w:val="FootnoteReference"/>
          <w:noProof/>
        </w:rPr>
        <w:footnoteReference w:id="43"/>
      </w:r>
      <w:r w:rsidRPr="009D2948">
        <w:t>,</w:t>
      </w:r>
    </w:p>
    <w:p w:rsidR="009D2948" w:rsidRPr="009D2948" w:rsidRDefault="009D2948" w:rsidP="009D2948">
      <w:pPr>
        <w:rPr>
          <w:noProof/>
        </w:rPr>
      </w:pPr>
      <w:r w:rsidRPr="009D2948">
        <w:t>având în vedere avizul Comitetului Economic și Social European</w:t>
      </w:r>
      <w:r w:rsidRPr="009D2948">
        <w:rPr>
          <w:rStyle w:val="FootnoteReference"/>
          <w:noProof/>
        </w:rPr>
        <w:footnoteReference w:id="44"/>
      </w:r>
      <w:r w:rsidRPr="009D2948">
        <w:t xml:space="preserve">, </w:t>
      </w:r>
    </w:p>
    <w:p w:rsidR="009D2948" w:rsidRPr="009D2948" w:rsidRDefault="009D2948" w:rsidP="009D2948">
      <w:pPr>
        <w:rPr>
          <w:noProof/>
        </w:rPr>
      </w:pPr>
      <w:r w:rsidRPr="009D2948">
        <w:t>hotărând în conformitate cu procedura legislativă ordinară</w:t>
      </w:r>
      <w:r w:rsidRPr="009D2948">
        <w:rPr>
          <w:rStyle w:val="FootnoteReference"/>
          <w:noProof/>
        </w:rPr>
        <w:footnoteReference w:id="45"/>
      </w:r>
      <w:r w:rsidRPr="009D2948">
        <w:t>,</w:t>
      </w:r>
    </w:p>
    <w:p w:rsidR="009D2948" w:rsidRPr="009D2948" w:rsidRDefault="009D2948" w:rsidP="009D2948">
      <w:pPr>
        <w:rPr>
          <w:noProof/>
        </w:rPr>
      </w:pPr>
      <w:r w:rsidRPr="009D2948">
        <w:t>întrucât:</w:t>
      </w:r>
    </w:p>
    <w:p w:rsidR="009D2948" w:rsidRPr="009D2948" w:rsidRDefault="009D2948" w:rsidP="009D2948">
      <w:pPr>
        <w:pStyle w:val="ManualConsidrant"/>
        <w:rPr>
          <w:rStyle w:val="None"/>
          <w:noProof/>
          <w:szCs w:val="24"/>
        </w:rPr>
      </w:pPr>
      <w:r w:rsidRPr="009D2948">
        <w:rPr>
          <w:rStyle w:val="None"/>
        </w:rPr>
        <w:t>(1)</w:t>
      </w:r>
      <w:r w:rsidRPr="009D2948">
        <w:tab/>
      </w:r>
      <w:r w:rsidRPr="009D2948">
        <w:rPr>
          <w:rStyle w:val="None"/>
          <w:noProof/>
        </w:rPr>
        <w:t>Regulamentul (UE) nr. 648/2012 al Parlamentului European și al Consiliului</w:t>
      </w:r>
      <w:r w:rsidRPr="009D2948">
        <w:rPr>
          <w:rStyle w:val="FootnoteReference"/>
          <w:noProof/>
        </w:rPr>
        <w:footnoteReference w:id="46"/>
      </w:r>
      <w:r w:rsidRPr="009D2948">
        <w:rPr>
          <w:rStyle w:val="None"/>
          <w:noProof/>
        </w:rPr>
        <w:t xml:space="preserve"> prevede obligația compensării contractelor cu instrumente financiare derivate extrabursiere standardizate prin intermediul unor contrapărți centrale (CPC) în concordanță cu cerințe similare din alte țări care fac parte din G20. Regulamentul menționat anterior a introdus, de asemenea, cerințe prudențiale, organizatorice și de conduită profesională stricte pentru CPC și a stabilit normele de supraveghere prudențială a acestora pentru a reduce la minimum riscurile pentru utilizatorii unei CPC și pentru a consolida stabilitatea financiară.</w:t>
      </w:r>
    </w:p>
    <w:p w:rsidR="009D2948" w:rsidRPr="009D2948" w:rsidRDefault="009D2948" w:rsidP="009D2948">
      <w:pPr>
        <w:pStyle w:val="ManualConsidrant"/>
        <w:rPr>
          <w:rStyle w:val="None"/>
          <w:rFonts w:eastAsia="Times New Roman"/>
          <w:noProof/>
          <w:szCs w:val="24"/>
        </w:rPr>
      </w:pPr>
      <w:r w:rsidRPr="009D2948">
        <w:rPr>
          <w:rStyle w:val="None"/>
        </w:rPr>
        <w:t>(2)</w:t>
      </w:r>
      <w:r w:rsidRPr="009D2948">
        <w:tab/>
      </w:r>
      <w:r w:rsidRPr="009D2948">
        <w:rPr>
          <w:rStyle w:val="None"/>
          <w:noProof/>
        </w:rPr>
        <w:t>De la adoptarea Regulamentului (UE) nr. 648/2012, volumul activității CPC în Uniune și la nivel mondial a crescut rapid ca amploare și domeniu de aplicare. Se preconizează că în anii următori amploarea activității CPC se va extinde, odată cu introducerea de noi obligații de compensare și cu creșterea numărului de operațiuni de compensare voluntare efectuate de către contrapărțile care nu fac obiectul unei obligații de compensare. Propunerea Comisiei din 4 mai 2017</w:t>
      </w:r>
      <w:r w:rsidRPr="009D2948">
        <w:rPr>
          <w:rStyle w:val="None"/>
          <w:noProof/>
          <w:vertAlign w:val="superscript"/>
        </w:rPr>
        <w:footnoteReference w:id="47"/>
      </w:r>
      <w:r w:rsidRPr="009D2948">
        <w:rPr>
          <w:rStyle w:val="None"/>
          <w:noProof/>
        </w:rPr>
        <w:t xml:space="preserve"> de modificare specifică a </w:t>
      </w:r>
      <w:r w:rsidRPr="009D2948">
        <w:rPr>
          <w:rStyle w:val="None"/>
          <w:noProof/>
        </w:rPr>
        <w:lastRenderedPageBreak/>
        <w:t>Regulamentului (UE) nr. 648/2012, pentru a îmbunătăți eficiența și proporționalitatea regulamentului, va crea stimulente suplimentare pentru ca CPC să ofere contrapărților servicii de compensare centrală a instrumentelor financiare derivate și să faciliteze accesul contrapărților financiare mici și al celor nefinanciare la serviciile de compensare. Creșterea profunzimii și a integrării piețelor de capital, ca urmare a uniunii piețelor de capital (UPC), va duce la creșterea necesității de compensare transfrontalieră în Uniune și astfel la creșterea importanței și a gradului de interconectare a CPC în cadrul sistemului financiar.</w:t>
      </w:r>
    </w:p>
    <w:p w:rsidR="009D2948" w:rsidRPr="009D2948" w:rsidRDefault="009D2948" w:rsidP="009D2948">
      <w:pPr>
        <w:pStyle w:val="ManualConsidrant"/>
        <w:rPr>
          <w:rStyle w:val="None"/>
          <w:rFonts w:eastAsia="Times New Roman"/>
          <w:noProof/>
          <w:szCs w:val="24"/>
        </w:rPr>
      </w:pPr>
      <w:r w:rsidRPr="009D2948">
        <w:rPr>
          <w:rStyle w:val="None"/>
        </w:rPr>
        <w:t>(3)</w:t>
      </w:r>
      <w:r w:rsidRPr="009D2948">
        <w:tab/>
      </w:r>
      <w:r w:rsidRPr="009D2948">
        <w:rPr>
          <w:rStyle w:val="None"/>
          <w:noProof/>
        </w:rPr>
        <w:t>Numărul CPC care sunt stabilite în prezent în Uniune și care sunt autorizate în temeiul Regulamentului (UE) nr. 648/2012 se menține la un nivel relativ limitat, respectiv 17 CPC în iunie 2017. În temeiul dispozițiilor privind echivalența prevăzute de regulamentul menționat anterior, 28 de CPC din țări terțe au fost recunoscute, așadar, acestea pot să își ofere serviciile membrilor compensatori și locurilor de tranzacționare din Uniune</w:t>
      </w:r>
      <w:r w:rsidRPr="009D2948">
        <w:rPr>
          <w:rStyle w:val="None"/>
          <w:noProof/>
          <w:vertAlign w:val="superscript"/>
        </w:rPr>
        <w:footnoteReference w:id="48"/>
      </w:r>
      <w:r w:rsidRPr="009D2948">
        <w:rPr>
          <w:rStyle w:val="None"/>
          <w:noProof/>
        </w:rPr>
        <w:t>. Piețele de compensare sunt bine integrate în Uniune, însă foarte concentrate în anumite clase de active și strâns interconectate. Concentrarea riscurilor înseamnă că există o probabilitate redusă ca o CPC să se găsească în situație de dificultate majoră, însă în cazul în care survine intrarea în dificultate majoră, impactul poate fi foarte puternic. În conformitate cu consensul G20, Comisia a adoptat, în noiembrie 2016, o propunere de regulament privind redresarea și rezoluția CPC</w:t>
      </w:r>
      <w:r w:rsidRPr="009D2948">
        <w:rPr>
          <w:rStyle w:val="None"/>
          <w:noProof/>
          <w:vertAlign w:val="superscript"/>
        </w:rPr>
        <w:footnoteReference w:id="49"/>
      </w:r>
      <w:r w:rsidRPr="009D2948">
        <w:rPr>
          <w:rStyle w:val="None"/>
          <w:noProof/>
        </w:rPr>
        <w:t>, pentru a se asigura că autoritățile sunt pregătite în mod corespunzător să abordeze situația intrării în dificultate a unei CPC, garantând stabilitatea financiară și limitând costurile pe care trebuie să le suporte contribuabilul.</w:t>
      </w:r>
    </w:p>
    <w:p w:rsidR="009D2948" w:rsidRPr="009D2948" w:rsidRDefault="009D2948" w:rsidP="009D2948">
      <w:pPr>
        <w:pStyle w:val="ManualConsidrant"/>
        <w:rPr>
          <w:rStyle w:val="None"/>
          <w:rFonts w:eastAsia="Times New Roman"/>
          <w:noProof/>
          <w:szCs w:val="24"/>
        </w:rPr>
      </w:pPr>
      <w:r w:rsidRPr="009D2948">
        <w:rPr>
          <w:rStyle w:val="None"/>
        </w:rPr>
        <w:t>(4)</w:t>
      </w:r>
      <w:r w:rsidRPr="009D2948">
        <w:tab/>
      </w:r>
      <w:r w:rsidRPr="009D2948">
        <w:rPr>
          <w:rStyle w:val="None"/>
          <w:noProof/>
        </w:rPr>
        <w:t>În pofida propunerii legislative respective și, având în vedere amploarea, complexitatea și dimensiunea transfrontalieră tot mai importante ale compensării în Uniune și la nivel mondial, ar trebui revăzute mecanismele de supraveghere pentru CPC din Uniune și din țări terțe. Prin abordarea problemelor identificate într-un stadiu incipient și prin stabilirea de mecanisme de supraveghere clare și coerente, atât pentru CPC din Uniune, cât și pentru CPC din țări terțe, stabilitatea generală a sistemului financiar al Uniunii ar fi consolidată, iar riscul potențial ca o CPC să se găsească în situație de dificultate majoră ar trebui să se reducă și mai mult.</w:t>
      </w:r>
    </w:p>
    <w:p w:rsidR="009D2948" w:rsidRPr="009D2948" w:rsidRDefault="009D2948" w:rsidP="009D2948">
      <w:pPr>
        <w:pStyle w:val="ManualConsidrant"/>
        <w:rPr>
          <w:rStyle w:val="None"/>
          <w:rFonts w:eastAsia="Times New Roman"/>
          <w:noProof/>
          <w:szCs w:val="24"/>
        </w:rPr>
      </w:pPr>
      <w:r w:rsidRPr="009D2948">
        <w:rPr>
          <w:rStyle w:val="None"/>
        </w:rPr>
        <w:t>(5)</w:t>
      </w:r>
      <w:r w:rsidRPr="009D2948">
        <w:tab/>
      </w:r>
      <w:r w:rsidRPr="009D2948">
        <w:rPr>
          <w:rStyle w:val="None"/>
          <w:noProof/>
        </w:rPr>
        <w:t>Având în vedere considerațiile de mai sus, Comisia a adoptat, la 4 mai 2017, o comunicare privind răspunsul la provocările legate de infrastructurile critice ale piețelor financiare și dezvoltarea în continuare a uniunii piețelor de capital</w:t>
      </w:r>
      <w:r w:rsidRPr="009D2948">
        <w:rPr>
          <w:rStyle w:val="None"/>
          <w:noProof/>
          <w:vertAlign w:val="superscript"/>
        </w:rPr>
        <w:footnoteReference w:id="50"/>
      </w:r>
      <w:r w:rsidRPr="009D2948">
        <w:rPr>
          <w:rStyle w:val="None"/>
          <w:noProof/>
        </w:rPr>
        <w:t xml:space="preserve">, precizând </w:t>
      </w:r>
      <w:r w:rsidRPr="009D2948">
        <w:rPr>
          <w:rStyle w:val="None"/>
          <w:noProof/>
        </w:rPr>
        <w:lastRenderedPageBreak/>
        <w:t>că sunt necesare modificări suplimentare la Regulamentul (UE) nr. 648/2012 pentru a se îmbunătăți actualul cadru care asigură stabilitatea financiară și sprijină dezvoltarea și aprofundarea ulterioară a uniunii piețelor de capital.</w:t>
      </w:r>
    </w:p>
    <w:p w:rsidR="009D2948" w:rsidRPr="009D2948" w:rsidRDefault="009D2948" w:rsidP="009D2948">
      <w:pPr>
        <w:pStyle w:val="ManualConsidrant"/>
        <w:rPr>
          <w:noProof/>
        </w:rPr>
      </w:pPr>
      <w:r w:rsidRPr="009D2948">
        <w:t>(6)</w:t>
      </w:r>
      <w:r w:rsidRPr="009D2948">
        <w:tab/>
        <w:t>Mecanismele de supraveghere prevăzute de Regulamentul (UE) nr. 648/2012 se bazează, în principal, pe autoritatea din țara de origine. CPC stabilite în Uniune sunt în prezent autorizate și supravegheate de către colegii alcătuite din autorități naționale de supraveghere, Autoritatea europeană pentru valori mobiliare și piețe (ESMA), membrii relevanți ai Sistemului European al Băncilor Centrale (SEBC) și alte autorități relevante. Colegiile se bazează pe coordonarea și schimbul de informații asigurate de către autoritatea națională competentă care răspunde de asigurarea punerii în aplicare a dispozițiilor prevăzute de Regulamentul (UE) nr. 648/2012. Practicile de supraveghere divergente în Uniune în ceea ce privește CPC pot crea riscul de arbitraj de reglementare, pot pune în pericol stabilitatea financiară și pot denatura concurența. Comisia a atras atenția asupra acestor riscuri emergente și a necesității unui grad mai mare de convergență în materie de supraveghere în Comunicarea sa privind UPC din septembrie 2016</w:t>
      </w:r>
      <w:r w:rsidRPr="009D2948">
        <w:rPr>
          <w:rStyle w:val="None"/>
          <w:noProof/>
          <w:vertAlign w:val="superscript"/>
        </w:rPr>
        <w:footnoteReference w:id="51"/>
      </w:r>
      <w:r w:rsidRPr="009D2948">
        <w:t xml:space="preserve"> și în cadrul consultării publice privind operațiunile autorităților europene de supraveghere (AES)</w:t>
      </w:r>
      <w:r w:rsidRPr="009D2948">
        <w:rPr>
          <w:rStyle w:val="None"/>
          <w:noProof/>
          <w:vertAlign w:val="superscript"/>
        </w:rPr>
        <w:footnoteReference w:id="52"/>
      </w:r>
      <w:r w:rsidRPr="009D2948">
        <w:t>.</w:t>
      </w:r>
    </w:p>
    <w:p w:rsidR="009D2948" w:rsidRPr="009D2948" w:rsidRDefault="009D2948" w:rsidP="009D2948">
      <w:pPr>
        <w:pStyle w:val="ManualConsidrant"/>
        <w:rPr>
          <w:noProof/>
        </w:rPr>
      </w:pPr>
      <w:r w:rsidRPr="009D2948">
        <w:t>(7)</w:t>
      </w:r>
      <w:r w:rsidRPr="009D2948">
        <w:tab/>
        <w:t>Printre atribuțiile de bază care se vor efectua prin intermediul SEBC se numără definirea și punerea în aplicare a politicii monetare a Uniunii și promovarea bunei funcționări a sistemelor de plăți. Infrastructurile sigure și eficiente ale pieței financiare, în special sistemele de compensare, sunt esențiale pentru îndeplinirea acestor atribuții de bază, precum și pentru atingerea obiectivului principal al SEBC de menținere a stabilității prețurilor. Membrii relevanți ai SEBC, precum băncile centrale care emit monedele în care sunt denominate instrumentele financiare compensate de CPC, ar trebui să fie implicați în supravegherea CPC, date fiind riscurile potențiale pe care funcționarea inadecvată a unei CPC le-ar putea reprezenta pentru îndeplinirea acestor atribuții de bază și a obiectivului principal, afectând instrumentele și contrapărțile care sunt utilizate pentru transmiterea politicii monetare. Drept urmare, băncile centrale emitente ar trebui să fie implicate în evaluarea modului în care o CPC gestionează riscurile. În plus, deși mandatele băncilor centrale și ale autorităților de supraveghere se pot suprapune, este posibil să existe neconcordanțe atunci când acțiunile de supraveghere influențează principalele responsabilități ale băncilor centrale în domenii precum stabilitatea prețurilor, politica monetară și sistemele de plăți. În situații de criză, astfel de neconcordanțe pot amplifica riscurile pentru stabilitatea financiară, în cazul în care repartizarea responsabilităților între autorități rămâne neclară.</w:t>
      </w:r>
    </w:p>
    <w:p w:rsidR="009D2948" w:rsidRPr="009D2948" w:rsidRDefault="009D2948" w:rsidP="009D2948">
      <w:pPr>
        <w:pStyle w:val="ManualConsidrant"/>
        <w:rPr>
          <w:noProof/>
        </w:rPr>
      </w:pPr>
      <w:r w:rsidRPr="009D2948">
        <w:t>(8)</w:t>
      </w:r>
      <w:r w:rsidRPr="009D2948">
        <w:tab/>
        <w:t>Tratatele au instituit o uniune economică și monetară, având euro ca monedă, și Banca Centrală Europeană (BCE) ca instituție a Uniunii Europene în acest sens. Tratatele prevăd, de asemenea, că SEBC este condus de organele de decizie ale BCE și că doar BCE este abilitată să emită euro. Rolul specific al BCE în cadrul SEBC, în calitate de bancă centrală care emite moneda unică a Uniunii ar trebui, prin urmare, să fie recunoscut.</w:t>
      </w:r>
    </w:p>
    <w:p w:rsidR="009D2948" w:rsidRPr="009D2948" w:rsidRDefault="009D2948" w:rsidP="009D2948">
      <w:pPr>
        <w:pStyle w:val="ManualConsidrant"/>
        <w:rPr>
          <w:noProof/>
        </w:rPr>
      </w:pPr>
      <w:r w:rsidRPr="009D2948">
        <w:t>(9)</w:t>
      </w:r>
      <w:r w:rsidRPr="009D2948">
        <w:tab/>
        <w:t xml:space="preserve">Având în vedere caracterul global al piețelor financiare și necesitatea de a aborda neconcordanțele în ceea ce privește supravegherea CPC din Uniune și din țări terțe, </w:t>
      </w:r>
      <w:r w:rsidRPr="009D2948">
        <w:lastRenderedPageBreak/>
        <w:t>capacitatea ESMA de a promova convergența în materie de supraveghere a CPC ar trebui să fie consolidată. Pentru a încredința noi roluri și responsabilități ESMA, Regulamentul (UE) nr. 1095/2010 al Parlamentului European și al Consiliului de instituire a Autorității europene de supraveghere (ESMA)</w:t>
      </w:r>
      <w:r w:rsidRPr="009D2948">
        <w:rPr>
          <w:rStyle w:val="FootnoteReference"/>
          <w:noProof/>
        </w:rPr>
        <w:footnoteReference w:id="53"/>
      </w:r>
      <w:r w:rsidRPr="009D2948">
        <w:t xml:space="preserve"> ar trebui modificat.</w:t>
      </w:r>
    </w:p>
    <w:p w:rsidR="009D2948" w:rsidRPr="009D2948" w:rsidRDefault="009D2948" w:rsidP="009D2948">
      <w:pPr>
        <w:pStyle w:val="ManualConsidrant"/>
        <w:rPr>
          <w:noProof/>
        </w:rPr>
      </w:pPr>
      <w:r w:rsidRPr="009D2948">
        <w:t>(10)</w:t>
      </w:r>
      <w:r w:rsidRPr="009D2948">
        <w:tab/>
        <w:t xml:space="preserve">O sesiune executivă specifică („sesiunea executivă pentru CPC”) ar trebui creată în cadrul consiliului supraveghetorilor </w:t>
      </w:r>
      <w:r w:rsidRPr="009D2948">
        <w:rPr>
          <w:rStyle w:val="None"/>
          <w:noProof/>
        </w:rPr>
        <w:t>ESMA</w:t>
      </w:r>
      <w:r w:rsidRPr="009D2948">
        <w:t xml:space="preserve"> pentru a gestiona sarcini legate de CPC, în general, și pentru a supraveghea CPC din Uniune și din țări terțe, în special. Pentru a garanta instituirea în bune condiții a sesiunii executive pentru CPC, este necesar să se clarifice interacțiunile cu consiliul supraveghetorilor ESMA, modul său de organizare și atribuțiile pe care ar trebui să le efectueze. </w:t>
      </w:r>
    </w:p>
    <w:p w:rsidR="009D2948" w:rsidRPr="009D2948" w:rsidRDefault="009D2948" w:rsidP="009D2948">
      <w:pPr>
        <w:pStyle w:val="ManualConsidrant"/>
        <w:rPr>
          <w:rStyle w:val="None"/>
          <w:noProof/>
        </w:rPr>
      </w:pPr>
      <w:r w:rsidRPr="009D2948">
        <w:rPr>
          <w:rStyle w:val="None"/>
        </w:rPr>
        <w:t>(11)</w:t>
      </w:r>
      <w:r w:rsidRPr="009D2948">
        <w:tab/>
      </w:r>
      <w:r w:rsidRPr="009D2948">
        <w:rPr>
          <w:rStyle w:val="None"/>
          <w:noProof/>
        </w:rPr>
        <w:t>Pentru a garanta o abordare coerentă în materie de supraveghere și pentru a reflecta mandatele autorităților relevante implicate în supravegherea CPC, sesiunea executivă pentru CPC ar trebui să cuprindă membri permanenți și membri specifici pentru fiecare CPC. Șeful sesiunii executive pentru CPC și doi directori independenți ar trebui să aibă statutul de membri permanenți, care să acționeze în mod independent și obiectiv în interesul Uniunii în ansamblul său. De asemenea, Comisia și BCE ar trebui să numească alți membri permanenți. Printre membrii specifici pentru fiecare CPC ar trebui să se numere un reprezentant al autorităților naționale competente din statele membre în care este stabilită contrapartea centrală, desemnat în conformitate cu Regulamentul (UE) nr. 648/2012, și un reprezentant al băncii (băncilor) centrale relevante emitente. Șeful sesiunii executive pentru CPC ar trebui să poată invita membrii colegiului de supraveghetori și reprezentanții autorităților CPC recunoscute de ESMA din țări terțe în calitate de observatori pentru a se asigura că punctele de vedere ale celorlalte autorități relevante sunt luate în considerare de către sesiunea executivă pentru CPC. În timp ce membrii permanenți ar trebui să participe la toate reuniunile sesiunii executive pentru CPC, membrii specifici pentru fiecare CPC și observatorii ar trebui să participe numai atunci când acest lucru este necesar și adecvat pentru CPC pe care le supraveghează. Prezența membrilor permanenți independenți și a membrilor specifici pentru fiecare CPC ar trebui să garanteze faptul că deciziile luate în cadrul sesiunii executive pentru CPC sunt consecvente, adecvate și proporționale în întreaga Uniune și că autoritățile naționale competente, băncile centrale emitente și observatorii relevanți sunt implicați în procesul decizional cu privire la aspectele legate de o CPC stabilită într-un stat membru.</w:t>
      </w:r>
    </w:p>
    <w:p w:rsidR="009D2948" w:rsidRPr="009D2948" w:rsidRDefault="009D2948" w:rsidP="009D2948">
      <w:pPr>
        <w:pStyle w:val="ManualConsidrant"/>
        <w:rPr>
          <w:rStyle w:val="None"/>
          <w:noProof/>
        </w:rPr>
      </w:pPr>
      <w:r w:rsidRPr="009D2948">
        <w:rPr>
          <w:rStyle w:val="None"/>
        </w:rPr>
        <w:t>(12)</w:t>
      </w:r>
      <w:r w:rsidRPr="009D2948">
        <w:tab/>
      </w:r>
      <w:r w:rsidRPr="009D2948">
        <w:rPr>
          <w:rStyle w:val="None"/>
          <w:noProof/>
        </w:rPr>
        <w:t xml:space="preserve">Atunci când ia decizii cu privire la chestiunile legate de o CPC stabilită într-un stat membru, sesiunea executivă pentru CPC ar trebui să se reunească și să se asigure că membrii săi permanenți și membrul relevant (membrii relevanți) care reprezintă autoritățile naționale competente desemnate de statul membru în conformitate cu Regulamentul (UE) nr. 648/2012 participă la procesul decizional, la fel ca și observatorii desemnați de băncile centrale emitente relevante. Atunci când se iau decizii cu privire la o CPC dintr-o țară terță, doar membrii permanenți, banca centrală relevantă emitentă (băncile centrale relevante emitente) și observatorii relevanți ai sesiunii executive pentru CPC ar trebui să participe la procesul decizional. </w:t>
      </w:r>
    </w:p>
    <w:p w:rsidR="009D2948" w:rsidRPr="009D2948" w:rsidRDefault="009D2948" w:rsidP="009D2948">
      <w:pPr>
        <w:pStyle w:val="ManualConsidrant"/>
        <w:rPr>
          <w:rStyle w:val="None"/>
          <w:noProof/>
        </w:rPr>
      </w:pPr>
      <w:r w:rsidRPr="009D2948">
        <w:rPr>
          <w:rStyle w:val="None"/>
        </w:rPr>
        <w:t>(13)</w:t>
      </w:r>
      <w:r w:rsidRPr="009D2948">
        <w:tab/>
      </w:r>
      <w:r w:rsidRPr="009D2948">
        <w:rPr>
          <w:rStyle w:val="None"/>
          <w:noProof/>
        </w:rPr>
        <w:t xml:space="preserve">Pentru a asigura un proces decizional adecvat, eficace și rapid, șeful, cei doi directori ai sesiunii executive pentru CPC și reprezentantul autorității competente a statului </w:t>
      </w:r>
      <w:r w:rsidRPr="009D2948">
        <w:rPr>
          <w:rStyle w:val="None"/>
          <w:noProof/>
        </w:rPr>
        <w:lastRenderedPageBreak/>
        <w:t>membru în care este stabilită CPC ar trebui să aibă drept de vot. Reprezentanții BCE, ai Comisiei și ai băncii centrale relevante (băncilor centrale relevante), precum și observatorii nu ar trebui să aibă drept de vot. Sesiunea executivă pentru CPC ar trebui să ia deciziile cu majoritatea simplă a membrilor săi, iar în caz de egalitate de voturi, șeful sesiunii executive ar trebui să aibă votul decisiv.</w:t>
      </w:r>
    </w:p>
    <w:p w:rsidR="009D2948" w:rsidRPr="009D2948" w:rsidRDefault="009D2948" w:rsidP="009D2948">
      <w:pPr>
        <w:pStyle w:val="ManualConsidrant"/>
        <w:rPr>
          <w:noProof/>
        </w:rPr>
      </w:pPr>
      <w:r w:rsidRPr="009D2948">
        <w:t>(14)</w:t>
      </w:r>
      <w:r w:rsidRPr="009D2948">
        <w:tab/>
        <w:t xml:space="preserve">Sesiunea executivă pentru CPC ar trebui să răspundă de o serie de atribuții specifice care îi sunt încredințate în temeiul </w:t>
      </w:r>
      <w:r w:rsidRPr="009D2948">
        <w:rPr>
          <w:rStyle w:val="None"/>
          <w:noProof/>
        </w:rPr>
        <w:t>Regulamentului (UE) nr. 648/2012</w:t>
      </w:r>
      <w:r w:rsidRPr="009D2948">
        <w:t>, cu scopul de a asigura buna funcționare a pieței interne, precum și stabilitatea financiară a Uniunii și a statelor membre.</w:t>
      </w:r>
    </w:p>
    <w:p w:rsidR="009D2948" w:rsidRPr="009D2948" w:rsidRDefault="009D2948" w:rsidP="009D2948">
      <w:pPr>
        <w:pStyle w:val="ManualConsidrant"/>
        <w:rPr>
          <w:noProof/>
        </w:rPr>
      </w:pPr>
      <w:r w:rsidRPr="009D2948">
        <w:t>(15)</w:t>
      </w:r>
      <w:r w:rsidRPr="009D2948">
        <w:tab/>
        <w:t xml:space="preserve">Pentru a asigura supravegherea eficace, sesiunea executivă pentru CPC ar trebui să dispună de personal dedicat și de resurse adecvate pentru atribuțiile sale, care să-i asigure autonomia, independența și funcționarea corespunzătoare. Impactul bugetar trebuie să fie luat în considerare în declarația făcută de ESMA în conformitate cu Regulamentul (UE) nr. 1095/2010. </w:t>
      </w:r>
    </w:p>
    <w:p w:rsidR="009D2948" w:rsidRPr="009D2948" w:rsidRDefault="009D2948" w:rsidP="009D2948">
      <w:pPr>
        <w:pStyle w:val="ManualConsidrant"/>
        <w:rPr>
          <w:rStyle w:val="None"/>
          <w:noProof/>
        </w:rPr>
      </w:pPr>
      <w:r w:rsidRPr="009D2948">
        <w:rPr>
          <w:rStyle w:val="None"/>
        </w:rPr>
        <w:t>(16)</w:t>
      </w:r>
      <w:r w:rsidRPr="009D2948">
        <w:tab/>
      </w:r>
      <w:r w:rsidRPr="009D2948">
        <w:rPr>
          <w:rStyle w:val="None"/>
          <w:noProof/>
        </w:rPr>
        <w:t>Pentru a asigura un nivel adecvat de expertiză și răspundere, șeful și cei doi directori ai sesiunii executive pentru CPC ar trebui să fie numiți pe baza meritelor, a competențelor și a cunoștințelor privind compensarea, posttranzacționarea și aspectele financiare, precum și a experienței relevante pentru supravegherea și reglementarea CPC. Aceștia ar trebui să fie aleși în urma unei proceduri de selecție deschise. Comisia ar trebui să prezinte propunerea de numire a candidaților Parlamentului European în vederea aprobării. După ce propunerea a fost aprobată de Parlamentul European, Consiliul ar trebui să adopte o decizie de punere în aplicare.</w:t>
      </w:r>
    </w:p>
    <w:p w:rsidR="009D2948" w:rsidRPr="009D2948" w:rsidRDefault="009D2948" w:rsidP="009D2948">
      <w:pPr>
        <w:pStyle w:val="ManualConsidrant"/>
        <w:rPr>
          <w:noProof/>
        </w:rPr>
      </w:pPr>
      <w:r w:rsidRPr="009D2948">
        <w:t>(17)</w:t>
      </w:r>
      <w:r w:rsidRPr="009D2948">
        <w:tab/>
        <w:t>Pentru a asigura transparența și controlul democratic, precum și pentru a proteja drepturile instituțiilor Uniunii, șeful și cei doi directori ai sesiunii executive pentru CPC ar trebui să răspundă în fața Parlamentului European și a Consiliului pentru orice decizie luată în baza prezentului regulament.</w:t>
      </w:r>
    </w:p>
    <w:p w:rsidR="009D2948" w:rsidRPr="009D2948" w:rsidRDefault="009D2948" w:rsidP="009D2948">
      <w:pPr>
        <w:pStyle w:val="ManualConsidrant"/>
        <w:rPr>
          <w:rStyle w:val="None"/>
          <w:rFonts w:eastAsia="Times New Roman"/>
          <w:noProof/>
          <w:szCs w:val="24"/>
        </w:rPr>
      </w:pPr>
      <w:r w:rsidRPr="009D2948">
        <w:rPr>
          <w:rStyle w:val="None"/>
        </w:rPr>
        <w:t>(18)</w:t>
      </w:r>
      <w:r w:rsidRPr="009D2948">
        <w:tab/>
        <w:t>Șeful și cei doi directori ai sesiunii executive pentru CPC ar trebui să acționeze în mod independent și obiectiv în interesul Uniunii. Aceștia ar trebui să se asigure că se ține seama în mod adecvat de buna funcționare a pieței interne și de stabilitatea financiară în fiecare stat membru și în Uniune.</w:t>
      </w:r>
    </w:p>
    <w:p w:rsidR="009D2948" w:rsidRPr="009D2948" w:rsidRDefault="009D2948" w:rsidP="009D2948">
      <w:pPr>
        <w:pStyle w:val="ManualConsidrant"/>
        <w:rPr>
          <w:rStyle w:val="None"/>
          <w:rFonts w:eastAsia="Times New Roman"/>
          <w:noProof/>
          <w:szCs w:val="24"/>
        </w:rPr>
      </w:pPr>
      <w:r w:rsidRPr="009D2948">
        <w:rPr>
          <w:rStyle w:val="None"/>
        </w:rPr>
        <w:t>(19)</w:t>
      </w:r>
      <w:r w:rsidRPr="009D2948">
        <w:tab/>
      </w:r>
      <w:r w:rsidRPr="009D2948">
        <w:rPr>
          <w:rStyle w:val="None"/>
          <w:noProof/>
        </w:rPr>
        <w:t>Pentru a promova consecvența în supravegherea CPC din Uniune și din țări terțe la nivelul întregii Uniuni, șeful sesiunii executive pentru CPC ar trebui să prezideze și să gestioneze colegiile, iar membrii permanenți ai sesiunii executive pentru CPC ar trebui să participe la acestea. Atunci când este necesar și în conformitate cu Regulamentul (UE) nr. 1024/2013 al Consiliului, BCE ar trebui să participe, de asemenea, la colegii, pentru a-și putea exercita mandatul în conformitate cu articolul 127 din TFUE.</w:t>
      </w:r>
    </w:p>
    <w:p w:rsidR="009D2948" w:rsidRPr="009D2948" w:rsidRDefault="009D2948" w:rsidP="009D2948">
      <w:pPr>
        <w:pStyle w:val="ManualConsidrant"/>
        <w:rPr>
          <w:rStyle w:val="None"/>
          <w:rFonts w:eastAsia="Times New Roman"/>
          <w:noProof/>
          <w:szCs w:val="24"/>
        </w:rPr>
      </w:pPr>
      <w:r w:rsidRPr="009D2948">
        <w:rPr>
          <w:rStyle w:val="None"/>
        </w:rPr>
        <w:t>(20)</w:t>
      </w:r>
      <w:r w:rsidRPr="009D2948">
        <w:tab/>
      </w:r>
      <w:r w:rsidRPr="009D2948">
        <w:rPr>
          <w:rStyle w:val="None"/>
          <w:noProof/>
        </w:rPr>
        <w:t>Pentru a asigura un proces decizional adecvat și eficace, fiecare membru permanent al sesiunii executive pentru CPC ar trebui să dispună de un vot în cadrul colegiilor, cu excepția reprezentantului Comisiei, care nu ar trebui să aibă drept de vot. Actualii membri ai colegiilor ar trebui să își exercite în continuare drepturile de vot pe care le au în prezent.</w:t>
      </w:r>
    </w:p>
    <w:p w:rsidR="009D2948" w:rsidRPr="009D2948" w:rsidRDefault="009D2948" w:rsidP="009D2948">
      <w:pPr>
        <w:pStyle w:val="ManualConsidrant"/>
        <w:rPr>
          <w:rFonts w:eastAsia="Times New Roman"/>
          <w:noProof/>
          <w:szCs w:val="24"/>
        </w:rPr>
      </w:pPr>
      <w:r w:rsidRPr="009D2948">
        <w:t>(21)</w:t>
      </w:r>
      <w:r w:rsidRPr="009D2948">
        <w:tab/>
        <w:t xml:space="preserve">În timp ce autoritățile naționale competente își exercită în continuare responsabilitățile de supraveghere curente în temeiul Regulamentului (UE) nr. 648/2012, acordul prealabil al ESMA ar trebui să fie necesar pentru anumite decizii, </w:t>
      </w:r>
      <w:r w:rsidRPr="009D2948">
        <w:rPr>
          <w:rStyle w:val="None"/>
          <w:noProof/>
        </w:rPr>
        <w:t>în vederea promovării consecvenței la nivelul întregii Uniuni în ceea ce privește supravegherea CPC.</w:t>
      </w:r>
      <w:r w:rsidRPr="009D2948">
        <w:t xml:space="preserve"> Se introduce un mecanism specific pentru soluționarea dezacordurilor care pot apărea între ESMA și autoritățile naționale competente. </w:t>
      </w:r>
      <w:r w:rsidRPr="009D2948">
        <w:rPr>
          <w:rStyle w:val="None"/>
          <w:noProof/>
        </w:rPr>
        <w:t xml:space="preserve">În mod similar, este necesar să </w:t>
      </w:r>
      <w:r w:rsidRPr="009D2948">
        <w:rPr>
          <w:rStyle w:val="None"/>
          <w:noProof/>
        </w:rPr>
        <w:lastRenderedPageBreak/>
        <w:t>se reflecte mai bine mandatele băncilor centrale emitente cu privire la responsabilitățile lor de politică monetară, date fiind riscurile potențiale pe care funcționarea inadecvată a unei CPC le-ar putea avea asupra punerii în aplicare a politicii monetare a Uniunii și asupra promovării bunei funcționări a sistemelor de plăți. Prin urmare, acordul prealabil al băncii centrale emitente relevante ar trebui să fie necesar pentru anumite decizii avute în vedere de autoritățile naționale competente, în special atunci când se referă la sistemele de decontare și de plată ale unei CPC și la procedurile aferente de gestionare a riscului de lichiditate pentru tranzacțiile denominate în moneda acelei bănci centrale emitente.</w:t>
      </w:r>
    </w:p>
    <w:p w:rsidR="009D2948" w:rsidRPr="009D2948" w:rsidRDefault="009D2948" w:rsidP="009D2948">
      <w:pPr>
        <w:pStyle w:val="ManualConsidrant"/>
        <w:rPr>
          <w:rStyle w:val="None"/>
          <w:rFonts w:eastAsia="Times New Roman"/>
          <w:noProof/>
          <w:szCs w:val="24"/>
        </w:rPr>
      </w:pPr>
      <w:r w:rsidRPr="009D2948">
        <w:rPr>
          <w:rStyle w:val="None"/>
        </w:rPr>
        <w:t>(22)</w:t>
      </w:r>
      <w:r w:rsidRPr="009D2948">
        <w:tab/>
      </w:r>
      <w:r w:rsidRPr="009D2948">
        <w:rPr>
          <w:rStyle w:val="None"/>
          <w:noProof/>
        </w:rPr>
        <w:t>Pentru ca ESMA să poată să efectueze cu eficacitate atribuțiile sale în ceea ce privește CPC, atât Uniunea, cât și CPC din țări terțe ar trebui să plătească taxele în scopul supravegherii percepute pentru atribuțiile de supraveghere și atribuțiile administrative desfășurate de ESMA. Aceste taxe ar trebui să acopere cererile de autorizare a CPC din Uniune, cererile de recunoaștere a CPC din țări terțe, precum și taxele anuale legate de atribuțiile de care ESMA este responsabilă. Comisia ar trebui să precizeze în detaliu în cadrul unui act delegat tipurile de taxe, ocaziile în care se plătesc aceste taxe, cuantumul taxelor și modalitățile de plată de către CPC din Uniune autorizate sau care au depus o cerere de autorizare și de CPC recunoscute din țări terțe.</w:t>
      </w:r>
    </w:p>
    <w:p w:rsidR="009D2948" w:rsidRPr="009D2948" w:rsidRDefault="009D2948" w:rsidP="009D2948">
      <w:pPr>
        <w:pStyle w:val="ManualConsidrant"/>
        <w:rPr>
          <w:rStyle w:val="None"/>
          <w:noProof/>
          <w:szCs w:val="24"/>
        </w:rPr>
      </w:pPr>
      <w:r w:rsidRPr="009D2948">
        <w:rPr>
          <w:rStyle w:val="None"/>
        </w:rPr>
        <w:t>(23)</w:t>
      </w:r>
      <w:r w:rsidRPr="009D2948">
        <w:tab/>
      </w:r>
      <w:r w:rsidRPr="009D2948">
        <w:rPr>
          <w:rStyle w:val="None"/>
          <w:noProof/>
        </w:rPr>
        <w:t>Mecanismele de supraveghere prevăzute de prezentul regulament pentru CPC din țări terțe care oferă servicii de compensare în Uniune trebuie, de asemenea, revizuite. Trebuie să se îmbunătățească accesul la informații, capacitatea de a efectua inspecții la fața locului și posibilitatea ca autoritățile relevante din Uniune și din statele membre să își comunice informații cu privire la CPC din țări terțe, pentru a se evita implicațiile importante din perspectiva stabilității financiare pentru entitățile din Uniune. Există, de asemenea, riscul ca modificările aduse la normele dintr-o țară terță privind CPC sau la cadrul de reglementare al unei țări terțe să nu poată fi luate în considerare și aceasta ar putea afecta rezultatele în materie de reglementare sau de supraveghere, ceea ce va crea condiții de concurență inegale între CPC din Uniune și din țări terțe.</w:t>
      </w:r>
    </w:p>
    <w:p w:rsidR="009D2948" w:rsidRPr="009D2948" w:rsidRDefault="009D2948" w:rsidP="009D2948">
      <w:pPr>
        <w:pStyle w:val="ManualConsidrant"/>
        <w:rPr>
          <w:noProof/>
        </w:rPr>
      </w:pPr>
      <w:r w:rsidRPr="009D2948">
        <w:t>(24)</w:t>
      </w:r>
      <w:r w:rsidRPr="009D2948">
        <w:tab/>
        <w:t>Un număr semnificativ de instrumente financiare denominate în monedele statelor membre sunt compensate de CPC recunoscute din țări terțe. Acest număr va crește considerabil după retragerea Regatului Unit din Uniune, când CPC stabilite în această țară nu li se vor mai aplica cerințele prezentului regulament. Acordurile de cooperare convenite în cadrul colegiilor de supraveghere nu vor mai fi supuse garanțiilor și procedurilor stabilite de prezentul regulament, inclusiv controlului Curții de Justiție a Uniunii Europene. Aceasta implică provocări semnificative pentru autoritățile Uniunii și ale statelor membre în ceea ce privește asigurarea stabilității financiare.</w:t>
      </w:r>
    </w:p>
    <w:p w:rsidR="009D2948" w:rsidRPr="009D2948" w:rsidRDefault="009D2948" w:rsidP="009D2948">
      <w:pPr>
        <w:pStyle w:val="ManualConsidrant"/>
        <w:rPr>
          <w:noProof/>
        </w:rPr>
      </w:pPr>
      <w:r w:rsidRPr="009D2948">
        <w:t>(25)</w:t>
      </w:r>
      <w:r w:rsidRPr="009D2948">
        <w:tab/>
        <w:t>Ca parte a angajamentului său în favoarea integrării piețelor financiare, Comisia ar trebui să continue să stabilească, prin intermediul unor decizii de echivalență, conformitatea cadrelor juridice și de supraveghere ale țărilor terțe cu cerințele Regulamentului (UE) nr. 648/2012. Pentru a consolida punerea în aplicare a actualului regim de echivalență în ceea ce privește CPC, Comisia ar trebui să poată, dacă este necesar, să precizeze în detaliu criteriile de evaluare a echivalenței regimurilor CPC din țări terțe. Totodată, este necesar să i se confere ESMA competența de a supraveghea evoluțiile în materie de reglementare și supraveghere ale regimurilor CPC din țări terțe pe care Comisia le-a considerat echivalente. Acest lucru este necesar pentru a se asigura că țările terțe continuă să respecte criteriile de echivalență și eventualele condiții specifice stabilite pentru utilizarea acestora. ESMA ar trebui să transmită constatările sale Comisiei cu titlu confidențial.</w:t>
      </w:r>
    </w:p>
    <w:p w:rsidR="009D2948" w:rsidRPr="009D2948" w:rsidRDefault="009D2948" w:rsidP="009D2948">
      <w:pPr>
        <w:pStyle w:val="ManualConsidrant"/>
        <w:rPr>
          <w:noProof/>
        </w:rPr>
      </w:pPr>
      <w:r w:rsidRPr="009D2948">
        <w:lastRenderedPageBreak/>
        <w:t>(26)</w:t>
      </w:r>
      <w:r w:rsidRPr="009D2948">
        <w:tab/>
        <w:t xml:space="preserve">În prezent, Comisia poate modifica, suspenda, reexamina sau revoca o decizie de echivalență în orice moment, în special dacă într-o țară terță au loc evoluții care afectează în mod semnificativ elementele evaluate în conformitate cu cerințele de echivalență stabilite în prezentul regulament. În cazul în care autoritățile relevante ale unei țări terțe nu mai cooperează cu bună credință cu ESMA sau cu alte autorități de supraveghere din Uniune sau nu îndeplinesc în mod constant cerințele de echivalență aplicabile, Comisia poate, printre altele, să transmită un aviz țării terțe respective sau să publice o recomandare specifică. În cazul în care Comisia decide, în orice moment, să revoce echivalența unei țări terțe, aceasta poate să amâne data de aplicare a deciziei respective în scopul de a aborda riscurile la adresa stabilității financiare sau de perturbare a pieței. Pe lângă aceste competențe de care dispune în prezent, Comisia ar trebui, de asemenea, să poată stabili condiții specifice pentru a se asigura că criteriile de echivalență continuă să fie îndeplinite în permanență de țara terță la care se referă decizia de echivalență. De asemenea, Comisia ar trebui să poată stabili condiții care să garanteze că ESMA este în măsură să își exercite efectiv responsabilitățile în ceea ce privește CPC din țări terțe recunoscute în temeiul prezentului regulament sau în ceea ce privește monitorizarea evoluțiilor în materie de reglementare și supraveghere din țările terțe care prezintă relevanță pentru deciziile de echivalență adoptate. </w:t>
      </w:r>
    </w:p>
    <w:p w:rsidR="009D2948" w:rsidRPr="009D2948" w:rsidRDefault="009D2948" w:rsidP="009D2948">
      <w:pPr>
        <w:pStyle w:val="ManualConsidrant"/>
        <w:rPr>
          <w:noProof/>
        </w:rPr>
      </w:pPr>
      <w:r w:rsidRPr="009D2948">
        <w:t>(27)</w:t>
      </w:r>
      <w:r w:rsidRPr="009D2948">
        <w:tab/>
        <w:t>Având în vedere creșterea dimensiunii transfrontaliere a CPC și interconexiunile din cadrul sistemului financiar al Uniunii, este necesar să se amelioreze capacitatea Uniunii de a identifica, monitoriza și diminua riscurile potențiale legate de CPC din țări terțe. Prin urmare, rolul ESMA ar trebui consolidat, astfel încât aceasta să supravegheze în mod efectiv CPC din țări terțe care solicită recunoașterea pentru a presta servicii de compensare în Uniune. Ar trebui, de asemenea, îmbunătățită implicarea băncilor centrale emitente din Uniune în recunoașterea și supravegherea CPC din țări terțe care au activități în moneda emisă de acestea. Prin urmare, băncile centrale emitente din Uniune ar trebui să fie consultate cu privire la anumite aspecte care le afectează responsabilitățile în materie de politică monetară legate de instrumentele financiare exprimate în monede din Uniune care sunt compensate în mare măsură de CPC situate în afara Uniunii.</w:t>
      </w:r>
    </w:p>
    <w:p w:rsidR="009D2948" w:rsidRPr="009D2948" w:rsidRDefault="009D2948" w:rsidP="009D2948">
      <w:pPr>
        <w:pStyle w:val="ManualConsidrant"/>
        <w:rPr>
          <w:noProof/>
        </w:rPr>
      </w:pPr>
      <w:r w:rsidRPr="009D2948">
        <w:t>(28)</w:t>
      </w:r>
      <w:r w:rsidRPr="009D2948">
        <w:tab/>
        <w:t xml:space="preserve">Odată ce Comisia stabilește echivalența cadrului juridic și de supraveghere al unei țări terțe cu cadrul Uniunii, procesul de recunoaștere a CPC din țara terță respectivă ar trebui să ia în considerare riscurile pe care le prezintă CPC respective la adresa stabilității financiare a Uniunii sau a statului membru. </w:t>
      </w:r>
    </w:p>
    <w:p w:rsidR="009D2948" w:rsidRPr="009D2948" w:rsidRDefault="009D2948" w:rsidP="009D2948">
      <w:pPr>
        <w:pStyle w:val="ManualConsidrant"/>
        <w:rPr>
          <w:noProof/>
        </w:rPr>
      </w:pPr>
      <w:r w:rsidRPr="009D2948">
        <w:t>(29)</w:t>
      </w:r>
      <w:r w:rsidRPr="009D2948">
        <w:tab/>
        <w:t>Atunci când examinează cererea de recunoaștere a unei CPC dintr-o țară terță, ESMA ar trebui să evalueze gradul de risc sistemic pe care îl prezintă aceasta pentru stabilitatea financiară a Uniunii, pe baza unor criterii obiective și transparente stabilite în prezentul regulament. Un act delegat al Comisiei ar trebui să precizeze în detaliu criteriile respective.</w:t>
      </w:r>
    </w:p>
    <w:p w:rsidR="009D2948" w:rsidRPr="009D2948" w:rsidRDefault="009D2948" w:rsidP="009D2948">
      <w:pPr>
        <w:pStyle w:val="ManualConsidrant"/>
        <w:rPr>
          <w:noProof/>
        </w:rPr>
      </w:pPr>
      <w:r w:rsidRPr="009D2948">
        <w:t>(30)</w:t>
      </w:r>
      <w:r w:rsidRPr="009D2948">
        <w:tab/>
        <w:t xml:space="preserve">CPC care nu sunt importante din punct de vedere sistemic pentru stabilitatea financiară a Uniunii sau a unuia dintre statele sale membre ar trebui considerate ca fiind CPC de nivel 1. CPC care sunt sau este probabil să devină importante din punct de vedere sistemic pentru stabilitatea financiară a Uniunii sau a unuia dintre statele sale membre ar trebui considerate ca fiind CPC de nivel 2. Dacă ESMA stabilește că o CPC dintr-o țară terță nu este importantă din punct de vedere sistemic pentru stabilitatea financiară a Uniunii, condițiile existente de recunoaștere prevăzute în Regulamentul (UE) nr. 648/2012 ar trebui să se aplice CPC în cauză. Dacă ESMA stabilește că o CPC dintr-o țară terță este importantă din punct de vedere sistemic, ar trebui stabilite cerințe </w:t>
      </w:r>
      <w:r w:rsidRPr="009D2948">
        <w:lastRenderedPageBreak/>
        <w:t xml:space="preserve">suplimentare proporționale cu gradul de risc prezentat de CPC în cauză. ESMA ar trebui să recunoască o astfel de CPC doar dacă aceasta respectă cerințele respective. </w:t>
      </w:r>
    </w:p>
    <w:p w:rsidR="009D2948" w:rsidRPr="009D2948" w:rsidRDefault="009D2948" w:rsidP="009D2948">
      <w:pPr>
        <w:pStyle w:val="ManualConsidrant"/>
        <w:rPr>
          <w:noProof/>
        </w:rPr>
      </w:pPr>
      <w:r w:rsidRPr="009D2948">
        <w:t>(31)</w:t>
      </w:r>
      <w:r w:rsidRPr="009D2948">
        <w:tab/>
        <w:t xml:space="preserve">Cerințele suplimentare ar trebui să includă anumite cerințe prudențiale prevăzute în Regulamentul (UE) nr. 648/2012 în scopul de a spori siguranța și eficiența CPC. ESMA ar trebui să fie direct responsabilă de asigurarea faptului că o CPC de importanță sistemică dintr-o țară terță respectă cerințele respective. De asemenea, ar trebui instituite cerințe conexe care să permită ESMA să realizeze o supraveghere deplină și eficace a CPC în cauză. </w:t>
      </w:r>
    </w:p>
    <w:p w:rsidR="009D2948" w:rsidRPr="009D2948" w:rsidRDefault="009D2948" w:rsidP="009D2948">
      <w:pPr>
        <w:pStyle w:val="ManualConsidrant"/>
        <w:rPr>
          <w:noProof/>
        </w:rPr>
      </w:pPr>
      <w:r w:rsidRPr="009D2948">
        <w:t>(32)</w:t>
      </w:r>
      <w:r w:rsidRPr="009D2948">
        <w:tab/>
        <w:t>Pentru a asigura implicarea corespunzătoare a băncii sau băncilor centrale emitente, CPC de importanță sistemică dintr-o țară terță ar trebui, de asemenea, să îndeplinească toate cerințele suplimentare pe care banca sau băncile centrale emitente le consideră necesare. Banca sau băncile centrale emitente în cauză ar trebui să confirme ESMA dacă CPC respectă sau nu toate cerințele suplimentare, cât mai curând posibil și, în orice caz, în termen de 180 de zile de la depunerea de către CPC a cererii la ESMA.</w:t>
      </w:r>
    </w:p>
    <w:p w:rsidR="009D2948" w:rsidRPr="009D2948" w:rsidRDefault="009D2948" w:rsidP="009D2948">
      <w:pPr>
        <w:pStyle w:val="ManualConsidrant"/>
        <w:rPr>
          <w:noProof/>
        </w:rPr>
      </w:pPr>
      <w:r w:rsidRPr="009D2948">
        <w:t>(33)</w:t>
      </w:r>
      <w:r w:rsidRPr="009D2948">
        <w:tab/>
        <w:t>Gradul riscului prezentat de o CPC de importanță sistemică pentru sistemul financiar și stabilitatea Uniunii variază. Prin urmare, cerințele pentru CPC de importanță sistemică ar trebui să fie aplicate în mod proporțional cu riscurile pe care o anumită CPC le prezintă pentru Uniune. Atunci când ESMA și banca sau băncile centrale emitente relevante concluzionează că, având în vedere gradul de importanță sistemică al unei CPC dintr-o țară terță, cerințele suplimentare nu vor asigura stabilitatea financiară a Uniunii, ESMA ar trebui să poată recomanda Comisiei ca CPC respectivă să nu fie recunoscută. Comisia ar trebui să poată adopta un act de punere în aplicare prin care să se declare că CPC dintr-o țară terță ar trebui să fie stabilită în Uniune și autorizată ca atare să furnizeze servicii de compensare în Uniune.</w:t>
      </w:r>
    </w:p>
    <w:p w:rsidR="009D2948" w:rsidRPr="009D2948" w:rsidRDefault="009D2948" w:rsidP="009D2948">
      <w:pPr>
        <w:pStyle w:val="ManualConsidrant"/>
        <w:rPr>
          <w:noProof/>
        </w:rPr>
      </w:pPr>
      <w:r w:rsidRPr="009D2948">
        <w:t>(34)</w:t>
      </w:r>
      <w:r w:rsidRPr="009D2948">
        <w:tab/>
        <w:t>ESMA ar trebui să reexamineze periodic recunoașterea CPC din țări terțe, precum și clasificarea lor ca CPC de nivel 1 sau de nivel 2. În acest sens, ESMA ar trebui să aibă în vedere, printre altele, schimbările legate de natura, dimensiunea și complexitatea activității CPC dintr-o țară terță. Aceste reexaminări ar trebui să aibă loc cel puțin o dată la doi ani sau, dacă este necesar, mai frecvent.</w:t>
      </w:r>
    </w:p>
    <w:p w:rsidR="009D2948" w:rsidRPr="009D2948" w:rsidRDefault="009D2948" w:rsidP="009D2948">
      <w:pPr>
        <w:pStyle w:val="ManualConsidrant"/>
        <w:rPr>
          <w:noProof/>
        </w:rPr>
      </w:pPr>
      <w:r w:rsidRPr="009D2948">
        <w:t>(35)</w:t>
      </w:r>
      <w:r w:rsidRPr="009D2948">
        <w:tab/>
        <w:t>De asemenea, ESMA ar trebui să poată ține seama de măsura în care conformitatea unei CPC de importanță sistemică dintr-o țară terță cu cerințele aplicabile în țara terță respectivă este comparabilă cu conformitatea respectivei CPC cu cerințele Regulamentului (UE) nr. 648/2012. Comisia ar trebui să adopte un act delegat care să precizeze în detaliu modalitățile și condițiile pentru evaluarea conformității comparabile.</w:t>
      </w:r>
    </w:p>
    <w:p w:rsidR="009D2948" w:rsidRPr="009D2948" w:rsidRDefault="009D2948" w:rsidP="009D2948">
      <w:pPr>
        <w:pStyle w:val="ManualConsidrant"/>
        <w:rPr>
          <w:noProof/>
        </w:rPr>
      </w:pPr>
      <w:r w:rsidRPr="009D2948">
        <w:t>(36)</w:t>
      </w:r>
      <w:r w:rsidRPr="009D2948">
        <w:tab/>
        <w:t>ESMA ar trebui să dețină toate competențele necesare pentru a supraveghea CPC recunoscute din țări terțe astfel încât să se asigure conformitatea continuă a acestora cu cerințele Regulamentului (UE) nr. 648/2012. În anumite domenii, deciziile ESMA ar trebui să facă obiectul aprobării prealabile a băncii sau băncilor centrale emitente relevante.</w:t>
      </w:r>
    </w:p>
    <w:p w:rsidR="009D2948" w:rsidRPr="009D2948" w:rsidRDefault="009D2948" w:rsidP="009D2948">
      <w:pPr>
        <w:pStyle w:val="ManualConsidrant"/>
        <w:rPr>
          <w:noProof/>
        </w:rPr>
      </w:pPr>
      <w:r w:rsidRPr="009D2948">
        <w:t>(37)</w:t>
      </w:r>
      <w:r w:rsidRPr="009D2948">
        <w:tab/>
        <w:t xml:space="preserve">ESMA ar trebui să poată impune amenzi CPC din țări terțe în cazul în care constată că acestea au încălcat, intenționat sau din neglijență, dispozițiile prezentului regulament prin faptul că au furnizat ESMA informații incorecte sau care induc în eroare. De asemenea, ESMA ar trebui să poată impune amenzi CPC de importanță sistemică în cazul în care constată că acestea au încălcat, intenționat sau din neglijență, cerințele suplimentare care li se aplică în temeiul prezentului regulament. </w:t>
      </w:r>
    </w:p>
    <w:p w:rsidR="009D2948" w:rsidRPr="009D2948" w:rsidRDefault="009D2948" w:rsidP="009D2948">
      <w:pPr>
        <w:pStyle w:val="ManualConsidrant"/>
        <w:rPr>
          <w:noProof/>
        </w:rPr>
      </w:pPr>
      <w:r w:rsidRPr="009D2948">
        <w:lastRenderedPageBreak/>
        <w:t>(38)</w:t>
      </w:r>
      <w:r w:rsidRPr="009D2948">
        <w:tab/>
        <w:t>ESMA ar trebui să poată impune penalități cu titlu cominatoriu pentru a obliga CPC din țări terțe să înceteze o încălcare, să furnizeze informații complete și corecte în urma solicitărilor ESMA sau să se supună unei investigații sau unei inspecții la fața locului.</w:t>
      </w:r>
    </w:p>
    <w:p w:rsidR="009D2948" w:rsidRPr="009D2948" w:rsidRDefault="009D2948" w:rsidP="009D2948">
      <w:pPr>
        <w:pStyle w:val="ManualConsidrant"/>
        <w:rPr>
          <w:noProof/>
        </w:rPr>
      </w:pPr>
      <w:r w:rsidRPr="009D2948">
        <w:t>(39)</w:t>
      </w:r>
      <w:r w:rsidRPr="009D2948">
        <w:tab/>
        <w:t xml:space="preserve">ESMA ar trebui să poată impune amenzi atât CPC de nivel 1, cât și CPC de nivel 2 în cazul în care constată că acestea au încălcat, intenționat sau din neglijență, dispozițiile prezentului regulament prin faptul că au furnizat ESMA informații incorecte sau care induc în eroare. De asemenea, ESMA ar trebui să poată impune amenzi CPC de nivel 2 în cazul în care constată că acestea au încălcat, intenționat sau din neglijență, cerințele suplimentare care li se aplică în temeiul prezentului regulament. </w:t>
      </w:r>
    </w:p>
    <w:p w:rsidR="009D2948" w:rsidRPr="009D2948" w:rsidRDefault="009D2948" w:rsidP="009D2948">
      <w:pPr>
        <w:pStyle w:val="ManualConsidrant"/>
        <w:rPr>
          <w:noProof/>
        </w:rPr>
      </w:pPr>
      <w:r w:rsidRPr="009D2948">
        <w:t>(40)</w:t>
      </w:r>
      <w:r w:rsidRPr="009D2948">
        <w:tab/>
        <w:t>Amenzile ar trebui impuse în funcție de gravitatea încălcărilor. Încălcările ar trebui clasificate în grupuri diferite pentru care să se stabilească amenzi specifice. Pentru a calcula amenda aferentă unei anumite încălcări, ESMA ar trebui să aplice o metodologie în două etape care să constea în stabilirea unui cuantum de bază pentru amendă și ajustarea acestuia, dacă este necesar, cu ajutorul anumitor coeficienți. Cuantumul de bază ar trebui stabilit ținând seama de cifra de afaceri anuală a respectivelor CPC din țări terțe, iar ajustările ar trebui făcute prin creșterea sau reducerea cuantumului de bază aplicând coeficienții relevanți în conformitate cu prezentul regulament.</w:t>
      </w:r>
    </w:p>
    <w:p w:rsidR="009D2948" w:rsidRPr="009D2948" w:rsidRDefault="009D2948" w:rsidP="009D2948">
      <w:pPr>
        <w:pStyle w:val="ManualConsidrant"/>
        <w:rPr>
          <w:noProof/>
        </w:rPr>
      </w:pPr>
      <w:r w:rsidRPr="009D2948">
        <w:t>(41)</w:t>
      </w:r>
      <w:r w:rsidRPr="009D2948">
        <w:tab/>
        <w:t>Prezentul regulament ar trebui să prevadă coeficienții legați de anumite circumstanțe agravante sau atenuante, astfel încât ESMA să aibă instrumentele necesare pentru a decide cu privire la aplicarea unei amenzi proporționale cu gravitatea încălcării comise de o CPC dintr-o țară terță, luând în considerare circumstanțele în care a fost comisă încălcarea.</w:t>
      </w:r>
    </w:p>
    <w:p w:rsidR="009D2948" w:rsidRPr="009D2948" w:rsidRDefault="009D2948" w:rsidP="009D2948">
      <w:pPr>
        <w:pStyle w:val="ManualConsidrant"/>
        <w:rPr>
          <w:noProof/>
        </w:rPr>
      </w:pPr>
      <w:r w:rsidRPr="009D2948">
        <w:t>(42)</w:t>
      </w:r>
      <w:r w:rsidRPr="009D2948">
        <w:tab/>
        <w:t>Decizia de a impune amenzi sau penalități cu titlu cominatoriu ar trebui să se bazeze pe o anchetă independentă.</w:t>
      </w:r>
    </w:p>
    <w:p w:rsidR="009D2948" w:rsidRPr="009D2948" w:rsidRDefault="009D2948" w:rsidP="009D2948">
      <w:pPr>
        <w:pStyle w:val="ManualConsidrant"/>
        <w:rPr>
          <w:noProof/>
        </w:rPr>
      </w:pPr>
      <w:r w:rsidRPr="009D2948">
        <w:t>(43)</w:t>
      </w:r>
      <w:r w:rsidRPr="009D2948">
        <w:tab/>
        <w:t>Înainte de luarea deciziei de a aplica amenzi sau penalități cu titlu cominatoriu, ESMA ar trebui să le acorde persoanelor care fac obiectul procedurilor posibilitatea de a fi audiate, pentru a respecta dreptul lor la apărare.</w:t>
      </w:r>
    </w:p>
    <w:p w:rsidR="009D2948" w:rsidRPr="009D2948" w:rsidRDefault="009D2948" w:rsidP="009D2948">
      <w:pPr>
        <w:pStyle w:val="ManualConsidrant"/>
      </w:pPr>
      <w:r w:rsidRPr="009D2948">
        <w:t>(44)</w:t>
      </w:r>
      <w:r w:rsidRPr="009D2948">
        <w:tab/>
        <w:t>ESMA ar trebui să nu impună amenzi sau penalități cu titlu cominatoriu în cazul în care o achitare sau o condamnare prealabilă în temeiul unor fapte identice sau al unor fapte în esență identice a dobândit autoritate de lucru judecat în urma unor proceduri penale în temeiul dreptului intern.</w:t>
      </w:r>
    </w:p>
    <w:p w:rsidR="009D2948" w:rsidRPr="009D2948" w:rsidRDefault="009D2948" w:rsidP="009D2948">
      <w:pPr>
        <w:pStyle w:val="ManualConsidrant"/>
        <w:rPr>
          <w:noProof/>
        </w:rPr>
      </w:pPr>
      <w:r w:rsidRPr="009D2948">
        <w:t>(45)</w:t>
      </w:r>
      <w:r w:rsidRPr="009D2948">
        <w:tab/>
        <w:t>Deciziile ESMA de impunere a unor amenzi și penalități cu titlu cominatoriu ar trebui fie executorii, iar executarea ar trebui să facă obiectul normelor de procedură civilă în vigoare în statul pe al cărui teritoriu se realizează. Normele de procedură civilă ar trebui să nu includă norme de procedură penală, dar ar putea include norme de procedură administrativă.</w:t>
      </w:r>
    </w:p>
    <w:p w:rsidR="009D2948" w:rsidRPr="009D2948" w:rsidRDefault="009D2948" w:rsidP="009D2948">
      <w:pPr>
        <w:pStyle w:val="ManualConsidrant"/>
        <w:rPr>
          <w:noProof/>
        </w:rPr>
      </w:pPr>
      <w:r w:rsidRPr="009D2948">
        <w:t>(46)</w:t>
      </w:r>
      <w:r w:rsidRPr="009D2948">
        <w:tab/>
        <w:t>În cazul unei încălcări comise de o CPC de nivel 2, ESMA ar trebui să fie împuternicită să ia o serie de măsuri de supraveghere, inclusiv obligarea CPC de nivel 2 să pună capăt încălcării și – în ultimă instanță – retragerea recunoașterii în cazul în care CPC de nivel 2 a încălcat în mod grav sau repetat prezentul regulament. Măsurile de supraveghere ar trebui aplicate de ESMA ținând seama de natura și de gravitatea încălcării și ar trebui să respecte principiul proporționalității. Înainte de luarea unei decizii privind măsurile de supraveghere, ESMA ar trebui să le acorde persoanelor care fac obiectul procedurilor posibilitatea de a fi audiate, pentru a respecta dreptul lor la apărare.</w:t>
      </w:r>
    </w:p>
    <w:p w:rsidR="009D2948" w:rsidRPr="009D2948" w:rsidRDefault="009D2948" w:rsidP="009D2948">
      <w:pPr>
        <w:pStyle w:val="ManualConsidrant"/>
        <w:rPr>
          <w:noProof/>
        </w:rPr>
      </w:pPr>
      <w:r w:rsidRPr="009D2948">
        <w:lastRenderedPageBreak/>
        <w:t>(47)</w:t>
      </w:r>
      <w:r w:rsidRPr="009D2948">
        <w:tab/>
        <w:t>Validarea modificărilor semnificative ale modelelor și parametrilor adoptați pentru a calcula cerințele de marjă, contribuțiile la fondul de garantare, cerințele de garanție reală și celelalte mecanisme de control al riscurilor pentru CPC ar trebui să fie aliniată la noua cerință privind acordul prealabil al ESMA în legătură cu anumite decizii ale autorității naționale competente în ceea ce privește CPC stabilite în Uniune. Pentru a simplifica procedura de validare a modelelor, cele două validări pe care autoritatea națională competentă și ESMA trebuiau să le realizeze în mod independent ar trebui înlocuite de o validare unică de către autoritatea națională competentă, supusă acordului prealabil al ESMA. De asemenea, ar trebui clarificată interacțiunea dintre această validare și decizia colegiului. Adoptarea preliminară a unei modificări semnificative a modelelor sau parametrilor ar trebui să fie posibilă atunci când acest lucru este necesar, în special atunci când modificarea rapidă a acestora este necesară pentru a asigura gestionarea corespunzătoare a riscurilor CPC.</w:t>
      </w:r>
    </w:p>
    <w:p w:rsidR="009D2948" w:rsidRPr="009D2948" w:rsidRDefault="009D2948" w:rsidP="009D2948">
      <w:pPr>
        <w:pStyle w:val="ManualConsidrant"/>
        <w:rPr>
          <w:noProof/>
        </w:rPr>
      </w:pPr>
      <w:r w:rsidRPr="009D2948">
        <w:t>(48)</w:t>
      </w:r>
      <w:r w:rsidRPr="009D2948">
        <w:tab/>
        <w:t>Competența de a adopta acte în conformitate cu articolul 290 din Tratatul privind funcționarea Uniunii Europene ar trebui să fie delegată Comisiei în ceea ce privește: precizarea în detaliu a tipurilor de taxe, a cazurilor în care se percep taxe, a valorii taxelor care trebuie achitate și a modului în care acestea trebuie plătite; indicarea condițiilor în care sunt specificate criteriile pentru a stabili dacă o CPC dintr-o țară terță este sau este probabil să devină importantă din punct de vedere sistemic pentru stabilitatea financiară a Uniunii sau a unuia ori mai multor state membre; precizarea în detaliu a criteriilor care urmează a fi folosite în evaluările sale privind echivalența țărilor terțe; specificarea modului și a condițiilor de respectare a anumitor cerințe de către CPC din țări terțe; normele suplimentare de procedură referitoare la impunerea amenzilor sau a penalităților cu titlu cominatoriu, inclusiv dispozițiile privind dreptul la apărare, termenele, colectarea amenzilor și a penalităților cu titlu cominatoriu și termenele de prescripție pentru impunerea și executarea penalităților cu titlu cominatoriu sau a amenzilor; măsurile de modificare a anexei IV pentru a ține seama de evoluțiile de pe piețele financiare.</w:t>
      </w:r>
    </w:p>
    <w:p w:rsidR="009D2948" w:rsidRPr="009D2948" w:rsidRDefault="009D2948" w:rsidP="009D2948">
      <w:pPr>
        <w:pStyle w:val="ManualConsidrant"/>
        <w:rPr>
          <w:noProof/>
        </w:rPr>
      </w:pPr>
      <w:r w:rsidRPr="009D2948">
        <w:t>(49)</w:t>
      </w:r>
      <w:r w:rsidRPr="009D2948">
        <w:tab/>
        <w:t xml:space="preserve">Pentru a asigura condiții uniforme de punere în aplicare a prezentului regulament, în special în ceea ce privește recunoașterea unor CPC din țări terțe și echivalența cadrelor juridice din țările terțe, ar trebui să se confere Comisiei competențe de executare. </w:t>
      </w:r>
    </w:p>
    <w:p w:rsidR="009D2948" w:rsidRPr="009D2948" w:rsidRDefault="009D2948" w:rsidP="009D2948">
      <w:pPr>
        <w:pStyle w:val="ManualConsidrant"/>
        <w:rPr>
          <w:noProof/>
        </w:rPr>
      </w:pPr>
      <w:r w:rsidRPr="009D2948">
        <w:t>(50)</w:t>
      </w:r>
      <w:r w:rsidRPr="009D2948">
        <w:tab/>
        <w:t>Deoarece obiectivele prezentului regulament, și anume îmbunătățirea siguranței și a eficienței CPC prin stabilirea unor cerințe uniforme privind activitățile acestora, nu pot fi realizate în mod satisfăcător de către statele membre, ci mai curând, având în vedere amploarea și efectele lor, ele pot fi realizate mai bine la nivelul Uniunii, Uniunea poate adopta măsuri în conformitate cu principiul subsidiarității, astfel cum este prevăzut la articolul 5 din Tratatul privind Uniunea Europeană. În conformitate cu principiul proporționalității, astfel cum este prevăzut la articolul menționat, prezentul regulament nu depășește ceea ce este necesar pentru realizarea acestor obiective.</w:t>
      </w:r>
    </w:p>
    <w:p w:rsidR="009D2948" w:rsidRPr="009D2948" w:rsidRDefault="009D2948" w:rsidP="009D2948">
      <w:pPr>
        <w:pStyle w:val="ManualConsidrant"/>
        <w:rPr>
          <w:noProof/>
        </w:rPr>
      </w:pPr>
      <w:r w:rsidRPr="009D2948">
        <w:t>(51)</w:t>
      </w:r>
      <w:r w:rsidRPr="009D2948">
        <w:tab/>
        <w:t>Utilizarea de către ESMA a competenței sale de a recunoaște o CPC dintr-o țară terță ca fiind de nivel 1 sau de nivel 2 ar trebui să fie amânată până la precizarea în detaliu a criteriilor care să permită să se evalueze dacă o CPC dintr-o țară terță este sau este probabil să devină importantă din punct de vedere sistemic pentru sistemul financiar al UE sau al unuia sau mai multor state membre.</w:t>
      </w:r>
    </w:p>
    <w:p w:rsidR="009D2948" w:rsidRPr="009D2948" w:rsidRDefault="009D2948" w:rsidP="009D2948">
      <w:pPr>
        <w:pStyle w:val="ManualConsidrant"/>
        <w:rPr>
          <w:noProof/>
        </w:rPr>
      </w:pPr>
      <w:r w:rsidRPr="009D2948">
        <w:t>(52)</w:t>
      </w:r>
      <w:r w:rsidRPr="009D2948">
        <w:tab/>
        <w:t>Prin urmare, Regulamentul (UE) nr. 1095/2010 și Regulamentul (UE) nr. 648/2012 ar trebui modificate în consecință,</w:t>
      </w:r>
    </w:p>
    <w:p w:rsidR="009D2948" w:rsidRPr="009D2948" w:rsidRDefault="009D2948" w:rsidP="009D2948">
      <w:pPr>
        <w:rPr>
          <w:noProof/>
        </w:rPr>
      </w:pPr>
    </w:p>
    <w:p w:rsidR="009D2948" w:rsidRPr="009D2948" w:rsidRDefault="009D2948" w:rsidP="009D2948">
      <w:pPr>
        <w:pStyle w:val="Formuledadoption"/>
        <w:rPr>
          <w:noProof/>
        </w:rPr>
      </w:pPr>
      <w:r w:rsidRPr="009D2948">
        <w:lastRenderedPageBreak/>
        <w:t>ADOPTĂ PREZENTUL REGULAMENT:</w:t>
      </w:r>
    </w:p>
    <w:p w:rsidR="009D2948" w:rsidRPr="009D2948" w:rsidRDefault="009D2948" w:rsidP="009D2948">
      <w:pPr>
        <w:pStyle w:val="Titrearticle"/>
        <w:spacing w:after="0"/>
        <w:rPr>
          <w:noProof/>
        </w:rPr>
      </w:pPr>
      <w:r w:rsidRPr="009D2948">
        <w:t>Articolul 1</w:t>
      </w:r>
    </w:p>
    <w:p w:rsidR="009D2948" w:rsidRPr="009D2948" w:rsidRDefault="009D2948" w:rsidP="009D2948">
      <w:pPr>
        <w:pStyle w:val="Titrearticle"/>
        <w:spacing w:before="120"/>
        <w:rPr>
          <w:noProof/>
        </w:rPr>
      </w:pPr>
      <w:r w:rsidRPr="009D2948">
        <w:t>Modificări aduse Regulamentului (UE) nr. 1095/2010</w:t>
      </w:r>
    </w:p>
    <w:p w:rsidR="009D2948" w:rsidRPr="009D2948" w:rsidRDefault="009D2948" w:rsidP="009D2948">
      <w:pPr>
        <w:rPr>
          <w:noProof/>
        </w:rPr>
      </w:pPr>
      <w:r w:rsidRPr="009D2948">
        <w:t>Regulamentul (UE) nr. 1095/2010 se modifică după cum urmează:</w:t>
      </w:r>
    </w:p>
    <w:p w:rsidR="009D2948" w:rsidRPr="009D2948" w:rsidRDefault="009D2948" w:rsidP="009D2948">
      <w:pPr>
        <w:pStyle w:val="ManualNumPar1"/>
        <w:rPr>
          <w:noProof/>
        </w:rPr>
      </w:pPr>
      <w:r w:rsidRPr="009D2948">
        <w:t>1.</w:t>
      </w:r>
      <w:r w:rsidRPr="009D2948">
        <w:tab/>
        <w:t>La articolul 4, se introduce următorul punct 4:</w:t>
      </w:r>
    </w:p>
    <w:p w:rsidR="009D2948" w:rsidRPr="009D2948" w:rsidRDefault="009D2948" w:rsidP="009D2948">
      <w:pPr>
        <w:pStyle w:val="Text1"/>
        <w:rPr>
          <w:noProof/>
        </w:rPr>
      </w:pPr>
      <w:r w:rsidRPr="009D2948">
        <w:t>„4. «CPC» înseamnă o CPC astfel cum este definită la articolul 2 punctul 1 din Regulamentul (UE) nr. 648/2012.”</w:t>
      </w:r>
    </w:p>
    <w:p w:rsidR="009D2948" w:rsidRPr="009D2948" w:rsidRDefault="009D2948" w:rsidP="009D2948">
      <w:pPr>
        <w:pStyle w:val="ManualNumPar1"/>
        <w:rPr>
          <w:noProof/>
        </w:rPr>
      </w:pPr>
      <w:r w:rsidRPr="009D2948">
        <w:t>2.</w:t>
      </w:r>
      <w:r w:rsidRPr="009D2948">
        <w:tab/>
        <w:t>La articolul 6, se introduce următorul punct 1a:</w:t>
      </w:r>
    </w:p>
    <w:p w:rsidR="009D2948" w:rsidRPr="009D2948" w:rsidRDefault="009D2948" w:rsidP="009D2948">
      <w:pPr>
        <w:pStyle w:val="Text1"/>
        <w:rPr>
          <w:noProof/>
        </w:rPr>
      </w:pPr>
      <w:r w:rsidRPr="009D2948">
        <w:t>„1a. un consiliu al supraveghetorilor în sesiune executivă pentru CPC (sesiunea executivă pentru CPC), care exercită atribuțiile prevăzute la articolul 44b”;</w:t>
      </w:r>
    </w:p>
    <w:p w:rsidR="009D2948" w:rsidRPr="009D2948" w:rsidRDefault="009D2948" w:rsidP="009D2948">
      <w:pPr>
        <w:pStyle w:val="ManualNumPar1"/>
        <w:rPr>
          <w:noProof/>
        </w:rPr>
      </w:pPr>
      <w:r w:rsidRPr="009D2948">
        <w:t>3.</w:t>
      </w:r>
      <w:r w:rsidRPr="009D2948">
        <w:tab/>
        <w:t>La articolul 35, alineatul (6) se înlocuiește cu următorul text:</w:t>
      </w:r>
    </w:p>
    <w:p w:rsidR="009D2948" w:rsidRPr="009D2948" w:rsidRDefault="009D2948" w:rsidP="009D2948">
      <w:pPr>
        <w:pStyle w:val="Text1"/>
        <w:rPr>
          <w:noProof/>
        </w:rPr>
      </w:pPr>
      <w:r w:rsidRPr="009D2948">
        <w:t>„(6) În cazul în care nu sunt disponibile informații complete și exacte sau acestea nu sunt puse la dispoziție în timp util în temeiul alineatului (1) sau (5), Autoritatea poate solicita informații, prin intermediul unei cereri justificate și motivate corespunzător, direct de la:</w:t>
      </w:r>
    </w:p>
    <w:p w:rsidR="009D2948" w:rsidRPr="009D2948" w:rsidRDefault="009D2948" w:rsidP="009D2948">
      <w:pPr>
        <w:pStyle w:val="Text1"/>
        <w:rPr>
          <w:noProof/>
        </w:rPr>
      </w:pPr>
      <w:r w:rsidRPr="009D2948">
        <w:t>(a) o CPC autorizată sau recunoscută în conformitate cu articolul 14 sau 25 din Regulamentul (UE) nr. 648/2012;</w:t>
      </w:r>
    </w:p>
    <w:p w:rsidR="009D2948" w:rsidRPr="009D2948" w:rsidRDefault="009D2948" w:rsidP="009D2948">
      <w:pPr>
        <w:pStyle w:val="Text1"/>
        <w:rPr>
          <w:noProof/>
        </w:rPr>
      </w:pPr>
      <w:r w:rsidRPr="009D2948">
        <w:t>(b) un depozitar central de titluri de valoare autorizat în conformitate cu Regulamentul (UE) nr. 909/2014;</w:t>
      </w:r>
    </w:p>
    <w:p w:rsidR="009D2948" w:rsidRPr="009D2948" w:rsidRDefault="009D2948" w:rsidP="009D2948">
      <w:pPr>
        <w:pStyle w:val="Text1"/>
        <w:rPr>
          <w:noProof/>
        </w:rPr>
      </w:pPr>
      <w:r w:rsidRPr="009D2948">
        <w:t>(c) o piață reglementată în conformitate cu articolul 4 alineatul (1) punctul 14 din Directiva 2004/39/CE;</w:t>
      </w:r>
    </w:p>
    <w:p w:rsidR="009D2948" w:rsidRPr="009D2948" w:rsidRDefault="009D2948" w:rsidP="009D2948">
      <w:pPr>
        <w:pStyle w:val="Text1"/>
        <w:rPr>
          <w:noProof/>
        </w:rPr>
      </w:pPr>
      <w:r w:rsidRPr="009D2948">
        <w:t>(d) un sistem multilateral de tranzacționare în conformitate cu articolul 4 alineatul (1) punctul 22 din Directiva 2014/65/UE;</w:t>
      </w:r>
    </w:p>
    <w:p w:rsidR="009D2948" w:rsidRPr="009D2948" w:rsidRDefault="009D2948" w:rsidP="009D2948">
      <w:pPr>
        <w:pStyle w:val="Text1"/>
        <w:rPr>
          <w:noProof/>
        </w:rPr>
      </w:pPr>
      <w:r w:rsidRPr="009D2948">
        <w:t>(e) un sistem organizat de tranzacționare în conformitate cu articolul 4 alineatul (1) punctul 23 din Directiva 2014/65/UE.</w:t>
      </w:r>
    </w:p>
    <w:p w:rsidR="009D2948" w:rsidRPr="009D2948" w:rsidRDefault="009D2948" w:rsidP="009D2948">
      <w:pPr>
        <w:pStyle w:val="Text1"/>
        <w:rPr>
          <w:noProof/>
        </w:rPr>
      </w:pPr>
      <w:r w:rsidRPr="009D2948">
        <w:t>Destinatarii unei astfel de solicitări furnizează Autorității cu promptitudine și fără întârzieri nejustificate informații clare, exacte și complete.</w:t>
      </w:r>
    </w:p>
    <w:p w:rsidR="009D2948" w:rsidRPr="009D2948" w:rsidRDefault="009D2948" w:rsidP="009D2948">
      <w:pPr>
        <w:pStyle w:val="Text1"/>
        <w:rPr>
          <w:noProof/>
        </w:rPr>
      </w:pPr>
      <w:r w:rsidRPr="009D2948">
        <w:t xml:space="preserve">Autoritatea informează autoritățile competente în cauză cu privire la cereri în conformitate cu prezentul alineat și cu alineatul (5). </w:t>
      </w:r>
    </w:p>
    <w:p w:rsidR="009D2948" w:rsidRPr="009D2948" w:rsidRDefault="009D2948" w:rsidP="009D2948">
      <w:pPr>
        <w:pStyle w:val="Text1"/>
        <w:rPr>
          <w:noProof/>
        </w:rPr>
      </w:pPr>
      <w:r w:rsidRPr="009D2948">
        <w:t>La solicitarea acesteia, autoritățile competente sprijină Autoritatea în procesul de colectare a informațiilor.”</w:t>
      </w:r>
    </w:p>
    <w:p w:rsidR="009D2948" w:rsidRPr="009D2948" w:rsidRDefault="009D2948" w:rsidP="009D2948">
      <w:pPr>
        <w:pStyle w:val="ManualNumPar1"/>
        <w:rPr>
          <w:noProof/>
        </w:rPr>
      </w:pPr>
      <w:r w:rsidRPr="009D2948">
        <w:t>4.</w:t>
      </w:r>
      <w:r w:rsidRPr="009D2948">
        <w:tab/>
        <w:t>La articolul 40 alineatul (1), se adaugă următoarea literă (f):</w:t>
      </w:r>
    </w:p>
    <w:p w:rsidR="009D2948" w:rsidRPr="009D2948" w:rsidRDefault="009D2948" w:rsidP="009D2948">
      <w:pPr>
        <w:pStyle w:val="Text1"/>
        <w:rPr>
          <w:noProof/>
        </w:rPr>
      </w:pPr>
      <w:r w:rsidRPr="009D2948">
        <w:t>„(f) membrii permanenți ai sesiunii executive pentru CPC, menționați la articolul 44a alineatul (1) litera (a) punctul (i), care nu au drept de vot.”</w:t>
      </w:r>
    </w:p>
    <w:p w:rsidR="009D2948" w:rsidRPr="009D2948" w:rsidRDefault="009D2948" w:rsidP="009D2948">
      <w:pPr>
        <w:pStyle w:val="ManualNumPar1"/>
        <w:rPr>
          <w:noProof/>
        </w:rPr>
      </w:pPr>
      <w:r w:rsidRPr="009D2948">
        <w:t>5.</w:t>
      </w:r>
      <w:r w:rsidRPr="009D2948">
        <w:tab/>
        <w:t>La articolul 42, primul paragraf se înlocuiește cu următorul text:</w:t>
      </w:r>
    </w:p>
    <w:p w:rsidR="009D2948" w:rsidRPr="009D2948" w:rsidRDefault="00296CBB" w:rsidP="009D2948">
      <w:pPr>
        <w:pStyle w:val="Text1"/>
        <w:rPr>
          <w:noProof/>
        </w:rPr>
      </w:pPr>
      <w:r>
        <w:t>„</w:t>
      </w:r>
      <w:r w:rsidR="009D2948" w:rsidRPr="009D2948">
        <w:t xml:space="preserve">În exercitarea atribuțiilor conferite în temeiul prezentului regulament, președintele, membrii permanenți cu drept de vot și membrii cu drept de vot specifici pentru fiecare CPC din cadrul sesiunii executive pentru CPC menționați la articolul 44a alineatul (1) litera (a) punctul (i) și membrii cu drept de vot ai consiliului supraveghetorilor acționează independent și obiectiv în interesul exclusiv al Uniunii în ansamblul său și nu solicită sau nu acceptă instrucțiuni din partea instituțiilor sau </w:t>
      </w:r>
      <w:r w:rsidR="009D2948" w:rsidRPr="009D2948">
        <w:lastRenderedPageBreak/>
        <w:t>organelor Uniunii, din partea oricărui guvern al unui stat membru sau din partea oricărei entități publice sau private.”</w:t>
      </w:r>
    </w:p>
    <w:p w:rsidR="009D2948" w:rsidRPr="009D2948" w:rsidRDefault="009D2948" w:rsidP="009D2948">
      <w:pPr>
        <w:pStyle w:val="ManualNumPar1"/>
        <w:rPr>
          <w:noProof/>
        </w:rPr>
      </w:pPr>
      <w:r w:rsidRPr="009D2948">
        <w:t>6.</w:t>
      </w:r>
      <w:r w:rsidRPr="009D2948">
        <w:tab/>
        <w:t>Articolul 43 se modifică după cum urmează:</w:t>
      </w:r>
    </w:p>
    <w:p w:rsidR="009D2948" w:rsidRPr="009D2948" w:rsidRDefault="009D2948" w:rsidP="00AF5EB7">
      <w:pPr>
        <w:pStyle w:val="Point1letter"/>
        <w:numPr>
          <w:ilvl w:val="3"/>
          <w:numId w:val="14"/>
        </w:numPr>
        <w:rPr>
          <w:noProof/>
        </w:rPr>
      </w:pPr>
      <w:r w:rsidRPr="009D2948">
        <w:t>alineatul (1) se înlocuiește cu următorul text:</w:t>
      </w:r>
    </w:p>
    <w:p w:rsidR="009D2948" w:rsidRPr="009D2948" w:rsidRDefault="009D2948" w:rsidP="009D2948">
      <w:pPr>
        <w:pStyle w:val="Text2"/>
        <w:rPr>
          <w:noProof/>
        </w:rPr>
      </w:pPr>
      <w:r w:rsidRPr="009D2948">
        <w:t>„1. Consiliul supraveghetorilor oferă consiliere pentru activitatea Autorității. Acesta este responsabil pentru sarcinile menționate în capitolul II, cu excepția celor pentru care este responsabilă sesiunea executivă pentru CPC în temeiul articolului 44b alineatul (1).”</w:t>
      </w:r>
    </w:p>
    <w:p w:rsidR="009D2948" w:rsidRPr="009D2948" w:rsidRDefault="009D2948" w:rsidP="00AF5EB7">
      <w:pPr>
        <w:pStyle w:val="Point1letter"/>
        <w:numPr>
          <w:ilvl w:val="3"/>
          <w:numId w:val="15"/>
        </w:numPr>
        <w:rPr>
          <w:noProof/>
        </w:rPr>
      </w:pPr>
      <w:r w:rsidRPr="009D2948">
        <w:t>alineatul (8) se înlocuiește cu următorul text:</w:t>
      </w:r>
    </w:p>
    <w:p w:rsidR="009D2948" w:rsidRPr="009D2948" w:rsidRDefault="009D2948" w:rsidP="009D2948">
      <w:pPr>
        <w:pStyle w:val="Text2"/>
        <w:rPr>
          <w:noProof/>
          <w:spacing w:val="-4"/>
        </w:rPr>
      </w:pPr>
      <w:r w:rsidRPr="009D2948">
        <w:rPr>
          <w:spacing w:val="-4"/>
        </w:rPr>
        <w:t>„(8) Consiliul supraveghetorilor își exercită funcția de autoritate disciplinară în raport cu președintele și poate să îl revoce pe acesta în conformitate cu articolul 48 alineatul (5). Consiliul supraveghetorilor, în acord cu sesiunea executivă pentru CPC, își exercită funcția de autoritate disciplinară în raport cu directorul executiv și poate să îl revoce pe acesta în conformitate cu articolul 51 alineatul (5).”</w:t>
      </w:r>
    </w:p>
    <w:p w:rsidR="009D2948" w:rsidRPr="009D2948" w:rsidRDefault="009D2948" w:rsidP="009D2948">
      <w:pPr>
        <w:pStyle w:val="ManualNumPar1"/>
        <w:rPr>
          <w:noProof/>
        </w:rPr>
      </w:pPr>
      <w:r w:rsidRPr="009D2948">
        <w:t>7.</w:t>
      </w:r>
      <w:r w:rsidRPr="009D2948">
        <w:tab/>
        <w:t>În capitolul III, se introduce următoarea secțiune 1A:</w:t>
      </w:r>
    </w:p>
    <w:p w:rsidR="009D2948" w:rsidRPr="009D2948" w:rsidRDefault="009D2948" w:rsidP="009D2948">
      <w:pPr>
        <w:pStyle w:val="Text1"/>
        <w:rPr>
          <w:b/>
          <w:noProof/>
        </w:rPr>
      </w:pPr>
      <w:r w:rsidRPr="009D2948">
        <w:rPr>
          <w:b/>
        </w:rPr>
        <w:t>„Secțiunea 1A Sesiunea executivă pentru CPC</w:t>
      </w:r>
    </w:p>
    <w:p w:rsidR="009D2948" w:rsidRPr="009D2948" w:rsidRDefault="009D2948" w:rsidP="009D2948">
      <w:pPr>
        <w:pStyle w:val="Text1"/>
        <w:jc w:val="center"/>
        <w:rPr>
          <w:b/>
          <w:noProof/>
        </w:rPr>
      </w:pPr>
      <w:r w:rsidRPr="009D2948">
        <w:rPr>
          <w:b/>
          <w:noProof/>
        </w:rPr>
        <w:t>Articolul 44a</w:t>
      </w:r>
    </w:p>
    <w:p w:rsidR="009D2948" w:rsidRPr="009D2948" w:rsidRDefault="009D2948" w:rsidP="009D2948">
      <w:pPr>
        <w:pStyle w:val="Text1"/>
        <w:jc w:val="center"/>
        <w:rPr>
          <w:b/>
          <w:noProof/>
        </w:rPr>
      </w:pPr>
      <w:r w:rsidRPr="009D2948">
        <w:rPr>
          <w:b/>
          <w:noProof/>
        </w:rPr>
        <w:t>Componența</w:t>
      </w:r>
    </w:p>
    <w:p w:rsidR="009D2948" w:rsidRPr="009D2948" w:rsidRDefault="009D2948" w:rsidP="009D2948">
      <w:pPr>
        <w:pStyle w:val="Text1"/>
        <w:jc w:val="left"/>
        <w:rPr>
          <w:noProof/>
        </w:rPr>
      </w:pPr>
      <w:r w:rsidRPr="009D2948">
        <w:t>1. Sesiunea executivă pentru CPC este alcătuită din:</w:t>
      </w:r>
    </w:p>
    <w:p w:rsidR="009D2948" w:rsidRPr="009D2948" w:rsidRDefault="009D2948" w:rsidP="009D2948">
      <w:pPr>
        <w:pStyle w:val="Text1"/>
        <w:jc w:val="left"/>
        <w:rPr>
          <w:noProof/>
        </w:rPr>
      </w:pPr>
      <w:r w:rsidRPr="009D2948">
        <w:t>(a) următorii membri permanenți:</w:t>
      </w:r>
    </w:p>
    <w:p w:rsidR="009D2948" w:rsidRPr="009D2948" w:rsidRDefault="009D2948" w:rsidP="009D2948">
      <w:pPr>
        <w:pStyle w:val="Text2"/>
        <w:rPr>
          <w:noProof/>
        </w:rPr>
      </w:pPr>
      <w:r w:rsidRPr="009D2948">
        <w:t>(i) șeful și doi directori, numiți în conformitate cu articolul 48a, cu drept de vot;</w:t>
      </w:r>
    </w:p>
    <w:p w:rsidR="009D2948" w:rsidRPr="009D2948" w:rsidRDefault="009D2948" w:rsidP="009D2948">
      <w:pPr>
        <w:pStyle w:val="Text2"/>
        <w:rPr>
          <w:noProof/>
        </w:rPr>
      </w:pPr>
      <w:r w:rsidRPr="009D2948">
        <w:t>(ii) un reprezentant al BCE, fără drept de vot;</w:t>
      </w:r>
    </w:p>
    <w:p w:rsidR="009D2948" w:rsidRPr="009D2948" w:rsidRDefault="009D2948" w:rsidP="009D2948">
      <w:pPr>
        <w:pStyle w:val="Text2"/>
        <w:rPr>
          <w:noProof/>
        </w:rPr>
      </w:pPr>
      <w:r w:rsidRPr="009D2948">
        <w:t>(iii) un reprezentant al Comisiei, fără drept de vot;</w:t>
      </w:r>
    </w:p>
    <w:p w:rsidR="009D2948" w:rsidRPr="009D2948" w:rsidRDefault="009D2948" w:rsidP="009D2948">
      <w:pPr>
        <w:pStyle w:val="Text1"/>
        <w:jc w:val="left"/>
        <w:rPr>
          <w:noProof/>
        </w:rPr>
      </w:pPr>
      <w:r w:rsidRPr="009D2948">
        <w:t>(b) următorii membri nepermanenți specifici pentru fiecare CPC:</w:t>
      </w:r>
    </w:p>
    <w:p w:rsidR="009D2948" w:rsidRPr="009D2948" w:rsidRDefault="009D2948" w:rsidP="009D2948">
      <w:pPr>
        <w:pStyle w:val="Text2"/>
        <w:rPr>
          <w:noProof/>
        </w:rPr>
      </w:pPr>
      <w:r w:rsidRPr="009D2948">
        <w:t>(i) un reprezentant al autorității competente pentru fiecare CPC stabilită în Uniune în legătură cu care este convocată sesiunea executivă pentru CPC, cu drept de vot;</w:t>
      </w:r>
    </w:p>
    <w:p w:rsidR="009D2948" w:rsidRPr="009D2948" w:rsidRDefault="009D2948" w:rsidP="009D2948">
      <w:pPr>
        <w:pStyle w:val="Text2"/>
        <w:rPr>
          <w:noProof/>
        </w:rPr>
      </w:pPr>
      <w:r w:rsidRPr="009D2948">
        <w:t>(ii) un reprezentant al fiecărei bănci centrale emitente relevante menționate la articolul 18 alineatul (2) litera (h) din Regulamentul (UE) nr. 648/2012 pentru fiecare CPC stabilită în Uniune în legătură cu care este convocată sesiunea executivă pentru CPC, care nu are drept de vot.</w:t>
      </w:r>
    </w:p>
    <w:p w:rsidR="009D2948" w:rsidRPr="009D2948" w:rsidRDefault="009D2948" w:rsidP="009D2948">
      <w:pPr>
        <w:pStyle w:val="Text1"/>
        <w:rPr>
          <w:noProof/>
        </w:rPr>
      </w:pPr>
      <w:r w:rsidRPr="009D2948">
        <w:t>Șeful sesiunii executive pentru CPC poate invita, după caz și dacă este necesar, ca observatori la reuniunile sesiunii executive pentru CPC:</w:t>
      </w:r>
    </w:p>
    <w:p w:rsidR="009D2948" w:rsidRPr="009D2948" w:rsidRDefault="009D2948" w:rsidP="009D2948">
      <w:pPr>
        <w:pStyle w:val="Text1"/>
        <w:rPr>
          <w:noProof/>
        </w:rPr>
      </w:pPr>
      <w:r w:rsidRPr="009D2948">
        <w:t>(a) alți membri menționați la articolul 18 alineatul (2) din Regulamentul (UE) nr. 648/2012 ai colegiului CPC în cauză;</w:t>
      </w:r>
    </w:p>
    <w:p w:rsidR="009D2948" w:rsidRPr="009D2948" w:rsidRDefault="009D2948" w:rsidP="009D2948">
      <w:pPr>
        <w:pStyle w:val="Text1"/>
        <w:rPr>
          <w:noProof/>
        </w:rPr>
      </w:pPr>
      <w:r w:rsidRPr="009D2948">
        <w:t>(b) autoritățile CPC din țări terțe recunoscute de ESMA în temeiul articolului 25 din Regulamentul (UE) nr. 648/2012.</w:t>
      </w:r>
    </w:p>
    <w:p w:rsidR="009D2948" w:rsidRPr="009D2948" w:rsidRDefault="009D2948" w:rsidP="009D2948">
      <w:pPr>
        <w:pStyle w:val="Text1"/>
        <w:rPr>
          <w:noProof/>
        </w:rPr>
      </w:pPr>
      <w:r w:rsidRPr="009D2948">
        <w:t>Reuniunile sesiunii executive pentru CPC sunt convocate de șeful acesteia, din proprie inițiativă sau la cererea oricăruia dintre membri.</w:t>
      </w:r>
    </w:p>
    <w:p w:rsidR="009D2948" w:rsidRPr="009D2948" w:rsidRDefault="009D2948" w:rsidP="009D2948">
      <w:pPr>
        <w:pStyle w:val="Text1"/>
        <w:jc w:val="left"/>
        <w:rPr>
          <w:noProof/>
        </w:rPr>
      </w:pPr>
      <w:r w:rsidRPr="009D2948">
        <w:lastRenderedPageBreak/>
        <w:t>Dacă o sarcină a sesiunii executive pentru CPC nu se referă la o CPC specifică din Uniune, participă doar membrii permanenți menționați la litera (a) și, dacă este cazul, băncile centrale emitente menționate la litera (b) punctul (ii).</w:t>
      </w:r>
    </w:p>
    <w:p w:rsidR="009D2948" w:rsidRPr="009D2948" w:rsidRDefault="009D2948" w:rsidP="009D2948">
      <w:pPr>
        <w:pStyle w:val="Text1"/>
        <w:jc w:val="center"/>
        <w:rPr>
          <w:b/>
          <w:noProof/>
        </w:rPr>
      </w:pPr>
      <w:r w:rsidRPr="009D2948">
        <w:rPr>
          <w:b/>
          <w:noProof/>
        </w:rPr>
        <w:t>Articolul 44b</w:t>
      </w:r>
    </w:p>
    <w:p w:rsidR="009D2948" w:rsidRPr="009D2948" w:rsidRDefault="009D2948" w:rsidP="009D2948">
      <w:pPr>
        <w:pStyle w:val="Text1"/>
        <w:jc w:val="center"/>
        <w:rPr>
          <w:b/>
          <w:noProof/>
        </w:rPr>
      </w:pPr>
      <w:r w:rsidRPr="009D2948">
        <w:rPr>
          <w:b/>
          <w:noProof/>
        </w:rPr>
        <w:t>Sarcini și competențe ale sesiunii executive pentru CPC</w:t>
      </w:r>
    </w:p>
    <w:p w:rsidR="009D2948" w:rsidRPr="009D2948" w:rsidRDefault="009D2948" w:rsidP="009D2948">
      <w:pPr>
        <w:pStyle w:val="Text1"/>
        <w:rPr>
          <w:noProof/>
        </w:rPr>
      </w:pPr>
      <w:r w:rsidRPr="009D2948">
        <w:t>1. Sesiunea executivă pentru CPC este responsabilă de:</w:t>
      </w:r>
    </w:p>
    <w:p w:rsidR="009D2948" w:rsidRPr="00D515CF" w:rsidRDefault="00066112" w:rsidP="00D515CF">
      <w:pPr>
        <w:rPr>
          <w:b/>
        </w:rPr>
      </w:pPr>
      <w:r w:rsidRPr="00D515CF">
        <w:rPr>
          <w:b/>
        </w:rPr>
        <w:t>„</w:t>
      </w:r>
      <w:r w:rsidR="009D2948" w:rsidRPr="00D515CF">
        <w:rPr>
          <w:b/>
        </w:rPr>
        <w:t>(</w:t>
      </w:r>
      <w:r w:rsidRPr="00D515CF">
        <w:rPr>
          <w:b/>
        </w:rPr>
        <w:t>-</w:t>
      </w:r>
      <w:r w:rsidR="009D2948" w:rsidRPr="00D515CF">
        <w:rPr>
          <w:b/>
        </w:rPr>
        <w:t>a) luarea de decizii și întreprinderea de acțiuni în chestiuni privind CPC care au legătură cu articolele 17, 19, 29, 29a și 30 din prezentul regulament;</w:t>
      </w:r>
      <w:r w:rsidRPr="00D515CF">
        <w:rPr>
          <w:b/>
        </w:rPr>
        <w:t>”.</w:t>
      </w:r>
    </w:p>
    <w:p w:rsidR="009D2948" w:rsidRPr="009D2948" w:rsidRDefault="009D2948" w:rsidP="009D2948">
      <w:pPr>
        <w:pStyle w:val="Text1"/>
        <w:rPr>
          <w:noProof/>
        </w:rPr>
      </w:pPr>
      <w:r w:rsidRPr="009D2948">
        <w:t>(</w:t>
      </w:r>
      <w:r w:rsidR="00066112">
        <w:t>a</w:t>
      </w:r>
      <w:r w:rsidRPr="009D2948">
        <w:t xml:space="preserve">) acordarea aprobării menționate la articolul 21a alineatul (1) din Regulamentul (UE) nr. 648/2012; </w:t>
      </w:r>
    </w:p>
    <w:p w:rsidR="009D2948" w:rsidRPr="009D2948" w:rsidRDefault="009D2948" w:rsidP="009D2948">
      <w:pPr>
        <w:pStyle w:val="Text1"/>
        <w:rPr>
          <w:noProof/>
        </w:rPr>
      </w:pPr>
      <w:r w:rsidRPr="009D2948">
        <w:t>(</w:t>
      </w:r>
      <w:r w:rsidR="00066112">
        <w:t>b</w:t>
      </w:r>
      <w:r w:rsidRPr="009D2948">
        <w:t>) recunoașterea și supravegherea CPC din țări terțe în conformitate cu articolul 25 din Regulamentul (UE) nr. 648/2012, monitorizarea evoluțiilor în materie de reglementare și supraveghere din țările terțe în temeiul titlului II capitolul 2 din Regulamentul (UE) nr. 648/2012 și</w:t>
      </w:r>
    </w:p>
    <w:p w:rsidR="009D2948" w:rsidRPr="009D2948" w:rsidRDefault="009D2948" w:rsidP="009D2948">
      <w:pPr>
        <w:pStyle w:val="Text1"/>
        <w:rPr>
          <w:noProof/>
        </w:rPr>
      </w:pPr>
      <w:r w:rsidRPr="009D2948">
        <w:t>(</w:t>
      </w:r>
      <w:r w:rsidR="00066112">
        <w:t>c</w:t>
      </w:r>
      <w:r w:rsidRPr="009D2948">
        <w:t>) sarcinile menționate la articolul 5 alineatul (1) primul paragraf, articolul 9 alineatul (3) primul paragraf, articolul 9 alineatul (4), articolul 17 alineatul (2), articolul 17 alineatul (3), articolul 18 alineatul (1), articolul 20 alineatul (2), articolul 20 alineatul (6), articolul 21c, articolul 23, articolul 24, articolul 29 alineatul (3), articolul 38 alineatul (5), articolul 48 alineatul (3), articolul 49 alineatul (1) și articolul 54 alineatul (3) din Regulamentul (UE) nr. 648/2012.</w:t>
      </w:r>
    </w:p>
    <w:p w:rsidR="009D2948" w:rsidRPr="009D2948" w:rsidRDefault="009D2948" w:rsidP="009D2948">
      <w:pPr>
        <w:pStyle w:val="Text1"/>
        <w:rPr>
          <w:noProof/>
        </w:rPr>
      </w:pPr>
      <w:r w:rsidRPr="009D2948">
        <w:t>2. Sesiunea executivă pentru CPC trebuie să dispună de personal propriu și de resurse adecvate furnizate de ESMA pentru a-și îndeplini sarcinile.</w:t>
      </w:r>
    </w:p>
    <w:p w:rsidR="009D2948" w:rsidRPr="009D2948" w:rsidRDefault="009D2948" w:rsidP="009D2948">
      <w:pPr>
        <w:pStyle w:val="Text1"/>
        <w:rPr>
          <w:noProof/>
        </w:rPr>
      </w:pPr>
      <w:r w:rsidRPr="009D2948">
        <w:t>3. Sesiunea executivă pentru CPC informează consiliul supraveghetorilor cu privire la deciziile sale.</w:t>
      </w:r>
    </w:p>
    <w:p w:rsidR="009D2948" w:rsidRPr="009D2948" w:rsidRDefault="009D2948" w:rsidP="009D2948">
      <w:pPr>
        <w:pStyle w:val="Text1"/>
        <w:jc w:val="center"/>
        <w:rPr>
          <w:b/>
          <w:noProof/>
        </w:rPr>
      </w:pPr>
      <w:r w:rsidRPr="009D2948">
        <w:rPr>
          <w:b/>
          <w:noProof/>
        </w:rPr>
        <w:t>Articolul 44c</w:t>
      </w:r>
    </w:p>
    <w:p w:rsidR="009D2948" w:rsidRPr="009D2948" w:rsidRDefault="009D2948" w:rsidP="009D2948">
      <w:pPr>
        <w:pStyle w:val="Text1"/>
        <w:jc w:val="center"/>
        <w:rPr>
          <w:b/>
          <w:noProof/>
        </w:rPr>
      </w:pPr>
      <w:r w:rsidRPr="009D2948">
        <w:rPr>
          <w:b/>
          <w:noProof/>
        </w:rPr>
        <w:t>Luarea deciziilor</w:t>
      </w:r>
    </w:p>
    <w:p w:rsidR="009D2948" w:rsidRPr="009D2948" w:rsidRDefault="009D2948" w:rsidP="009D2948">
      <w:pPr>
        <w:pStyle w:val="Text1"/>
        <w:rPr>
          <w:noProof/>
        </w:rPr>
      </w:pPr>
      <w:r w:rsidRPr="009D2948">
        <w:t>Sesiunea executivă pentru CPC adoptă decizii cu majoritatea simplă a membrilor săi. Președintele are votul decisiv.”</w:t>
      </w:r>
    </w:p>
    <w:p w:rsidR="009D2948" w:rsidRPr="009D2948" w:rsidRDefault="009D2948" w:rsidP="009D2948">
      <w:pPr>
        <w:pStyle w:val="ManualNumPar1"/>
        <w:rPr>
          <w:noProof/>
        </w:rPr>
      </w:pPr>
      <w:r w:rsidRPr="009D2948">
        <w:t>8.</w:t>
      </w:r>
      <w:r w:rsidRPr="009D2948">
        <w:tab/>
        <w:t>Titlul secțiunii 3 din capitolul III se înlocuiește cu următorul titlu:</w:t>
      </w:r>
    </w:p>
    <w:p w:rsidR="009D2948" w:rsidRPr="009D2948" w:rsidRDefault="009D2948" w:rsidP="009D2948">
      <w:pPr>
        <w:pStyle w:val="Text1"/>
        <w:rPr>
          <w:noProof/>
        </w:rPr>
      </w:pPr>
      <w:r w:rsidRPr="009D2948">
        <w:t>„Președintele, șeful și directorii”</w:t>
      </w:r>
    </w:p>
    <w:p w:rsidR="009D2948" w:rsidRPr="009D2948" w:rsidRDefault="009D2948" w:rsidP="009D2948">
      <w:pPr>
        <w:pStyle w:val="ManualNumPar1"/>
        <w:rPr>
          <w:noProof/>
        </w:rPr>
      </w:pPr>
      <w:r w:rsidRPr="009D2948">
        <w:t>9.</w:t>
      </w:r>
      <w:r w:rsidRPr="009D2948">
        <w:tab/>
        <w:t>Se introduce următorul articol 48a:</w:t>
      </w:r>
    </w:p>
    <w:p w:rsidR="009D2948" w:rsidRPr="009D2948" w:rsidRDefault="009D2948" w:rsidP="009D2948">
      <w:pPr>
        <w:pStyle w:val="Text1"/>
        <w:jc w:val="center"/>
        <w:rPr>
          <w:b/>
          <w:noProof/>
        </w:rPr>
      </w:pPr>
      <w:r w:rsidRPr="009D2948">
        <w:rPr>
          <w:b/>
          <w:noProof/>
        </w:rPr>
        <w:t>„Articolul 48a</w:t>
      </w:r>
    </w:p>
    <w:p w:rsidR="009D2948" w:rsidRPr="009D2948" w:rsidRDefault="009D2948" w:rsidP="009D2948">
      <w:pPr>
        <w:pStyle w:val="Text1"/>
        <w:jc w:val="center"/>
        <w:rPr>
          <w:b/>
          <w:noProof/>
        </w:rPr>
      </w:pPr>
      <w:r w:rsidRPr="009D2948">
        <w:rPr>
          <w:b/>
          <w:noProof/>
        </w:rPr>
        <w:t>Numirea și sarcinile șefului și ale directorilor sesiunii executive pentru CPC</w:t>
      </w:r>
    </w:p>
    <w:p w:rsidR="009D2948" w:rsidRPr="009D2948" w:rsidRDefault="009D2948" w:rsidP="009D2948">
      <w:pPr>
        <w:pStyle w:val="Text1"/>
        <w:rPr>
          <w:noProof/>
        </w:rPr>
      </w:pPr>
      <w:r w:rsidRPr="009D2948">
        <w:t>1. Prin derogare de la articolul 48 alineatul (1), Autoritatea este reprezentată de șeful sesiunii executive pentru CPC în ceea ce privește sarcinile și competențele menționate la articolul 44b alineatul (1).</w:t>
      </w:r>
    </w:p>
    <w:p w:rsidR="009D2948" w:rsidRPr="009D2948" w:rsidRDefault="009D2948" w:rsidP="009D2948">
      <w:pPr>
        <w:pStyle w:val="Text1"/>
        <w:rPr>
          <w:noProof/>
        </w:rPr>
      </w:pPr>
      <w:r w:rsidRPr="009D2948">
        <w:t xml:space="preserve">Șeful sesiunii executive pentru CPC este responsabil cu pregătirea lucrărilor sesiunii executive pentru CPC și prezidează reuniunile acesteia. </w:t>
      </w:r>
    </w:p>
    <w:p w:rsidR="009D2948" w:rsidRPr="009D2948" w:rsidRDefault="009D2948" w:rsidP="009D2948">
      <w:pPr>
        <w:pStyle w:val="Text1"/>
        <w:rPr>
          <w:noProof/>
        </w:rPr>
      </w:pPr>
      <w:r w:rsidRPr="009D2948">
        <w:t xml:space="preserve">2. Șeful sesiunii executive pentru CPC și directorii menționați la articolul 44a alineatul (1) litera (a) punctul (i) sunt profesioniști independenți, angajați cu normă întreagă. Aceștia sunt numiți pe baza meritelor, a competențelor și a cunoștințelor privind compensarea, post-tranzacționarea și aspectele financiare, precum și a </w:t>
      </w:r>
      <w:r w:rsidRPr="009D2948">
        <w:lastRenderedPageBreak/>
        <w:t>experienței relevante pentru supravegherea și reglementarea CPC. Aceștia sunt selectați în urma unei proceduri de selecție deschise, organizate de Comisie, care respectă principiile echilibrului de gen, experienței și calificării.</w:t>
      </w:r>
    </w:p>
    <w:p w:rsidR="009D2948" w:rsidRPr="009D2948" w:rsidRDefault="009D2948" w:rsidP="009D2948">
      <w:pPr>
        <w:pStyle w:val="Text1"/>
        <w:rPr>
          <w:noProof/>
        </w:rPr>
      </w:pPr>
      <w:r w:rsidRPr="009D2948">
        <w:t>3. Mandatul șefului sesiunii executive pentru CPC și al directorilor menționați la articolul 44a alineatul (1) litera (a) punctul (i) este de cinci ani și poate fi reînnoit o dată.</w:t>
      </w:r>
    </w:p>
    <w:p w:rsidR="009D2948" w:rsidRPr="009D2948" w:rsidRDefault="009D2948" w:rsidP="009D2948">
      <w:pPr>
        <w:pStyle w:val="Text1"/>
        <w:rPr>
          <w:noProof/>
        </w:rPr>
      </w:pPr>
      <w:r w:rsidRPr="009D2948">
        <w:t>Șeful sesiunii executive pentru CPC și directorii menționați la articolul 44a alineatul (1) litera (a) punctul (i) nu exercită nicio funcție la nivel național, al Uniunii sau internațional.</w:t>
      </w:r>
    </w:p>
    <w:p w:rsidR="009D2948" w:rsidRPr="009D2948" w:rsidRDefault="009D2948" w:rsidP="009D2948">
      <w:pPr>
        <w:pStyle w:val="Text1"/>
        <w:rPr>
          <w:noProof/>
        </w:rPr>
      </w:pPr>
      <w:r w:rsidRPr="009D2948">
        <w:t>4. Comisia prezintă Parlamentului European o listă restrânsă de candidați pentru posturile de șef și de directori menționate la articolul 44a alineatul (1) litera (a) punctul (i) și informează Consiliul cu privire la această listă restrânsă.</w:t>
      </w:r>
    </w:p>
    <w:p w:rsidR="009D2948" w:rsidRPr="009D2948" w:rsidRDefault="009D2948" w:rsidP="009D2948">
      <w:pPr>
        <w:pStyle w:val="Text1"/>
        <w:rPr>
          <w:noProof/>
        </w:rPr>
      </w:pPr>
      <w:r w:rsidRPr="009D2948">
        <w:t>Comisia prezintă Parlamentului European spre aprobare o propunere pentru numirea șefului și a directorilor sesiunii executive pentru CPC menționați la articolul 44a alineatul (1) litera (a) punctul (i). După aprobarea propunerii, Consiliul adoptă o decizie de punere în aplicare privind numirea șefului sesiunii executive pentru CPC și a directorilor menționați la articolul 44a alineatul (1) litera (a) punctul (i). Consiliul hotărăște cu majoritate calificată.</w:t>
      </w:r>
    </w:p>
    <w:p w:rsidR="009D2948" w:rsidRPr="009D2948" w:rsidRDefault="009D2948" w:rsidP="009D2948">
      <w:pPr>
        <w:pStyle w:val="Text1"/>
        <w:rPr>
          <w:noProof/>
        </w:rPr>
      </w:pPr>
      <w:r w:rsidRPr="009D2948">
        <w:t>5. În cazul în care șeful sau directorii sesiunii executive pentru CPC menționați la articolul 44a alineatul (1) litera (a) punctul (i) nu mai îndeplinesc condițiile necesare pentru exercitarea atribuțiilor lor, astfel cum sunt menționate la alineatul (2), sau se constată că au comis o abatere gravă, Consiliul poate, pe baza unei propuneri din partea Comisiei aprobată de Parlamentul European, să adopte o decizie de punere în aplicare pentru demiterea din funcție. Consiliul hotărăște cu majoritate calificată.</w:t>
      </w:r>
    </w:p>
    <w:p w:rsidR="009D2948" w:rsidRPr="009D2948" w:rsidRDefault="009D2948" w:rsidP="009D2948">
      <w:pPr>
        <w:pStyle w:val="Text1"/>
        <w:rPr>
          <w:noProof/>
        </w:rPr>
      </w:pPr>
      <w:r w:rsidRPr="009D2948">
        <w:t>Parlamentul European sau Consiliul pot informa Comisia cu privire la faptul că, în opinia lor, sunt îndeplinite condițiile pentru demiterea din funcție a șefului sau a directorilor sesiunii executive pentru CPC menționați la articolul 44a alineatul (1) litera (a) punctul (i), iar Comisia răspunde la această informare.”</w:t>
      </w:r>
    </w:p>
    <w:p w:rsidR="009D2948" w:rsidRPr="009D2948" w:rsidRDefault="009D2948" w:rsidP="009D2948">
      <w:pPr>
        <w:pStyle w:val="ManualNumPar1"/>
        <w:rPr>
          <w:noProof/>
        </w:rPr>
      </w:pPr>
      <w:r w:rsidRPr="009D2948">
        <w:t>10.</w:t>
      </w:r>
      <w:r w:rsidRPr="009D2948">
        <w:tab/>
        <w:t>Articolul 49 se înlocuiește cu următorul text:</w:t>
      </w:r>
    </w:p>
    <w:p w:rsidR="009D2948" w:rsidRPr="009D2948" w:rsidRDefault="009D2948" w:rsidP="009D2948">
      <w:pPr>
        <w:pStyle w:val="Text1"/>
        <w:jc w:val="center"/>
        <w:rPr>
          <w:b/>
          <w:noProof/>
        </w:rPr>
      </w:pPr>
    </w:p>
    <w:p w:rsidR="009D2948" w:rsidRPr="009D2948" w:rsidRDefault="009D2948" w:rsidP="009D2948">
      <w:pPr>
        <w:pStyle w:val="Text1"/>
        <w:rPr>
          <w:noProof/>
        </w:rPr>
      </w:pPr>
      <w:r w:rsidRPr="009D2948">
        <w:t>„Fără a aduce atingere rolului consiliului supraveghetorilor, în ceea ce privește atribuțiile șefului sesiunii executive pentru CPC și ale directorilor menționați la articolul 44a alineatul (1) litera (a) punctul (i), precum și ale președintelui, aceștia nu pot nici solicita, nici accepta instrucțiuni din partea instituțiilor sau organismelor Uniunii, din partea oricărui guvern al unui stat membru sau din partea oricărui alt organism public sau privat.</w:t>
      </w:r>
    </w:p>
    <w:p w:rsidR="009D2948" w:rsidRPr="009D2948" w:rsidRDefault="009D2948" w:rsidP="009D2948">
      <w:pPr>
        <w:pStyle w:val="Text1"/>
        <w:rPr>
          <w:noProof/>
        </w:rPr>
      </w:pPr>
      <w:r w:rsidRPr="009D2948">
        <w:t>Nici statele membre, nici instituțiile sau organismele Uniunii și niciun alt organism public sau privat nu poate încerca să influențeze șeful sesiunii executive pentru CPC și directorii menționați la articolul 44a alineatul (1) litera (a) punctul (i) sau președintele în îndeplinirea atribuțiilor acestora.</w:t>
      </w:r>
    </w:p>
    <w:p w:rsidR="009D2948" w:rsidRPr="009D2948" w:rsidRDefault="009D2948" w:rsidP="009D2948">
      <w:pPr>
        <w:pStyle w:val="Text1"/>
        <w:rPr>
          <w:noProof/>
        </w:rPr>
      </w:pPr>
      <w:r w:rsidRPr="009D2948">
        <w:t>În conformitate cu statutul funcționarilor menționat la articolul 68, președintele, șeful sesiunii executive pentru CPC și directorii menționați la articolul 44a alineatul (1) litera (a) punctul (i), după părăsirea funcției, trebuie să respecte în continuare obligația de a manifesta integritate și discreție în ceea ce privește acceptarea anumitor funcții sau beneficii.”</w:t>
      </w:r>
    </w:p>
    <w:p w:rsidR="009D2948" w:rsidRPr="009D2948" w:rsidRDefault="009D2948" w:rsidP="009D2948">
      <w:pPr>
        <w:pStyle w:val="ManualNumPar1"/>
        <w:rPr>
          <w:noProof/>
        </w:rPr>
      </w:pPr>
      <w:r w:rsidRPr="009D2948">
        <w:lastRenderedPageBreak/>
        <w:t>11.</w:t>
      </w:r>
      <w:r w:rsidRPr="009D2948">
        <w:tab/>
        <w:t>Articolul 50 se înlocuiește cu următorul text:</w:t>
      </w:r>
    </w:p>
    <w:p w:rsidR="009D2948" w:rsidRPr="009D2948" w:rsidRDefault="009D2948" w:rsidP="009D2948">
      <w:pPr>
        <w:pStyle w:val="Text1"/>
        <w:jc w:val="center"/>
        <w:rPr>
          <w:b/>
          <w:noProof/>
        </w:rPr>
      </w:pPr>
    </w:p>
    <w:p w:rsidR="009D2948" w:rsidRPr="009D2948" w:rsidRDefault="009D2948" w:rsidP="009D2948">
      <w:pPr>
        <w:pStyle w:val="Text1"/>
        <w:rPr>
          <w:noProof/>
        </w:rPr>
      </w:pPr>
      <w:r w:rsidRPr="009D2948">
        <w:t>„1. Parlamentul European sau Consiliul pot invita președintele sau supleantul acestuia ori șeful sesiunii executive pentru CPC, respectând pe deplin independența acestora, să facă o declarație. Președintele sau șeful face o declarație în fața Parlamentului European și răspunde la toate întrebările adresate de membrii acestuia, ori de câte ori i se solicită acest lucru.</w:t>
      </w:r>
    </w:p>
    <w:p w:rsidR="009D2948" w:rsidRPr="009D2948" w:rsidRDefault="009D2948" w:rsidP="009D2948">
      <w:pPr>
        <w:pStyle w:val="Text1"/>
        <w:rPr>
          <w:noProof/>
        </w:rPr>
      </w:pPr>
      <w:r w:rsidRPr="009D2948">
        <w:t>2. Președintele sau șeful sesiunii executive pentru CPC prezintă Parlamentului European, la cerere și cu cel puțin 15 zile înainte de declarația menționată la alineatul (1), un raport scris privind principalele activități ale consiliului supraveghetorilor și, respectiv, ale sesiunii executive pentru CPC.</w:t>
      </w:r>
    </w:p>
    <w:p w:rsidR="009D2948" w:rsidRPr="009D2948" w:rsidRDefault="009D2948" w:rsidP="009D2948">
      <w:pPr>
        <w:pStyle w:val="Text1"/>
        <w:rPr>
          <w:noProof/>
        </w:rPr>
      </w:pPr>
      <w:r w:rsidRPr="009D2948">
        <w:t>3. În plus față de informațiile menționate la articolele 11-18 și la articolele 20 și 33, președintele transmite, de asemenea, orice informații relevante solicitate ad-hoc de Parlamentul European.</w:t>
      </w:r>
    </w:p>
    <w:p w:rsidR="009D2948" w:rsidRPr="009D2948" w:rsidRDefault="009D2948" w:rsidP="009D2948">
      <w:pPr>
        <w:pStyle w:val="Text1"/>
        <w:rPr>
          <w:noProof/>
        </w:rPr>
      </w:pPr>
      <w:r w:rsidRPr="009D2948">
        <w:t>În plus față de informațiile menționate la articolul 33, președintele sesiunii executive pentru CPC transmite orice informații relevante solicitate ad-hoc de Parlamentul European.”</w:t>
      </w:r>
    </w:p>
    <w:p w:rsidR="009D2948" w:rsidRPr="009D2948" w:rsidRDefault="009D2948" w:rsidP="009D2948">
      <w:pPr>
        <w:pStyle w:val="ManualNumPar1"/>
        <w:rPr>
          <w:noProof/>
        </w:rPr>
      </w:pPr>
      <w:r w:rsidRPr="009D2948">
        <w:t>12.</w:t>
      </w:r>
      <w:r w:rsidRPr="009D2948">
        <w:tab/>
        <w:t>Articolul 53 se modifică după cum urmează:</w:t>
      </w:r>
    </w:p>
    <w:p w:rsidR="009D2948" w:rsidRPr="009D2948" w:rsidRDefault="009D2948" w:rsidP="00AF5EB7">
      <w:pPr>
        <w:pStyle w:val="Point0letter"/>
        <w:numPr>
          <w:ilvl w:val="1"/>
          <w:numId w:val="14"/>
        </w:numPr>
        <w:rPr>
          <w:noProof/>
        </w:rPr>
      </w:pPr>
      <w:r w:rsidRPr="009D2948">
        <w:t>Alineatul (2) se înlocuiește cu următorul text:</w:t>
      </w:r>
    </w:p>
    <w:p w:rsidR="009D2948" w:rsidRPr="009D2948" w:rsidRDefault="009D2948" w:rsidP="009D2948">
      <w:pPr>
        <w:pStyle w:val="Text1"/>
        <w:rPr>
          <w:noProof/>
        </w:rPr>
      </w:pPr>
      <w:r w:rsidRPr="009D2948">
        <w:t>„2. Directorul executiv este responsabil de punerea în aplicare a programului anual de lucru al Autorității sub îndrumarea consiliului supraveghetorilor și a sesiunii executive pentru CPC și sub controlul consiliului de administrație.”</w:t>
      </w:r>
    </w:p>
    <w:p w:rsidR="009D2948" w:rsidRPr="009D2948" w:rsidRDefault="009D2948" w:rsidP="00AF5EB7">
      <w:pPr>
        <w:pStyle w:val="Point0letter"/>
        <w:numPr>
          <w:ilvl w:val="1"/>
          <w:numId w:val="14"/>
        </w:numPr>
        <w:rPr>
          <w:noProof/>
        </w:rPr>
      </w:pPr>
      <w:r w:rsidRPr="009D2948">
        <w:t>Alineatul (4) se înlocuiește cu următorul text:</w:t>
      </w:r>
    </w:p>
    <w:p w:rsidR="009D2948" w:rsidRPr="009D2948" w:rsidRDefault="009D2948" w:rsidP="009D2948">
      <w:pPr>
        <w:pStyle w:val="Text1"/>
        <w:rPr>
          <w:noProof/>
        </w:rPr>
      </w:pPr>
      <w:r w:rsidRPr="009D2948">
        <w:t>„4. Directorul executiv pregătește programul de lucru multianual menționat la articolul 47 alineatul (2). Pentru atribuțiile și competențele menționate la articolul 44b alineatul (1), directorul executiv obține aprobarea sesiunii executive pentru CPC, înainte de a-l prezenta consiliului de administrație.”</w:t>
      </w:r>
    </w:p>
    <w:p w:rsidR="009D2948" w:rsidRPr="009D2948" w:rsidRDefault="009D2948" w:rsidP="00AF5EB7">
      <w:pPr>
        <w:pStyle w:val="Point0letter"/>
        <w:numPr>
          <w:ilvl w:val="1"/>
          <w:numId w:val="14"/>
        </w:numPr>
        <w:rPr>
          <w:noProof/>
        </w:rPr>
      </w:pPr>
      <w:r w:rsidRPr="009D2948">
        <w:t>Alineatul (7) se înlocuiește cu următorul text:</w:t>
      </w:r>
    </w:p>
    <w:p w:rsidR="009D2948" w:rsidRPr="009D2948" w:rsidRDefault="009D2948" w:rsidP="009D2948">
      <w:pPr>
        <w:pStyle w:val="Text1"/>
        <w:rPr>
          <w:noProof/>
        </w:rPr>
      </w:pPr>
      <w:r w:rsidRPr="009D2948">
        <w:t>„7. În fiecare an, directorul executiv pregătește un proiect de raport care conține o secțiune privind activitățile de reglementare și de supraveghere ale Autorității și o secțiune privind aspectele financiare și administrative.</w:t>
      </w:r>
    </w:p>
    <w:p w:rsidR="009D2948" w:rsidRPr="009D2948" w:rsidRDefault="009D2948" w:rsidP="009D2948">
      <w:pPr>
        <w:pStyle w:val="Text1"/>
        <w:rPr>
          <w:noProof/>
        </w:rPr>
      </w:pPr>
      <w:r w:rsidRPr="009D2948">
        <w:t>Pentru atribuțiile și competențele prevăzute la articolul 44b alineatul (1), directorul executiv obține aprobarea sesiunii executive pentru CPC, înainte de a-l prezenta Consiliului de administrație.”</w:t>
      </w:r>
    </w:p>
    <w:p w:rsidR="009D2948" w:rsidRPr="009D2948" w:rsidRDefault="009D2948" w:rsidP="009D2948">
      <w:pPr>
        <w:pStyle w:val="ManualNumPar1"/>
        <w:rPr>
          <w:noProof/>
        </w:rPr>
      </w:pPr>
      <w:r w:rsidRPr="009D2948">
        <w:t>13.</w:t>
      </w:r>
      <w:r w:rsidRPr="009D2948">
        <w:tab/>
        <w:t>La articolul 63, se introduce următorul alineat (1a):</w:t>
      </w:r>
    </w:p>
    <w:p w:rsidR="009D2948" w:rsidRPr="009D2948" w:rsidRDefault="009D2948" w:rsidP="009D2948">
      <w:pPr>
        <w:pStyle w:val="Text1"/>
        <w:rPr>
          <w:noProof/>
        </w:rPr>
      </w:pPr>
      <w:r w:rsidRPr="009D2948">
        <w:t>„1a. Cheltuielile ESMA și taxele legate de atribuțiile și competențele menționate la articolul 44b alineatul (1) sunt identificabile în mod separat în declarația estimativă privind veniturile și cheltuielile menționată la alineatul (1). Înaintea adoptării declarației estimative, proiectul pregătit de directorul executiv referitor la aceste cheltuieli și taxe trebuie aprobat de sesiunea executivă pentru CPC.</w:t>
      </w:r>
    </w:p>
    <w:p w:rsidR="009D2948" w:rsidRPr="009D2948" w:rsidRDefault="009D2948" w:rsidP="009D2948">
      <w:pPr>
        <w:pStyle w:val="Text1"/>
        <w:rPr>
          <w:noProof/>
        </w:rPr>
      </w:pPr>
      <w:r w:rsidRPr="009D2948">
        <w:t>Conturile anuale ale ESMA întocmite și publicate în conformitate cu articolul 64 alineatul (6) includ veniturile și cheltuielile legate de atribuțiile menționate la articolul 44b alineatul (1).”</w:t>
      </w:r>
    </w:p>
    <w:p w:rsidR="009D2948" w:rsidRPr="009D2948" w:rsidRDefault="009D2948" w:rsidP="009D2948">
      <w:pPr>
        <w:pStyle w:val="ManualNumPar1"/>
        <w:rPr>
          <w:noProof/>
        </w:rPr>
      </w:pPr>
      <w:r w:rsidRPr="009D2948">
        <w:lastRenderedPageBreak/>
        <w:t>14.</w:t>
      </w:r>
      <w:r w:rsidRPr="009D2948">
        <w:tab/>
        <w:t>La articolul 70, alineatul (1) se înlocuiește cu următorul text:</w:t>
      </w:r>
    </w:p>
    <w:p w:rsidR="009D2948" w:rsidRPr="009D2948" w:rsidRDefault="009D2948" w:rsidP="009D2948">
      <w:pPr>
        <w:pStyle w:val="Text1"/>
        <w:rPr>
          <w:noProof/>
        </w:rPr>
      </w:pPr>
      <w:r w:rsidRPr="009D2948">
        <w:t>„1. Membrii consiliului supraveghetorilor, ai sesiunii executive pentru CPC și ai consiliului de administrație, directorul executiv și membrii personalului Autorității, inclusiv funcționarii detașați temporar din statele membre și toate celelalte persoane care îndeplinesc sarcini pentru Autoritate pe bază contractuală, sunt supuși obligațiilor legate de secretul profesional în temeiul articolului 339 din TFUE și al dispozițiilor relevante din legislația Uniunii, chiar și după ce aceștia și-au încetat atribuțiile.”</w:t>
      </w:r>
    </w:p>
    <w:p w:rsidR="009D2948" w:rsidRPr="009D2948" w:rsidRDefault="009D2948" w:rsidP="009D2948">
      <w:pPr>
        <w:pStyle w:val="ManualNumPar1"/>
        <w:rPr>
          <w:noProof/>
        </w:rPr>
      </w:pPr>
      <w:r w:rsidRPr="009D2948">
        <w:t>15.</w:t>
      </w:r>
      <w:r w:rsidRPr="009D2948">
        <w:tab/>
        <w:t>La articolul 76, se introduce următorul alineat (2a):</w:t>
      </w:r>
    </w:p>
    <w:p w:rsidR="009D2948" w:rsidRPr="009D2948" w:rsidRDefault="009D2948" w:rsidP="009D2948">
      <w:pPr>
        <w:pStyle w:val="Text1"/>
        <w:rPr>
          <w:noProof/>
        </w:rPr>
      </w:pPr>
      <w:r w:rsidRPr="009D2948">
        <w:t>„(2a) Până în momentul în care șeful și directorii sesiunii executive pentru CPC menționați la articolul 44a alineatul (1) își preiau funcția în urma numirii acestora în conformitate cu articolul 48a, funcțiile sesiunii executive pentru CPC sunt îndeplinite de către consiliul supraveghetorilor”.</w:t>
      </w:r>
    </w:p>
    <w:p w:rsidR="009D2948" w:rsidRPr="009D2948" w:rsidRDefault="009D2948" w:rsidP="009D2948">
      <w:pPr>
        <w:pStyle w:val="Titrearticle"/>
        <w:rPr>
          <w:noProof/>
        </w:rPr>
      </w:pPr>
      <w:r w:rsidRPr="009D2948">
        <w:t>Articolul 2</w:t>
      </w:r>
    </w:p>
    <w:p w:rsidR="009D2948" w:rsidRPr="009D2948" w:rsidRDefault="009D2948" w:rsidP="009D2948">
      <w:pPr>
        <w:pStyle w:val="Titrearticle"/>
        <w:rPr>
          <w:noProof/>
        </w:rPr>
      </w:pPr>
      <w:r w:rsidRPr="009D2948">
        <w:t>Modificări aduse Regulamentului (UE) nr. 648/2012</w:t>
      </w:r>
    </w:p>
    <w:p w:rsidR="009D2948" w:rsidRPr="009D2948" w:rsidRDefault="009D2948" w:rsidP="009D2948">
      <w:pPr>
        <w:rPr>
          <w:noProof/>
        </w:rPr>
      </w:pPr>
      <w:r w:rsidRPr="009D2948">
        <w:t>Regulamentul (UE) nr. 648/2012 se modifică după cum urmează:</w:t>
      </w:r>
    </w:p>
    <w:p w:rsidR="009D2948" w:rsidRPr="009D2948" w:rsidRDefault="009D2948" w:rsidP="009D2948">
      <w:pPr>
        <w:pStyle w:val="ManualNumPar1"/>
        <w:rPr>
          <w:noProof/>
        </w:rPr>
      </w:pPr>
      <w:r w:rsidRPr="009D2948">
        <w:t>1.</w:t>
      </w:r>
      <w:r w:rsidRPr="009D2948">
        <w:tab/>
        <w:t>La articolul 6 alineatul (2), litera (b) se înlocuiește cu următorul text:</w:t>
      </w:r>
    </w:p>
    <w:p w:rsidR="009D2948" w:rsidRPr="009D2948" w:rsidRDefault="009D2948" w:rsidP="009D2948">
      <w:pPr>
        <w:pStyle w:val="Text1"/>
        <w:rPr>
          <w:noProof/>
        </w:rPr>
      </w:pPr>
      <w:r w:rsidRPr="009D2948">
        <w:t>„(b) CPC care sunt autorizate în conformitate cu articolul 17 sau recunoscute în conformitate cu articolul 25, precum și data autorizării sau a recunoașterii, indicând CPC care sunt autorizate sau recunoscute în vederea îndeplinirii obligației de compensare”.</w:t>
      </w:r>
    </w:p>
    <w:p w:rsidR="009D2948" w:rsidRPr="009D2948" w:rsidRDefault="009D2948" w:rsidP="009D2948">
      <w:pPr>
        <w:pStyle w:val="ManualNumPar1"/>
        <w:rPr>
          <w:noProof/>
        </w:rPr>
      </w:pPr>
      <w:r w:rsidRPr="009D2948">
        <w:t>2.</w:t>
      </w:r>
      <w:r w:rsidRPr="009D2948">
        <w:tab/>
        <w:t>La articolul 17, alineatul (3) se înlocuiește cu următorul text:</w:t>
      </w:r>
    </w:p>
    <w:p w:rsidR="009D2948" w:rsidRPr="009D2948" w:rsidRDefault="009D2948" w:rsidP="009D2948">
      <w:pPr>
        <w:pStyle w:val="Text1"/>
        <w:rPr>
          <w:noProof/>
        </w:rPr>
      </w:pPr>
      <w:r w:rsidRPr="009D2948">
        <w:t>„3. În termen de 30 de zile lucrătoare de la primirea cererii, autoritatea competentă, în consultare cu ESMA, evaluează dacă cererea este completă. Dacă cererea nu este completă, autoritatea competentă stabilește un termen până la care CPC solicitantă trebuie să furnizeze informații suplimentare. La primirea informațiilor suplimentare, autoritatea competentă le transmite imediat ESMA și colegiului instituit în conformitate cu articolul 18 alineatul (1). După ce stabilește, în consultare cu ESMA, că o cerere este completă, autoritatea competentă trimite o notificare în acest sens CPC solicitante și membrilor colegiului.”</w:t>
      </w:r>
    </w:p>
    <w:p w:rsidR="009D2948" w:rsidRPr="009D2948" w:rsidRDefault="009D2948" w:rsidP="009D2948">
      <w:pPr>
        <w:pStyle w:val="ManualNumPar1"/>
        <w:rPr>
          <w:noProof/>
        </w:rPr>
      </w:pPr>
      <w:r w:rsidRPr="009D2948">
        <w:t>3.</w:t>
      </w:r>
      <w:r w:rsidRPr="009D2948">
        <w:tab/>
        <w:t>Articolul 18 se modifică după cum urmează:</w:t>
      </w:r>
    </w:p>
    <w:p w:rsidR="009D2948" w:rsidRPr="009D2948" w:rsidRDefault="009D2948" w:rsidP="00AF5EB7">
      <w:pPr>
        <w:pStyle w:val="Point0letter"/>
        <w:numPr>
          <w:ilvl w:val="1"/>
          <w:numId w:val="14"/>
        </w:numPr>
        <w:rPr>
          <w:noProof/>
        </w:rPr>
      </w:pPr>
      <w:r w:rsidRPr="009D2948">
        <w:t>alineatul (1) se înlocuiește cu următorul text:</w:t>
      </w:r>
    </w:p>
    <w:p w:rsidR="009D2948" w:rsidRPr="009D2948" w:rsidRDefault="009D2948" w:rsidP="009D2948">
      <w:pPr>
        <w:pStyle w:val="Text1"/>
        <w:rPr>
          <w:noProof/>
        </w:rPr>
      </w:pPr>
      <w:r w:rsidRPr="009D2948">
        <w:t>„1. În termen de 30 de zile calendaristice de la depunerea unei cereri complete în conformitate cu articolul 17, autoritatea competentă a CPC instituie un colegiu pentru facilitarea exercitării sarcinilor menționate la articolele 15, 17, 49, 51 și 54.</w:t>
      </w:r>
    </w:p>
    <w:p w:rsidR="009D2948" w:rsidRPr="009D2948" w:rsidRDefault="009D2948" w:rsidP="009D2948">
      <w:pPr>
        <w:pStyle w:val="Text1"/>
        <w:rPr>
          <w:noProof/>
        </w:rPr>
      </w:pPr>
      <w:r w:rsidRPr="009D2948">
        <w:t>Șeful sesiunii executive pentru CPC menționat la articolul 48a din Regulamentul (UE) nr. 1095/2010 prezidează și administrează colegiul.”</w:t>
      </w:r>
    </w:p>
    <w:p w:rsidR="009D2948" w:rsidRPr="009D2948" w:rsidRDefault="009D2948" w:rsidP="00AF5EB7">
      <w:pPr>
        <w:pStyle w:val="Point0letter"/>
        <w:numPr>
          <w:ilvl w:val="1"/>
          <w:numId w:val="14"/>
        </w:numPr>
        <w:rPr>
          <w:noProof/>
        </w:rPr>
      </w:pPr>
      <w:r w:rsidRPr="009D2948">
        <w:t>la alineatul (2), litera (a) se înlocuiește cu următorul text:</w:t>
      </w:r>
    </w:p>
    <w:p w:rsidR="009D2948" w:rsidRPr="009D2948" w:rsidRDefault="009D2948" w:rsidP="009D2948">
      <w:pPr>
        <w:pStyle w:val="Text1"/>
        <w:rPr>
          <w:noProof/>
        </w:rPr>
      </w:pPr>
      <w:r w:rsidRPr="009D2948">
        <w:t>„(a) membrii permanenți ai sesiunii executive pentru CPC menționați la articolul 44a din Regulamentul (UE) nr. 1095/2010;”</w:t>
      </w:r>
    </w:p>
    <w:p w:rsidR="009D2948" w:rsidRPr="009D2948" w:rsidRDefault="009D2948" w:rsidP="00AF5EB7">
      <w:pPr>
        <w:pStyle w:val="Point0letter"/>
        <w:numPr>
          <w:ilvl w:val="1"/>
          <w:numId w:val="14"/>
        </w:numPr>
        <w:rPr>
          <w:noProof/>
        </w:rPr>
      </w:pPr>
      <w:r w:rsidRPr="009D2948">
        <w:t>la alineatul (2), litera (c) se înlocuiește cu următorul text:</w:t>
      </w:r>
    </w:p>
    <w:p w:rsidR="009D2948" w:rsidRPr="009D2948" w:rsidRDefault="009D2948" w:rsidP="009D2948">
      <w:pPr>
        <w:pStyle w:val="Text1"/>
        <w:rPr>
          <w:noProof/>
        </w:rPr>
      </w:pPr>
      <w:r w:rsidRPr="009D2948">
        <w:lastRenderedPageBreak/>
        <w:t>„(c) autoritățile competente responsabile de supravegherea membrilor compensatori ai CPC stabiliți în cele trei state membre cu cele mai mari contribuții agregate pe durata unui an la fondul de garantare al CPC menționat la articolul 42, precum și, atunci când este relevant, BCE, în conformitate cu Regulamentul (UE) nr. 1024/2013 al Consiliului</w:t>
      </w:r>
      <w:r w:rsidRPr="009D2948">
        <w:rPr>
          <w:rStyle w:val="FootnoteReference"/>
          <w:noProof/>
        </w:rPr>
        <w:footnoteReference w:id="54"/>
      </w:r>
      <w:r w:rsidRPr="009D2948">
        <w:t>.</w:t>
      </w:r>
    </w:p>
    <w:p w:rsidR="009D2948" w:rsidRPr="009D2948" w:rsidRDefault="009D2948" w:rsidP="009D2948">
      <w:pPr>
        <w:pStyle w:val="ManualNumPar1"/>
        <w:rPr>
          <w:noProof/>
        </w:rPr>
      </w:pPr>
      <w:r w:rsidRPr="009D2948">
        <w:t>4.</w:t>
      </w:r>
      <w:r w:rsidRPr="009D2948">
        <w:tab/>
        <w:t>La articolul 19, alineatul (3) se înlocuiește cu următorul text:</w:t>
      </w:r>
    </w:p>
    <w:p w:rsidR="009D2948" w:rsidRPr="009D2948" w:rsidRDefault="009D2948" w:rsidP="009D2948">
      <w:pPr>
        <w:pStyle w:val="Text1"/>
        <w:rPr>
          <w:noProof/>
        </w:rPr>
      </w:pPr>
      <w:r w:rsidRPr="009D2948">
        <w:t>„(3) Avizul majoritar al colegiului se adoptă cu majoritatea simplă a membrilor săi.</w:t>
      </w:r>
    </w:p>
    <w:p w:rsidR="009D2948" w:rsidRPr="009D2948" w:rsidRDefault="009D2948" w:rsidP="009D2948">
      <w:pPr>
        <w:pStyle w:val="Text1"/>
        <w:rPr>
          <w:noProof/>
        </w:rPr>
      </w:pPr>
      <w:r w:rsidRPr="009D2948">
        <w:t>Pentru colegiile cu cel mult 12 membri, maximum doi membri ai colegiului care aparțin aceluiași stat membru au drept de vot, fiecare membru cu drept de vot dispunând de un vot. Pentru colegiile care au mai mult de 12 membri, maximum trei membri care aparțin aceluiași stat membru au drept de vot, fiecare membru cu drept de vot dispunând de un vot.</w:t>
      </w:r>
    </w:p>
    <w:p w:rsidR="009D2948" w:rsidRPr="009D2948" w:rsidRDefault="009D2948" w:rsidP="009D2948">
      <w:pPr>
        <w:pStyle w:val="Text1"/>
        <w:rPr>
          <w:bCs/>
          <w:noProof/>
        </w:rPr>
      </w:pPr>
      <w:r w:rsidRPr="009D2948">
        <w:t>Dacă BCE este membră a colegiului în conformitate cu articolul 18 alineatul (2) literele (a), (c) și (h), aceasta are următorul număr de voturi:</w:t>
      </w:r>
    </w:p>
    <w:p w:rsidR="009D2948" w:rsidRPr="009D2948" w:rsidRDefault="009D2948" w:rsidP="009D2948">
      <w:pPr>
        <w:pStyle w:val="Text1"/>
        <w:rPr>
          <w:bCs/>
          <w:noProof/>
        </w:rPr>
      </w:pPr>
      <w:r w:rsidRPr="009D2948">
        <w:t xml:space="preserve">(i) maximum 2 voturi pentru colegiile cu cel mult 12 membri; </w:t>
      </w:r>
    </w:p>
    <w:p w:rsidR="009D2948" w:rsidRPr="009D2948" w:rsidRDefault="009D2948" w:rsidP="009D2948">
      <w:pPr>
        <w:pStyle w:val="Text1"/>
        <w:rPr>
          <w:bCs/>
          <w:noProof/>
        </w:rPr>
      </w:pPr>
      <w:r w:rsidRPr="009D2948">
        <w:t>(ii) maximum 3 voturi pentru colegiile care au mai mult de 12 membri.</w:t>
      </w:r>
    </w:p>
    <w:p w:rsidR="009D2948" w:rsidRPr="009D2948" w:rsidRDefault="009D2948" w:rsidP="009D2948">
      <w:pPr>
        <w:pStyle w:val="Text1"/>
        <w:rPr>
          <w:bCs/>
          <w:noProof/>
        </w:rPr>
      </w:pPr>
      <w:r w:rsidRPr="009D2948">
        <w:t>Reprezentantul Comisiei este membru fără drept de vot. Ceilalți membri permanenți ai sesiunii executive pentru CPC dispun fiecare de un vot.”</w:t>
      </w:r>
    </w:p>
    <w:p w:rsidR="009D2948" w:rsidRPr="009D2948" w:rsidRDefault="009D2948" w:rsidP="009D2948">
      <w:pPr>
        <w:pStyle w:val="ManualNumPar1"/>
        <w:rPr>
          <w:noProof/>
        </w:rPr>
      </w:pPr>
      <w:r w:rsidRPr="009D2948">
        <w:t>5.</w:t>
      </w:r>
      <w:r w:rsidRPr="009D2948">
        <w:tab/>
        <w:t>La articolul 20, alineatul (6) se înlocuiește cu următorul text:</w:t>
      </w:r>
    </w:p>
    <w:p w:rsidR="009D2948" w:rsidRPr="009D2948" w:rsidRDefault="009D2948" w:rsidP="009D2948">
      <w:pPr>
        <w:pStyle w:val="Text1"/>
        <w:rPr>
          <w:noProof/>
        </w:rPr>
      </w:pPr>
      <w:r w:rsidRPr="009D2948">
        <w:rPr>
          <w:b/>
          <w:noProof/>
        </w:rPr>
        <w:t>„</w:t>
      </w:r>
      <w:r w:rsidRPr="009D2948">
        <w:t>(6) Autoritatea competentă a CPC transmite ESMA și membrilor colegiului proiectul său de decizie pe deplin motivat, care ține seama de rezervele exprimate de membrii colegiului.”</w:t>
      </w:r>
    </w:p>
    <w:p w:rsidR="009D2948" w:rsidRPr="009D2948" w:rsidRDefault="009D2948" w:rsidP="009D2948">
      <w:pPr>
        <w:pStyle w:val="ManualNumPar1"/>
        <w:rPr>
          <w:noProof/>
        </w:rPr>
      </w:pPr>
      <w:r w:rsidRPr="009D2948">
        <w:t>6.</w:t>
      </w:r>
      <w:r w:rsidRPr="009D2948">
        <w:tab/>
        <w:t>Articolul 21 se modifică după cum urmează:</w:t>
      </w:r>
    </w:p>
    <w:p w:rsidR="009D2948" w:rsidRPr="009D2948" w:rsidRDefault="009D2948" w:rsidP="00AF5EB7">
      <w:pPr>
        <w:pStyle w:val="Point0letter"/>
        <w:numPr>
          <w:ilvl w:val="1"/>
          <w:numId w:val="14"/>
        </w:numPr>
        <w:rPr>
          <w:noProof/>
        </w:rPr>
      </w:pPr>
      <w:r w:rsidRPr="009D2948">
        <w:t>alineatul (1) se înlocuiește cu următorul text:</w:t>
      </w:r>
    </w:p>
    <w:p w:rsidR="009D2948" w:rsidRPr="009D2948" w:rsidRDefault="009D2948" w:rsidP="009D2948">
      <w:pPr>
        <w:pStyle w:val="Text1"/>
        <w:rPr>
          <w:noProof/>
        </w:rPr>
      </w:pPr>
      <w:r w:rsidRPr="009D2948">
        <w:t>„(1) Fără a aduce atingere rolului colegiului, autoritățile competente menționate la articolul 22, în cooperare cu ESMA, examinează acordurile, strategiile, procesele și mecanismele puse în aplicare de CPC pentru a respecta prezentul regulament și evaluează riscurile la care CPC sunt sau ar putea fi expuse.”</w:t>
      </w:r>
    </w:p>
    <w:p w:rsidR="009D2948" w:rsidRPr="009D2948" w:rsidRDefault="009D2948" w:rsidP="00AF5EB7">
      <w:pPr>
        <w:pStyle w:val="Point0letter"/>
        <w:numPr>
          <w:ilvl w:val="1"/>
          <w:numId w:val="14"/>
        </w:numPr>
        <w:rPr>
          <w:noProof/>
        </w:rPr>
      </w:pPr>
      <w:r w:rsidRPr="009D2948">
        <w:t>alineatul (3) se înlocuiește cu următorul text:</w:t>
      </w:r>
    </w:p>
    <w:p w:rsidR="009D2948" w:rsidRPr="009D2948" w:rsidRDefault="009D2948" w:rsidP="009D2948">
      <w:pPr>
        <w:pStyle w:val="Text1"/>
        <w:rPr>
          <w:noProof/>
        </w:rPr>
      </w:pPr>
      <w:r w:rsidRPr="009D2948">
        <w:t>„(3) ESMA stabilește frecvența și gradul de detaliu ale examinării și evaluării menționate la alineatul (1), ținând seama de dimensiunea, importanța sistemică, natura, amploarea și complexitatea activităților exercitate de CPC vizate. Examinarea și evaluarea au loc cel puțin o dată pe an.</w:t>
      </w:r>
    </w:p>
    <w:p w:rsidR="009D2948" w:rsidRPr="009D2948" w:rsidRDefault="009D2948" w:rsidP="009D2948">
      <w:pPr>
        <w:pStyle w:val="Text1"/>
        <w:rPr>
          <w:noProof/>
        </w:rPr>
      </w:pPr>
      <w:r w:rsidRPr="009D2948">
        <w:t>CPC fac obiectul unor inspecții la fața locului. Personalul ESMA este invitat să participe la aceste inspecții la fața locului.</w:t>
      </w:r>
    </w:p>
    <w:p w:rsidR="009D2948" w:rsidRPr="009D2948" w:rsidRDefault="009D2948" w:rsidP="009D2948">
      <w:pPr>
        <w:pStyle w:val="Text1"/>
        <w:rPr>
          <w:noProof/>
        </w:rPr>
      </w:pPr>
      <w:r w:rsidRPr="009D2948">
        <w:t>Autoritatea competentă transmite ESMA toate informațiile primite de la CPC și cere CPC relevante eventualele informații solicitate de ESMA pe care autoritatea competentă nu le deține.”</w:t>
      </w:r>
    </w:p>
    <w:p w:rsidR="009D2948" w:rsidRPr="009D2948" w:rsidRDefault="009D2948" w:rsidP="009D2948">
      <w:pPr>
        <w:pStyle w:val="ManualNumPar1"/>
        <w:rPr>
          <w:noProof/>
        </w:rPr>
      </w:pPr>
      <w:r w:rsidRPr="009D2948">
        <w:lastRenderedPageBreak/>
        <w:t>7.</w:t>
      </w:r>
      <w:r w:rsidRPr="009D2948">
        <w:tab/>
        <w:t>În titlul III capitolul 2 se introduc următoarele articole 21a, 21b și 21c:</w:t>
      </w:r>
    </w:p>
    <w:p w:rsidR="009D2948" w:rsidRPr="009D2948" w:rsidRDefault="009D2948" w:rsidP="009D2948">
      <w:pPr>
        <w:pStyle w:val="Text1"/>
        <w:jc w:val="center"/>
        <w:rPr>
          <w:noProof/>
        </w:rPr>
      </w:pPr>
      <w:r w:rsidRPr="009D2948">
        <w:t>„Articolul 21a</w:t>
      </w:r>
    </w:p>
    <w:p w:rsidR="009D2948" w:rsidRPr="009D2948" w:rsidRDefault="009D2948" w:rsidP="009D2948">
      <w:pPr>
        <w:pStyle w:val="Text1"/>
        <w:jc w:val="center"/>
        <w:rPr>
          <w:bCs/>
          <w:noProof/>
        </w:rPr>
      </w:pPr>
      <w:r w:rsidRPr="009D2948">
        <w:t>Pregătirea proiectelor de decizii</w:t>
      </w:r>
    </w:p>
    <w:p w:rsidR="009D2948" w:rsidRPr="009D2948" w:rsidRDefault="009D2948" w:rsidP="009D2948">
      <w:pPr>
        <w:pStyle w:val="Text1"/>
        <w:rPr>
          <w:bCs/>
          <w:noProof/>
        </w:rPr>
      </w:pPr>
      <w:r w:rsidRPr="009D2948">
        <w:t>(1) Înainte de adoptarea deciziilor menționate în continuare, autoritățile competente elaborează proiecte de decizii pe care le transmit ESMA spre aprobare:</w:t>
      </w:r>
    </w:p>
    <w:p w:rsidR="009D2948" w:rsidRPr="009D2948" w:rsidRDefault="009D2948" w:rsidP="009D2948">
      <w:pPr>
        <w:pStyle w:val="Text2"/>
        <w:rPr>
          <w:bCs/>
          <w:noProof/>
        </w:rPr>
      </w:pPr>
      <w:r w:rsidRPr="009D2948">
        <w:t>(a) deciziile adoptate în temeiul articolelor 7, 8, 14, 15, 16, 20, 21, 30, 31, 35, 49 și 54 din prezentul regulament și al articolelor 35 și 36 din Regulamentul (UE) nr. 600/2014;</w:t>
      </w:r>
    </w:p>
    <w:p w:rsidR="009D2948" w:rsidRPr="009D2948" w:rsidRDefault="009D2948" w:rsidP="009D2948">
      <w:pPr>
        <w:pStyle w:val="Text2"/>
        <w:rPr>
          <w:bCs/>
          <w:noProof/>
        </w:rPr>
      </w:pPr>
      <w:r w:rsidRPr="009D2948">
        <w:t>(b) toate deciziile adoptate în îndeplinirea atribuțiilor acestora care rezultă din cerințele prevăzute la articolul 16 și la titlurile IV și V.</w:t>
      </w:r>
    </w:p>
    <w:p w:rsidR="009D2948" w:rsidRPr="009D2948" w:rsidRDefault="009D2948" w:rsidP="009D2948">
      <w:pPr>
        <w:pStyle w:val="Text1"/>
        <w:rPr>
          <w:bCs/>
          <w:noProof/>
        </w:rPr>
      </w:pPr>
      <w:r w:rsidRPr="009D2948">
        <w:t>(2) Înainte de adoptarea deciziilor în temeiul articolelor 14, 15, 20, 44, 46, 50 și 54, autoritățile competente elaborează proiecte de decizii și le transmit băncilor centrale emitente menționate la articolul 18 alineatul (2) litera (h).</w:t>
      </w:r>
    </w:p>
    <w:p w:rsidR="009D2948" w:rsidRPr="009D2948" w:rsidRDefault="009D2948" w:rsidP="009D2948">
      <w:pPr>
        <w:pStyle w:val="Text1"/>
        <w:rPr>
          <w:bCs/>
          <w:noProof/>
        </w:rPr>
      </w:pPr>
      <w:r w:rsidRPr="009D2948">
        <w:t>Autoritățile competente obțin, în conformitate cu articolul 21b, acordul băncilor centrale emitente menționate la primul paragraf în ceea ce privește orice aspect al respectivelor decizii legat de realizarea sarcinilor lor de politică monetară.</w:t>
      </w:r>
    </w:p>
    <w:p w:rsidR="009D2948" w:rsidRPr="009D2948" w:rsidRDefault="009D2948" w:rsidP="009D2948">
      <w:pPr>
        <w:pStyle w:val="Text1"/>
        <w:rPr>
          <w:bCs/>
          <w:noProof/>
        </w:rPr>
      </w:pPr>
      <w:r w:rsidRPr="009D2948">
        <w:t>(3) ESMA transmite autorităților competente orice informații relevante care ar putea duce la adoptarea unei decizii menționate la alineatul (1) și poate solicita măsuri specifice de supraveghere, inclusiv retragerea autorizației. Autoritățile competente informează ESMA cu privire la eventualele măsuri ulterioare sau la neadoptarea acestora.</w:t>
      </w:r>
    </w:p>
    <w:p w:rsidR="009D2948" w:rsidRPr="009D2948" w:rsidRDefault="009D2948" w:rsidP="009D2948">
      <w:pPr>
        <w:pStyle w:val="Text1"/>
        <w:rPr>
          <w:bCs/>
          <w:noProof/>
        </w:rPr>
      </w:pPr>
      <w:r w:rsidRPr="009D2948">
        <w:t>(4) În sensul alineatului (1), se consideră că ESMA și-a dat acordul dacă aceasta nu propune modificări sau nu formulează obiecții cu privire la proiectul de decizie într-un termen maxim de 15 zile calendaristice de la notificarea deciziei respective. În cazul în care ESMA propune modificări sau formulează obiecții cu privire la un proiect de decizie, aceasta transmite în scris prezentarea detaliată și completă a motivelor.</w:t>
      </w:r>
    </w:p>
    <w:p w:rsidR="009D2948" w:rsidRPr="009D2948" w:rsidRDefault="009D2948" w:rsidP="009D2948">
      <w:pPr>
        <w:pStyle w:val="Text1"/>
        <w:rPr>
          <w:bCs/>
          <w:noProof/>
        </w:rPr>
      </w:pPr>
      <w:r w:rsidRPr="009D2948">
        <w:t>(5) În cazul în care ESMA propune modificări, autoritatea competentă poate adopta decizia doar astfel cum a fost modificată de ESMA.</w:t>
      </w:r>
    </w:p>
    <w:p w:rsidR="009D2948" w:rsidRPr="009D2948" w:rsidRDefault="009D2948" w:rsidP="009D2948">
      <w:pPr>
        <w:pStyle w:val="Text1"/>
        <w:rPr>
          <w:bCs/>
          <w:noProof/>
        </w:rPr>
      </w:pPr>
      <w:r w:rsidRPr="009D2948">
        <w:t>În cazul în care ESMA prezintă obiecții cu privire la proiectul de decizie final, autoritatea competentă nu adoptă decizia respectivă.</w:t>
      </w:r>
    </w:p>
    <w:p w:rsidR="009D2948" w:rsidRPr="009D2948" w:rsidRDefault="009D2948" w:rsidP="009D2948">
      <w:pPr>
        <w:pStyle w:val="Text1"/>
        <w:rPr>
          <w:bCs/>
          <w:noProof/>
        </w:rPr>
      </w:pPr>
      <w:r w:rsidRPr="009D2948">
        <w:t>(6) În cazul în care autoritatea competentă nu este de acord cu modificarea propusă sau cu obiecțiile formulate de ESMA, poate transmite în termen de 5 zile consiliului supraveghetorilor menționat la articolul 6 alineatul (1) din Regulamentul (UE) nr. 1095/2010 o cerere motivată de evaluare a obiecției sau modificării respective. Consiliul supraveghetorilor fie aprobă, fie respinge obiecțiile sau modificările propuse de ESMA, în termen de 10 zile de la primirea cererii, iar alineatul (5) se aplică în consecință.</w:t>
      </w:r>
    </w:p>
    <w:p w:rsidR="009D2948" w:rsidRPr="009D2948" w:rsidRDefault="009D2948" w:rsidP="009D2948">
      <w:pPr>
        <w:pStyle w:val="Text1"/>
        <w:rPr>
          <w:bCs/>
          <w:noProof/>
        </w:rPr>
      </w:pPr>
      <w:r w:rsidRPr="009D2948">
        <w:t>(7) Fără a aduce atingere competențelor care îi revin Comisiei în temeiul articolului 258 din TFUE, ESMA poate adopta o decizie adresată unui participant la piața financiară, care să impună luarea măsurilor necesare pentru a se conforma obligațiilor sale în temeiul dreptului Uniunii, inclusiv încetarea oricărei activități în următoarele cazuri:</w:t>
      </w:r>
    </w:p>
    <w:p w:rsidR="009D2948" w:rsidRPr="009D2948" w:rsidRDefault="009D2948" w:rsidP="009D2948">
      <w:pPr>
        <w:pStyle w:val="Text2"/>
        <w:rPr>
          <w:noProof/>
        </w:rPr>
      </w:pPr>
      <w:r w:rsidRPr="009D2948">
        <w:lastRenderedPageBreak/>
        <w:t>(a) în cazul în care o autoritate competentă nu respectă alineatul (5) în eventualitatea unor obiecții sau modificări formulate de ESMA cu privire la un proiect de decizie final;</w:t>
      </w:r>
    </w:p>
    <w:p w:rsidR="009D2948" w:rsidRPr="009D2948" w:rsidRDefault="009D2948" w:rsidP="009D2948">
      <w:pPr>
        <w:pStyle w:val="Text2"/>
        <w:rPr>
          <w:bCs/>
          <w:noProof/>
        </w:rPr>
      </w:pPr>
      <w:r w:rsidRPr="009D2948">
        <w:t>(b) în cazul în care o autoritate competentă, în urma unei cereri din partea ESMA în conformitate cu alineatul (3), nu ia măsurile impuse într-un interval de timp rezonabil, iar acest lucru determină neconformitatea unui participant la piața financiară cu cerințele aplicabile de la titlurile IV și V din prezentul regulament.</w:t>
      </w:r>
    </w:p>
    <w:p w:rsidR="009D2948" w:rsidRPr="009D2948" w:rsidRDefault="009D2948" w:rsidP="009D2948">
      <w:pPr>
        <w:pStyle w:val="Text1"/>
        <w:rPr>
          <w:bCs/>
          <w:noProof/>
        </w:rPr>
      </w:pPr>
      <w:r w:rsidRPr="009D2948">
        <w:t>Deciziile adoptate în temeiul primului paragraf prevalează asupra oricărei decizii adoptate anterior de autoritățile competente cu privire la aceeași chestiune.</w:t>
      </w:r>
    </w:p>
    <w:p w:rsidR="009D2948" w:rsidRPr="009D2948" w:rsidRDefault="009D2948" w:rsidP="009D2948">
      <w:pPr>
        <w:pStyle w:val="Text1"/>
        <w:jc w:val="center"/>
        <w:rPr>
          <w:bCs/>
          <w:noProof/>
        </w:rPr>
      </w:pPr>
      <w:r w:rsidRPr="009D2948">
        <w:t>Articolul 21b</w:t>
      </w:r>
    </w:p>
    <w:p w:rsidR="009D2948" w:rsidRPr="009D2948" w:rsidRDefault="009D2948" w:rsidP="009D2948">
      <w:pPr>
        <w:pStyle w:val="Text1"/>
        <w:jc w:val="center"/>
        <w:rPr>
          <w:bCs/>
          <w:noProof/>
        </w:rPr>
      </w:pPr>
      <w:r w:rsidRPr="009D2948">
        <w:t>Acordul băncii centrale emitente</w:t>
      </w:r>
    </w:p>
    <w:p w:rsidR="009D2948" w:rsidRPr="009D2948" w:rsidRDefault="009D2948" w:rsidP="009D2948">
      <w:pPr>
        <w:pStyle w:val="Text1"/>
        <w:rPr>
          <w:bCs/>
          <w:noProof/>
        </w:rPr>
      </w:pPr>
      <w:r w:rsidRPr="009D2948">
        <w:t>1. Se consideră că acordul menționat la articolul 21a alineatul (2) a fost obținut dacă banca centrală emitentă nu propune modificări și nu formulează obiecții privind proiectul de decizie în termen de 15 zile calendaristice de la transmiterea acestuia. Dacă banca centrală emitentă propune modificări sau formulează obiecții cu privire la un proiect de decizie, aceasta transmite în scris prezentarea detaliată și completă a motivelor.</w:t>
      </w:r>
    </w:p>
    <w:p w:rsidR="009D2948" w:rsidRPr="009D2948" w:rsidRDefault="009D2948" w:rsidP="009D2948">
      <w:pPr>
        <w:pStyle w:val="Text1"/>
        <w:rPr>
          <w:bCs/>
          <w:noProof/>
        </w:rPr>
      </w:pPr>
      <w:r w:rsidRPr="009D2948">
        <w:t>Dacă ESMA a propus, în temeiul articolului 21a alineatul (4), modificări ale proiectelor de decizii care trebuie adoptate în temeiul articolelor 14, 15, 20 și 54, aceasta trebuie să le transmită și băncii centrale emitente. În acest caz, termenul prevăzut la primul paragraf se prelungește cu 5 zile.</w:t>
      </w:r>
    </w:p>
    <w:p w:rsidR="009D2948" w:rsidRPr="009D2948" w:rsidRDefault="009D2948" w:rsidP="009D2948">
      <w:pPr>
        <w:pStyle w:val="Text1"/>
        <w:rPr>
          <w:bCs/>
          <w:noProof/>
        </w:rPr>
      </w:pPr>
      <w:r w:rsidRPr="009D2948">
        <w:t>2. Dacă banca centrală emitentă propune modificări, autoritatea competentă poate adopta respectiva decizie doar astfel cum a fost modificată de banca centrală emitentă.</w:t>
      </w:r>
    </w:p>
    <w:p w:rsidR="009D2948" w:rsidRPr="009D2948" w:rsidRDefault="009D2948" w:rsidP="009D2948">
      <w:pPr>
        <w:pStyle w:val="Text1"/>
        <w:rPr>
          <w:bCs/>
          <w:noProof/>
        </w:rPr>
      </w:pPr>
      <w:r w:rsidRPr="009D2948">
        <w:t>Dacă banca centrală emitentă formulează obiecții cu privire la un proiect de decizie, autoritatea competentă nu adoptă decizia respectivă.</w:t>
      </w:r>
    </w:p>
    <w:p w:rsidR="009D2948" w:rsidRPr="009D2948" w:rsidRDefault="009D2948" w:rsidP="009D2948">
      <w:pPr>
        <w:pStyle w:val="Text1"/>
        <w:jc w:val="center"/>
        <w:rPr>
          <w:noProof/>
        </w:rPr>
      </w:pPr>
      <w:r w:rsidRPr="009D2948">
        <w:t>Articolul 21c</w:t>
      </w:r>
    </w:p>
    <w:p w:rsidR="009D2948" w:rsidRPr="009D2948" w:rsidRDefault="009D2948" w:rsidP="009D2948">
      <w:pPr>
        <w:pStyle w:val="Text1"/>
        <w:jc w:val="center"/>
        <w:rPr>
          <w:noProof/>
        </w:rPr>
      </w:pPr>
      <w:r w:rsidRPr="009D2948">
        <w:t>Taxe</w:t>
      </w:r>
    </w:p>
    <w:p w:rsidR="009D2948" w:rsidRPr="009D2948" w:rsidRDefault="009D2948" w:rsidP="009D2948">
      <w:pPr>
        <w:pStyle w:val="Text1"/>
        <w:rPr>
          <w:bCs/>
          <w:noProof/>
        </w:rPr>
      </w:pPr>
      <w:r w:rsidRPr="009D2948">
        <w:t>(1) CPC plătesc următoarele taxe:</w:t>
      </w:r>
    </w:p>
    <w:p w:rsidR="009D2948" w:rsidRPr="009D2948" w:rsidRDefault="009D2948" w:rsidP="009D2948">
      <w:pPr>
        <w:pStyle w:val="Text2"/>
        <w:rPr>
          <w:noProof/>
        </w:rPr>
      </w:pPr>
      <w:r w:rsidRPr="009D2948">
        <w:t>(a) taxele aferente cererilor de autorizare menționate la articolul 17;</w:t>
      </w:r>
    </w:p>
    <w:p w:rsidR="009D2948" w:rsidRPr="009D2948" w:rsidRDefault="009D2948" w:rsidP="009D2948">
      <w:pPr>
        <w:pStyle w:val="Text2"/>
        <w:rPr>
          <w:bCs/>
          <w:iCs/>
          <w:noProof/>
        </w:rPr>
      </w:pPr>
      <w:r w:rsidRPr="009D2948">
        <w:t>(b) taxele aferente cererilor de recunoaștere menționate la articolul 25;</w:t>
      </w:r>
    </w:p>
    <w:p w:rsidR="009D2948" w:rsidRPr="009D2948" w:rsidRDefault="009D2948" w:rsidP="009D2948">
      <w:pPr>
        <w:pStyle w:val="Text2"/>
        <w:rPr>
          <w:bCs/>
          <w:iCs/>
          <w:noProof/>
        </w:rPr>
      </w:pPr>
      <w:r w:rsidRPr="009D2948">
        <w:t>(c) taxele anuale asociate sarcinilor ESMA, în conformitate cu prezentul regulament.</w:t>
      </w:r>
    </w:p>
    <w:p w:rsidR="009D2948" w:rsidRPr="009D2948" w:rsidRDefault="009D2948" w:rsidP="009D2948">
      <w:pPr>
        <w:pStyle w:val="Text1"/>
        <w:rPr>
          <w:bCs/>
          <w:noProof/>
        </w:rPr>
      </w:pPr>
      <w:r w:rsidRPr="009D2948">
        <w:t>(2) Comisia adoptă un act delegat în conformitate cu articolul 82 pentru a preciza în detaliu tipurile de taxe, cazurile în care se plătesc taxe, cuantumul lor și modalitatea de plată de către următoarele entități:</w:t>
      </w:r>
    </w:p>
    <w:p w:rsidR="009D2948" w:rsidRPr="009D2948" w:rsidRDefault="009D2948" w:rsidP="009D2948">
      <w:pPr>
        <w:pStyle w:val="Text2"/>
        <w:rPr>
          <w:bCs/>
          <w:noProof/>
        </w:rPr>
      </w:pPr>
      <w:r w:rsidRPr="009D2948">
        <w:t>(a) CPC stabilite în Uniune care sunt autorizate sau care solicită o autorizație;</w:t>
      </w:r>
    </w:p>
    <w:p w:rsidR="009D2948" w:rsidRPr="009D2948" w:rsidRDefault="009D2948" w:rsidP="009D2948">
      <w:pPr>
        <w:pStyle w:val="Text2"/>
        <w:rPr>
          <w:bCs/>
          <w:noProof/>
        </w:rPr>
      </w:pPr>
      <w:r w:rsidRPr="009D2948">
        <w:t>(b) CPC stabilite într-o țară terță care sunt recunoscute în conformitate cu articolul 25 alineatul (2);</w:t>
      </w:r>
    </w:p>
    <w:p w:rsidR="009D2948" w:rsidRPr="009D2948" w:rsidRDefault="009D2948" w:rsidP="009D2948">
      <w:pPr>
        <w:pStyle w:val="Text2"/>
        <w:rPr>
          <w:bCs/>
          <w:noProof/>
        </w:rPr>
      </w:pPr>
      <w:r w:rsidRPr="009D2948">
        <w:t>(c) CPC stabilite într-o țară terță care sunt recunoscute în conformitate cu articolul 25 alineatul (2b).”</w:t>
      </w:r>
    </w:p>
    <w:p w:rsidR="009D2948" w:rsidRPr="009D2948" w:rsidRDefault="009D2948" w:rsidP="009D2948">
      <w:pPr>
        <w:pStyle w:val="ManualNumPar1"/>
        <w:rPr>
          <w:noProof/>
        </w:rPr>
      </w:pPr>
      <w:r w:rsidRPr="009D2948">
        <w:lastRenderedPageBreak/>
        <w:t>8.</w:t>
      </w:r>
      <w:r w:rsidRPr="009D2948">
        <w:tab/>
        <w:t>Articolul 24 se înlocuiește cu următorul text:</w:t>
      </w:r>
    </w:p>
    <w:p w:rsidR="009D2948" w:rsidRPr="009D2948" w:rsidRDefault="009D2948" w:rsidP="009D2948">
      <w:pPr>
        <w:pStyle w:val="Text1"/>
        <w:jc w:val="center"/>
        <w:rPr>
          <w:noProof/>
        </w:rPr>
      </w:pPr>
    </w:p>
    <w:p w:rsidR="009D2948" w:rsidRPr="009D2948" w:rsidRDefault="009D2948" w:rsidP="009D2948">
      <w:pPr>
        <w:pStyle w:val="Text1"/>
        <w:rPr>
          <w:noProof/>
        </w:rPr>
      </w:pPr>
      <w:r w:rsidRPr="009D2948">
        <w:t>„Autoritatea competentă a CPC sau orice altă autoritate relevantă informează fără întârziere ESMA, colegiul, membrii relevanți ai SEBC și alte autorități relevante în legătură cu orice situație de urgență în raport cu o CPC, inclusiv evenimente de pe piețele financiare, care poate avea efecte negative în ceea ce privește lichiditatea pieței, mecanismele de transmisie a politicii monetare, buna funcționare a sistemelor de plăți și stabilitatea sistemului financiar din oricare dintre statele membre în care este stabilită CPC sau unul din membrii compensatori ai acesteia.”</w:t>
      </w:r>
    </w:p>
    <w:p w:rsidR="009D2948" w:rsidRPr="009D2948" w:rsidRDefault="009D2948" w:rsidP="009D2948">
      <w:pPr>
        <w:pStyle w:val="ManualNumPar1"/>
        <w:rPr>
          <w:noProof/>
        </w:rPr>
      </w:pPr>
      <w:r w:rsidRPr="009D2948">
        <w:t>9.</w:t>
      </w:r>
      <w:r w:rsidRPr="009D2948">
        <w:tab/>
        <w:t>Articolul 25 se modifică după cum urmează:</w:t>
      </w:r>
    </w:p>
    <w:p w:rsidR="009D2948" w:rsidRPr="009D2948" w:rsidRDefault="009D2948" w:rsidP="00AF5EB7">
      <w:pPr>
        <w:pStyle w:val="Point0letter"/>
        <w:numPr>
          <w:ilvl w:val="1"/>
          <w:numId w:val="14"/>
        </w:numPr>
        <w:rPr>
          <w:noProof/>
        </w:rPr>
      </w:pPr>
      <w:r w:rsidRPr="009D2948">
        <w:t>la alineatul (2) se adaugă următoarea literă (e):</w:t>
      </w:r>
    </w:p>
    <w:p w:rsidR="009D2948" w:rsidRPr="009D2948" w:rsidRDefault="009D2948" w:rsidP="009D2948">
      <w:pPr>
        <w:pStyle w:val="Text1"/>
        <w:rPr>
          <w:noProof/>
        </w:rPr>
      </w:pPr>
      <w:r w:rsidRPr="009D2948">
        <w:t>(e) s-a stabilit că CPC nu este sau nu este probabil să devină importantă din punct de vedere sistemic (CPC de nivel 1) în conformitate cu alineatul (2a).”</w:t>
      </w:r>
    </w:p>
    <w:p w:rsidR="009D2948" w:rsidRPr="009D2948" w:rsidRDefault="009D2948" w:rsidP="00AF5EB7">
      <w:pPr>
        <w:pStyle w:val="Point0letter"/>
        <w:numPr>
          <w:ilvl w:val="1"/>
          <w:numId w:val="14"/>
        </w:numPr>
        <w:rPr>
          <w:noProof/>
        </w:rPr>
      </w:pPr>
      <w:r w:rsidRPr="009D2948">
        <w:t>se introduc următoarele alineate (2a), (2b) și (2c):</w:t>
      </w:r>
    </w:p>
    <w:p w:rsidR="009D2948" w:rsidRPr="009D2948" w:rsidRDefault="009D2948" w:rsidP="009D2948">
      <w:pPr>
        <w:pStyle w:val="Text1"/>
        <w:rPr>
          <w:bCs/>
          <w:noProof/>
        </w:rPr>
      </w:pPr>
      <w:r w:rsidRPr="009D2948">
        <w:t>„(2a) ESMA stabilește dacă o CPC este sau este probabil să devină importantă din punct de vedere sistemic pentru stabilitatea financiară a Uniunii sau a unuia ori mai multor state membre (CPC de nivel 2), ținând cont de toate criteriile următoare:</w:t>
      </w:r>
    </w:p>
    <w:p w:rsidR="009D2948" w:rsidRPr="009D2948" w:rsidRDefault="009D2948" w:rsidP="009D2948">
      <w:pPr>
        <w:pStyle w:val="Text2"/>
        <w:rPr>
          <w:bCs/>
          <w:noProof/>
        </w:rPr>
      </w:pPr>
      <w:r w:rsidRPr="009D2948">
        <w:t>(a) natura, dimensiunea și complexitatea activității CPC, inclusiv valoarea agregată, în fiecare monedă din Uniune, a tranzacțiilor compensate de CPC sau expunerea agregată a CPC care desfășoară activități de compensare la contrapărțile sale;</w:t>
      </w:r>
    </w:p>
    <w:p w:rsidR="009D2948" w:rsidRPr="009D2948" w:rsidRDefault="009D2948" w:rsidP="009D2948">
      <w:pPr>
        <w:pStyle w:val="Text2"/>
        <w:rPr>
          <w:bCs/>
          <w:noProof/>
        </w:rPr>
      </w:pPr>
      <w:r w:rsidRPr="009D2948">
        <w:t>(b) efectul pe care intrarea în dificultate majoră sau perturbarea activității unei CPC îl poate avea pentru piețele financiare, instituțiile financiare sau sistemul financiar în general, pentru stabilitatea financiară a Uniunii sau pentru unul sau mai multe state membre;</w:t>
      </w:r>
    </w:p>
    <w:p w:rsidR="009D2948" w:rsidRPr="009D2948" w:rsidRDefault="009D2948" w:rsidP="009D2948">
      <w:pPr>
        <w:pStyle w:val="Text2"/>
        <w:rPr>
          <w:bCs/>
          <w:noProof/>
        </w:rPr>
      </w:pPr>
      <w:r w:rsidRPr="009D2948">
        <w:t>(c) structura membrilor compensatori ai CPC;</w:t>
      </w:r>
    </w:p>
    <w:p w:rsidR="009D2948" w:rsidRPr="009D2948" w:rsidRDefault="009D2948" w:rsidP="009D2948">
      <w:pPr>
        <w:pStyle w:val="Text2"/>
        <w:rPr>
          <w:bCs/>
          <w:noProof/>
        </w:rPr>
      </w:pPr>
      <w:r w:rsidRPr="009D2948">
        <w:t>(d) relația, interdependențele sau celelalte interacțiuni ale CPC cu alte infrastructuri ale pieței financiare, cu alte instituții financiare și cu sistemul financiar în general.</w:t>
      </w:r>
    </w:p>
    <w:p w:rsidR="009D2948" w:rsidRPr="009D2948" w:rsidRDefault="009D2948" w:rsidP="009D2948">
      <w:pPr>
        <w:pStyle w:val="Text1"/>
        <w:rPr>
          <w:bCs/>
          <w:noProof/>
        </w:rPr>
      </w:pPr>
      <w:r w:rsidRPr="009D2948">
        <w:t>Comisia adoptă un act delegat în conformitate cu articolul 82 pentru a preciza în detaliu criteriile prevăzute la primul paragraf în termen de [</w:t>
      </w:r>
      <w:r w:rsidRPr="009D2948">
        <w:rPr>
          <w:i/>
          <w:noProof/>
        </w:rPr>
        <w:t>șase luni de la data intrării în vigoare a prezentului regulament</w:t>
      </w:r>
      <w:r w:rsidRPr="009D2948">
        <w:t>].</w:t>
      </w:r>
    </w:p>
    <w:p w:rsidR="009D2948" w:rsidRPr="009D2948" w:rsidRDefault="009D2948" w:rsidP="009D2948">
      <w:pPr>
        <w:pStyle w:val="Text1"/>
        <w:rPr>
          <w:bCs/>
          <w:noProof/>
        </w:rPr>
      </w:pPr>
      <w:r w:rsidRPr="009D2948">
        <w:t>(2b) În cazul în care ESMA consideră o CPC este sau este probabil să devină importantă din punct de vedere sistemic (CPC de nivel 2) în conformitate cu alineatul (2a), aceasta poate recunoaște CPC respectivă numai dacă, în plus față de condițiile prevăzute la articolul 25 alineatul (2) literele (a), (b), (c) și (d), sunt îndeplinite următoarele condiții:</w:t>
      </w:r>
    </w:p>
    <w:p w:rsidR="009D2948" w:rsidRPr="009D2948" w:rsidRDefault="009D2948" w:rsidP="009D2948">
      <w:pPr>
        <w:pStyle w:val="Text2"/>
        <w:rPr>
          <w:bCs/>
          <w:noProof/>
        </w:rPr>
      </w:pPr>
      <w:r w:rsidRPr="009D2948">
        <w:t>(a) CPC respectă la momentul recunoașterii, iar ulterior continuă să respecte cerințele stabilite la articolul 16 și în titlurile IV și V. ESMA ia în considerare, în conformitate cu articolul 25a alineatul (2), măsura în care conformitatea unei CPC cu cerințele respective este asigurată de conformitatea CPC cu cerințe comparabile aplicabile în țara terță;</w:t>
      </w:r>
    </w:p>
    <w:p w:rsidR="009D2948" w:rsidRPr="009D2948" w:rsidRDefault="009D2948" w:rsidP="009D2948">
      <w:pPr>
        <w:pStyle w:val="Text2"/>
        <w:rPr>
          <w:bCs/>
          <w:noProof/>
        </w:rPr>
      </w:pPr>
      <w:r w:rsidRPr="009D2948">
        <w:t xml:space="preserve">(b) în urma consultării menționate la alineatul (3) litera (f), băncile centrale emitente menționate la alineatul respectiv au furnizat ESMA o confirmare </w:t>
      </w:r>
      <w:r w:rsidRPr="009D2948">
        <w:lastRenderedPageBreak/>
        <w:t>scrisă, în termen de 180 zile de la depunerea unei cereri, că CPC respectă toate cerințele impuse de băncile centrale emitente respective în îndeplinirea sarcinilor lor de politică monetară. Dacă banca centrală emitentă relevantă nu furnizează ESMA un răspuns scris în termenul stabilit, ESMA poate considera că această cerință este îndeplinită;</w:t>
      </w:r>
    </w:p>
    <w:p w:rsidR="009D2948" w:rsidRPr="009D2948" w:rsidRDefault="009D2948" w:rsidP="009D2948">
      <w:pPr>
        <w:pStyle w:val="Text2"/>
        <w:rPr>
          <w:bCs/>
          <w:noProof/>
        </w:rPr>
      </w:pPr>
      <w:r w:rsidRPr="009D2948">
        <w:t>(c) CPC a transmis ESMA în scris acordul său necondiționat, semnat de reprezentantul legal al CPC, cu privire la faptul că va furniza, în termen de 72 de ore de la notificarea unei cereri din partea ESMA, orice documente, evidențe, informații și date pe care le deține, în orice moment, și că va acorda ESMA acces la sediile sale, precum și un aviz juridic motivat din partea unui jurist independent, care confirmă că acordul furnizat este valabil și executoriu în temeiul legislației aplicabile relevante;</w:t>
      </w:r>
    </w:p>
    <w:p w:rsidR="009D2948" w:rsidRPr="009D2948" w:rsidRDefault="009D2948" w:rsidP="009D2948">
      <w:pPr>
        <w:pStyle w:val="Text2"/>
        <w:rPr>
          <w:noProof/>
        </w:rPr>
      </w:pPr>
      <w:r w:rsidRPr="009D2948">
        <w:t>(d) CPC a instituit toate măsurile și procedurile necesare care asigură conformitatea efectivă cu cerințele prevăzute la literele (a) și (c);</w:t>
      </w:r>
    </w:p>
    <w:p w:rsidR="009D2948" w:rsidRPr="009D2948" w:rsidRDefault="009D2948" w:rsidP="009D2948">
      <w:pPr>
        <w:pStyle w:val="Text2"/>
        <w:rPr>
          <w:bCs/>
          <w:noProof/>
        </w:rPr>
      </w:pPr>
      <w:r w:rsidRPr="009D2948">
        <w:t>(e) Comisia nu a adoptat un act de punere în aplicare în conformitate cu alineatul (2c).</w:t>
      </w:r>
    </w:p>
    <w:p w:rsidR="009D2948" w:rsidRPr="009D2948" w:rsidRDefault="009D2948" w:rsidP="009D2948">
      <w:pPr>
        <w:pStyle w:val="Text1"/>
        <w:rPr>
          <w:bCs/>
          <w:noProof/>
        </w:rPr>
      </w:pPr>
      <w:r w:rsidRPr="009D2948">
        <w:t xml:space="preserve">2c. ESMA, în acord cu băncile centrale emitente relevante și proporțional cu gradul de importanță sistemică al CPC în conformitate cu alineatul (2a), poate concluziona că, având în vedere gradul de importanță sistemică al unei CPC, conformitatea cu cerințele de la alineatul (2b) nu va garanta în mod suficient stabilitatea financiară a Uniunii sau a unuia sau mai multor state membre și, prin urmare, nu ar trebui ca CPC să fie recunoscută. Într-un astfel de caz, ESMA recomandă Comisiei să adopte un act de punere în aplicare prin care se confirmă că CPC respectivă nu ar trebui să fie recunoscută în conformitate cu alineatul (2b). </w:t>
      </w:r>
    </w:p>
    <w:p w:rsidR="009D2948" w:rsidRPr="009D2948" w:rsidRDefault="009D2948" w:rsidP="009D2948">
      <w:pPr>
        <w:pStyle w:val="Text1"/>
        <w:rPr>
          <w:bCs/>
          <w:noProof/>
        </w:rPr>
      </w:pPr>
      <w:r w:rsidRPr="009D2948">
        <w:t>După transmiterea recomandării menționate la primul paragraf, Comisia poate adopta un act de punere în aplicare prin care se declară că CPC respectivă nu este recunoscută în temeiul alineatului (2b) și că aceasta poate furniza servicii de compensare în Uniune după ce a fost autorizată în conformitate cu articolul 14.”</w:t>
      </w:r>
    </w:p>
    <w:p w:rsidR="009D2948" w:rsidRPr="009D2948" w:rsidRDefault="009D2948" w:rsidP="00AF5EB7">
      <w:pPr>
        <w:pStyle w:val="Point0letter"/>
        <w:numPr>
          <w:ilvl w:val="1"/>
          <w:numId w:val="14"/>
        </w:numPr>
        <w:rPr>
          <w:noProof/>
        </w:rPr>
      </w:pPr>
      <w:r w:rsidRPr="009D2948">
        <w:t>alineatul (5) se înlocuiește cu următorul text:</w:t>
      </w:r>
    </w:p>
    <w:p w:rsidR="009D2948" w:rsidRPr="009D2948" w:rsidRDefault="009D2948" w:rsidP="009D2948">
      <w:pPr>
        <w:pStyle w:val="Text1"/>
        <w:rPr>
          <w:noProof/>
        </w:rPr>
      </w:pPr>
      <w:r w:rsidRPr="009D2948">
        <w:t>„(5) După consultarea autorităților și a entităților menționate la alineatul (3), ESMA reexaminează recunoașterea CPC stabilite într-o țară terță în cazul în care aceasta și-a extins gama de activități și servicii în Uniune și, în orice caz, cel puțin o dată la doi ani. Reexaminarea se efectuează în conformitate cu procedura definită la alineatele (2), (3) și (4).”</w:t>
      </w:r>
    </w:p>
    <w:p w:rsidR="009D2948" w:rsidRPr="009D2948" w:rsidRDefault="009D2948" w:rsidP="00AF5EB7">
      <w:pPr>
        <w:pStyle w:val="Point0letter"/>
        <w:numPr>
          <w:ilvl w:val="1"/>
          <w:numId w:val="14"/>
        </w:numPr>
        <w:rPr>
          <w:noProof/>
        </w:rPr>
      </w:pPr>
      <w:r w:rsidRPr="009D2948">
        <w:t>alineatul (6) se înlocuiește cu următorul text:</w:t>
      </w:r>
    </w:p>
    <w:p w:rsidR="009D2948" w:rsidRPr="009D2948" w:rsidRDefault="009D2948" w:rsidP="009D2948">
      <w:pPr>
        <w:pStyle w:val="Text1"/>
        <w:rPr>
          <w:noProof/>
        </w:rPr>
      </w:pPr>
      <w:r w:rsidRPr="009D2948">
        <w:t>„(6) Comisia poate adopta un act de punere în aplicare în temeiul articolului 5 din Regulamentul (UE) nr. 182/2011 care să stabilească:</w:t>
      </w:r>
    </w:p>
    <w:p w:rsidR="009D2948" w:rsidRPr="009D2948" w:rsidRDefault="009D2948" w:rsidP="009D2948">
      <w:pPr>
        <w:pStyle w:val="Text2"/>
        <w:rPr>
          <w:noProof/>
        </w:rPr>
      </w:pPr>
      <w:r w:rsidRPr="009D2948">
        <w:t>(a) că dispozițiile juridice și mecanismele de supraveghere ale unei țări terțe garantează că CPC autorizate în acea țară terță respectă în permanență cerințe obligatorii din punct de vedere juridic care sunt echivalente cu cerințele stabilite la titlul IV din prezentul regulament;</w:t>
      </w:r>
    </w:p>
    <w:p w:rsidR="009D2948" w:rsidRPr="009D2948" w:rsidRDefault="009D2948" w:rsidP="009D2948">
      <w:pPr>
        <w:pStyle w:val="Text2"/>
        <w:rPr>
          <w:noProof/>
        </w:rPr>
      </w:pPr>
      <w:r w:rsidRPr="009D2948">
        <w:t>(b) că CPC respective fac obiectul unei supravegheri și al unei asigurări a respectării normelor eficace și continue în țara terță respectivă;</w:t>
      </w:r>
    </w:p>
    <w:p w:rsidR="009D2948" w:rsidRPr="009D2948" w:rsidRDefault="009D2948" w:rsidP="009D2948">
      <w:pPr>
        <w:pStyle w:val="Text2"/>
        <w:rPr>
          <w:noProof/>
        </w:rPr>
      </w:pPr>
      <w:r w:rsidRPr="009D2948">
        <w:lastRenderedPageBreak/>
        <w:t>(c) că în cadrul juridic al respectivei țări terțe se prevede un sistem echivalent eficace pentru recunoașterea CPC autorizate conform regimurilor juridice ale unor țări terțe.</w:t>
      </w:r>
    </w:p>
    <w:p w:rsidR="009D2948" w:rsidRPr="009D2948" w:rsidRDefault="009D2948" w:rsidP="009D2948">
      <w:pPr>
        <w:pStyle w:val="Text1"/>
        <w:rPr>
          <w:noProof/>
        </w:rPr>
      </w:pPr>
      <w:r w:rsidRPr="009D2948">
        <w:t>Comisia poate condiționa aplicarea actului de punere în aplicare menționat la primul paragraf de îndeplinirea efectivă și continuă de către o țară terță a tuturor cerințelor prevăzute la paragraful respectiv, precum și de capacitatea ESMA de a-și exercita efectiv responsabilitățile în raport cu CPC din țara terță recunoscute în temeiul alineatelor (2) și (2b) sau în ceea ce privește monitorizarea menționată la alineatul (6b), inclusiv prin încheierea și aplicarea acordurilor de cooperare menționate la alineatul (7).”</w:t>
      </w:r>
    </w:p>
    <w:p w:rsidR="009D2948" w:rsidRPr="009D2948" w:rsidRDefault="009D2948" w:rsidP="00AF5EB7">
      <w:pPr>
        <w:pStyle w:val="Point0letter"/>
        <w:numPr>
          <w:ilvl w:val="1"/>
          <w:numId w:val="14"/>
        </w:numPr>
        <w:rPr>
          <w:noProof/>
        </w:rPr>
      </w:pPr>
      <w:r w:rsidRPr="009D2948">
        <w:t>se introduc următoarele alineate (6a) și (6b):</w:t>
      </w:r>
    </w:p>
    <w:p w:rsidR="009D2948" w:rsidRPr="009D2948" w:rsidRDefault="009D2948" w:rsidP="009D2948">
      <w:pPr>
        <w:pStyle w:val="Text1"/>
        <w:rPr>
          <w:noProof/>
        </w:rPr>
      </w:pPr>
      <w:r w:rsidRPr="009D2948">
        <w:t>„(6a) Comisia poate adopta un act delegat în conformitate cu articolul 82 pentru a preciza în detaliu criteriile menționate la alineatul (6) literele (a), (b) și (c).</w:t>
      </w:r>
    </w:p>
    <w:p w:rsidR="009D2948" w:rsidRPr="009D2948" w:rsidRDefault="009D2948" w:rsidP="009D2948">
      <w:pPr>
        <w:pStyle w:val="Text1"/>
        <w:rPr>
          <w:noProof/>
        </w:rPr>
      </w:pPr>
      <w:r w:rsidRPr="009D2948">
        <w:t>(6b) ESMA monitorizează evoluțiile în materie de reglementare și supraveghere din țările terțe pentru care au fost adoptate acte de punere în aplicare în temeiul alineatului (6).</w:t>
      </w:r>
    </w:p>
    <w:p w:rsidR="009D2948" w:rsidRPr="009D2948" w:rsidRDefault="009D2948" w:rsidP="009D2948">
      <w:pPr>
        <w:pStyle w:val="Text1"/>
        <w:rPr>
          <w:noProof/>
        </w:rPr>
      </w:pPr>
      <w:r w:rsidRPr="009D2948">
        <w:t>În cazul în care ESMA identifică evoluții în materie de reglementare sau de supraveghere din țările terțe respective care ar putea avea un impact asupra stabilității financiare a Uniunii sau asupra unuia sau mai multor state membre, aceasta informează Comisia în mod confidențial și fără întârziere.</w:t>
      </w:r>
    </w:p>
    <w:p w:rsidR="009D2948" w:rsidRPr="009D2948" w:rsidRDefault="009D2948" w:rsidP="009D2948">
      <w:pPr>
        <w:pStyle w:val="Text1"/>
        <w:rPr>
          <w:noProof/>
        </w:rPr>
      </w:pPr>
      <w:r w:rsidRPr="009D2948">
        <w:t>ESMA transmite anual Comisiei un raport confidențial privind evoluțiile în materie de reglementare și de supraveghere din țările terțe menționate la primul paragraf.”</w:t>
      </w:r>
    </w:p>
    <w:p w:rsidR="009D2948" w:rsidRPr="009D2948" w:rsidRDefault="009D2948" w:rsidP="00AF5EB7">
      <w:pPr>
        <w:pStyle w:val="Point0letter"/>
        <w:numPr>
          <w:ilvl w:val="1"/>
          <w:numId w:val="14"/>
        </w:numPr>
        <w:rPr>
          <w:noProof/>
        </w:rPr>
      </w:pPr>
      <w:r w:rsidRPr="009D2948">
        <w:t>la alineatul (7), prima teză se înlocuiește cu următorul text:</w:t>
      </w:r>
    </w:p>
    <w:p w:rsidR="009D2948" w:rsidRPr="009D2948" w:rsidRDefault="009D2948" w:rsidP="009D2948">
      <w:pPr>
        <w:pStyle w:val="Text1"/>
        <w:rPr>
          <w:noProof/>
        </w:rPr>
      </w:pPr>
      <w:r w:rsidRPr="009D2948">
        <w:t>„(7) ESMA încheie acorduri de cooperare efective cu autoritățile competente relevante din țările terțe ale căror cadre juridice și de supraveghere au fost recunoscute ca fiind echivalente cu prezentul regulament în conformitate cu alineatul (6).”</w:t>
      </w:r>
    </w:p>
    <w:p w:rsidR="009D2948" w:rsidRPr="009D2948" w:rsidRDefault="009D2948" w:rsidP="00AF5EB7">
      <w:pPr>
        <w:pStyle w:val="Point0letter"/>
        <w:numPr>
          <w:ilvl w:val="1"/>
          <w:numId w:val="14"/>
        </w:numPr>
        <w:rPr>
          <w:noProof/>
        </w:rPr>
      </w:pPr>
      <w:r w:rsidRPr="009D2948">
        <w:t>la alineatul (7) se adaugă următoarea literă (e):</w:t>
      </w:r>
    </w:p>
    <w:p w:rsidR="009D2948" w:rsidRPr="009D2948" w:rsidRDefault="009D2948" w:rsidP="009D2948">
      <w:pPr>
        <w:pStyle w:val="Text1"/>
        <w:rPr>
          <w:noProof/>
        </w:rPr>
      </w:pPr>
      <w:r w:rsidRPr="009D2948">
        <w:t>„(d) procedurile privind coordonarea activităților de supraveghere, inclusiv acordul autorităților din țările terțe de a permite efectuarea investigațiilor și a inspecțiilor la fața locului în conformitate cu articolul 25d și respectiv 25e.</w:t>
      </w:r>
    </w:p>
    <w:p w:rsidR="009D2948" w:rsidRPr="009D2948" w:rsidRDefault="009D2948" w:rsidP="009D2948">
      <w:pPr>
        <w:pStyle w:val="Text1"/>
        <w:rPr>
          <w:noProof/>
        </w:rPr>
      </w:pPr>
      <w:r w:rsidRPr="009D2948">
        <w:t>(e) procedurile necesare pentru monitorizarea eficace a evoluțiilor în materie de reglementare și de supraveghere dintr-o țară terță.”</w:t>
      </w:r>
    </w:p>
    <w:p w:rsidR="009D2948" w:rsidRPr="009D2948" w:rsidRDefault="009D2948" w:rsidP="009D2948">
      <w:pPr>
        <w:pStyle w:val="ManualNumPar1"/>
        <w:rPr>
          <w:noProof/>
        </w:rPr>
      </w:pPr>
      <w:r w:rsidRPr="009D2948">
        <w:t>10.</w:t>
      </w:r>
      <w:r w:rsidRPr="009D2948">
        <w:tab/>
        <w:t>Se introduc următoarele articole 25a, 25b, 25c, 25d, 25e, 25f, 25g, 25h, 25i, 25j, 25k, 25l, 25m, 25n:</w:t>
      </w:r>
    </w:p>
    <w:p w:rsidR="009D2948" w:rsidRPr="009D2948" w:rsidRDefault="009D2948" w:rsidP="009D2948">
      <w:pPr>
        <w:pStyle w:val="Text1"/>
        <w:jc w:val="center"/>
        <w:rPr>
          <w:noProof/>
        </w:rPr>
      </w:pPr>
      <w:r w:rsidRPr="009D2948">
        <w:t>„Articolul 25a</w:t>
      </w:r>
      <w:r w:rsidRPr="009D2948">
        <w:br/>
        <w:t>Conformitatea comparabilă</w:t>
      </w:r>
    </w:p>
    <w:p w:rsidR="009D2948" w:rsidRPr="009D2948" w:rsidRDefault="009D2948" w:rsidP="009D2948">
      <w:pPr>
        <w:pStyle w:val="Text1"/>
        <w:rPr>
          <w:noProof/>
        </w:rPr>
      </w:pPr>
      <w:r w:rsidRPr="009D2948">
        <w:t>(1) O CPC vizată la articolul 25 alineatul (2b) litera (a) poate depune o cerere motivată ca ESMA să evalueze conformitatea sa comparabilă cu cerințele menționate la articolul 25 alineatul (2b) litera (a) și prevăzute la articolul 16 și în titlurile IV și V.</w:t>
      </w:r>
    </w:p>
    <w:p w:rsidR="009D2948" w:rsidRPr="009D2948" w:rsidRDefault="009D2948" w:rsidP="009D2948">
      <w:pPr>
        <w:pStyle w:val="Text1"/>
        <w:rPr>
          <w:noProof/>
        </w:rPr>
      </w:pPr>
      <w:r w:rsidRPr="009D2948">
        <w:t xml:space="preserve">(2) Cererea menționată la alineatul (1) indică elementele concrete pe baza cărora se poate stabili comparabilitatea și motivele pentru care conformitatea cu cerințele </w:t>
      </w:r>
      <w:r w:rsidRPr="009D2948">
        <w:lastRenderedPageBreak/>
        <w:t>aplicabile în țara terță îndeplinește cerințele prevăzute la articolul 16 și în titlurile IV și V.</w:t>
      </w:r>
    </w:p>
    <w:p w:rsidR="009D2948" w:rsidRPr="009D2948" w:rsidRDefault="009D2948" w:rsidP="009D2948">
      <w:pPr>
        <w:pStyle w:val="Text1"/>
        <w:rPr>
          <w:noProof/>
        </w:rPr>
      </w:pPr>
      <w:r w:rsidRPr="009D2948">
        <w:t>(3) Comisia, pentru a se asigura că evaluarea la care se face referire la alineatul (1) reflectă efectiv obiectivele în materie de reglementare ale cerințelor prevăzute la articolul 16 și în titlurile IV și V, precum și interesele Uniunii în ansamblu, adoptă un act delegat pentru a preciza următoarele:</w:t>
      </w:r>
    </w:p>
    <w:p w:rsidR="009D2948" w:rsidRPr="009D2948" w:rsidRDefault="009D2948" w:rsidP="009D2948">
      <w:pPr>
        <w:pStyle w:val="Text1"/>
        <w:rPr>
          <w:noProof/>
        </w:rPr>
      </w:pPr>
      <w:r w:rsidRPr="009D2948">
        <w:t>(a) setul minim de elemente care trebuie evaluate în sensul alineatului (1);</w:t>
      </w:r>
    </w:p>
    <w:p w:rsidR="009D2948" w:rsidRPr="009D2948" w:rsidRDefault="009D2948" w:rsidP="009D2948">
      <w:pPr>
        <w:pStyle w:val="Text1"/>
        <w:rPr>
          <w:noProof/>
        </w:rPr>
      </w:pPr>
      <w:r w:rsidRPr="009D2948">
        <w:t>(b) modalitățile și condițiile pentru a efectua evaluarea.</w:t>
      </w:r>
    </w:p>
    <w:p w:rsidR="009D2948" w:rsidRPr="009D2948" w:rsidRDefault="009D2948" w:rsidP="009D2948">
      <w:pPr>
        <w:pStyle w:val="Text1"/>
        <w:rPr>
          <w:noProof/>
        </w:rPr>
      </w:pPr>
      <w:r w:rsidRPr="009D2948">
        <w:t>Comisia adoptă actele delegate menționate la primul paragraf în conformitate cu articolul 82.</w:t>
      </w:r>
    </w:p>
    <w:p w:rsidR="009D2948" w:rsidRPr="009D2948" w:rsidRDefault="009D2948" w:rsidP="009D2948">
      <w:pPr>
        <w:rPr>
          <w:noProof/>
        </w:rPr>
      </w:pPr>
    </w:p>
    <w:p w:rsidR="009D2948" w:rsidRPr="009D2948" w:rsidRDefault="009D2948" w:rsidP="009D2948">
      <w:pPr>
        <w:pStyle w:val="Titrearticle"/>
        <w:rPr>
          <w:noProof/>
        </w:rPr>
      </w:pPr>
      <w:r w:rsidRPr="009D2948">
        <w:t>Articolul 25b</w:t>
      </w:r>
    </w:p>
    <w:p w:rsidR="009D2948" w:rsidRPr="009D2948" w:rsidRDefault="009D2948" w:rsidP="009D2948">
      <w:pPr>
        <w:pStyle w:val="Titrearticle"/>
        <w:rPr>
          <w:bCs/>
          <w:noProof/>
        </w:rPr>
      </w:pPr>
      <w:r w:rsidRPr="009D2948">
        <w:t>Conformitatea continuă cu condițiile de recunoaștere</w:t>
      </w:r>
    </w:p>
    <w:p w:rsidR="009D2948" w:rsidRPr="009D2948" w:rsidRDefault="009D2948" w:rsidP="009D2948">
      <w:pPr>
        <w:pStyle w:val="Text1"/>
        <w:rPr>
          <w:bCs/>
          <w:noProof/>
        </w:rPr>
      </w:pPr>
      <w:r w:rsidRPr="009D2948">
        <w:t>1. ESMA este responsabilă de îndeplinirea sarcinilor care decurg din prezentul regulament în ceea ce privește supravegherea continuă a conformității CPC recunoscute de nivel 2 cu cerințele menționate la articolul 25 alineatul (2b) litera (a).</w:t>
      </w:r>
    </w:p>
    <w:p w:rsidR="009D2948" w:rsidRPr="009D2948" w:rsidRDefault="009D2948" w:rsidP="009D2948">
      <w:pPr>
        <w:pStyle w:val="Text1"/>
        <w:rPr>
          <w:bCs/>
          <w:noProof/>
        </w:rPr>
      </w:pPr>
      <w:r w:rsidRPr="009D2948">
        <w:t>ESMA cere fiecărei CPC de nivel 2 să confirme cel puțin o dată pe an că cerințele menționate la articolul 25 alineatul (2b) literele (a), (b), (c), (d) și (e) continuă să fie îndeplinite.</w:t>
      </w:r>
    </w:p>
    <w:p w:rsidR="009D2948" w:rsidRPr="009D2948" w:rsidRDefault="009D2948" w:rsidP="009D2948">
      <w:pPr>
        <w:pStyle w:val="Text1"/>
        <w:rPr>
          <w:bCs/>
          <w:noProof/>
        </w:rPr>
      </w:pPr>
      <w:r w:rsidRPr="009D2948">
        <w:t>Dacă o bancă centrală emitentă menționată la articolul 18 alineatul (2) litera (h) consideră că o CPC de nivel 2 nu mai îndeplinește condiția menționată la articolul 25 alineatul (2b) litera (b), aceasta informează imediat ESMA.</w:t>
      </w:r>
    </w:p>
    <w:p w:rsidR="009D2948" w:rsidRPr="009D2948" w:rsidRDefault="009D2948" w:rsidP="009D2948">
      <w:pPr>
        <w:pStyle w:val="Text1"/>
        <w:rPr>
          <w:bCs/>
          <w:noProof/>
        </w:rPr>
      </w:pPr>
      <w:r w:rsidRPr="009D2948">
        <w:t>2. Înainte de adoptarea deciziilor în temeiul articolelor 41, 44, 46, 50 și 54, ESMA elaborează proiecte de decizii și le transmite băncilor centrale emitente ale monedelor relevante menționate la articolul 18 alineatul (2) litera (h).</w:t>
      </w:r>
    </w:p>
    <w:p w:rsidR="009D2948" w:rsidRPr="009D2948" w:rsidRDefault="009D2948" w:rsidP="009D2948">
      <w:pPr>
        <w:pStyle w:val="Text1"/>
        <w:rPr>
          <w:bCs/>
          <w:noProof/>
        </w:rPr>
      </w:pPr>
      <w:r w:rsidRPr="009D2948">
        <w:t>ESMA obține, în conformitate cu prezentul alineat, acordul băncii centrale emitente relevante în ceea ce privește orice aspect al respectivelor decizii legat de realizarea sarcinilor lor de politică monetară. Se consideră că banca centrală emitentă menționată la al doilea paragraf și-a dat acordul dacă aceasta nu propune modificări sau nu formulează obiecții cu privire la proiectul de decizie în termen de 15 zile calendaristice de la notificarea proiectului de decizie. Dacă banca centrală emitentă propune modificări sau formulează obiecții cu privire la un proiect de decizie, aceasta transmite în scris prezentarea detaliată si completă a motivelor.</w:t>
      </w:r>
    </w:p>
    <w:p w:rsidR="009D2948" w:rsidRPr="009D2948" w:rsidRDefault="009D2948" w:rsidP="009D2948">
      <w:pPr>
        <w:pStyle w:val="Text1"/>
        <w:rPr>
          <w:bCs/>
          <w:noProof/>
        </w:rPr>
      </w:pPr>
      <w:r w:rsidRPr="009D2948">
        <w:t>Dacă banca centrală emitentă formulează obiecții cu privire la un proiect de decizie, ESMA nu adoptă decizia respectivă. Dacă banca centrală emitentă propune modificări, ESMA poate adopta respectiva decizie doar astfel cum a fost modificată de banca centrală emitentă în cauză.</w:t>
      </w:r>
    </w:p>
    <w:p w:rsidR="009D2948" w:rsidRPr="009D2948" w:rsidRDefault="009D2948" w:rsidP="009D2948">
      <w:pPr>
        <w:pStyle w:val="Text1"/>
        <w:rPr>
          <w:bCs/>
          <w:noProof/>
        </w:rPr>
      </w:pPr>
      <w:r w:rsidRPr="009D2948">
        <w:t>3. ESMA efectuează evaluări în ceea ce privește reziliența CPC recunoscute la evoluții negative ale pieței, în conformitate cu articolul 32 alineatul (2) din Regulamentul (UE) nr. 1095/2010.</w:t>
      </w:r>
    </w:p>
    <w:p w:rsidR="009D2948" w:rsidRPr="009D2948" w:rsidRDefault="009D2948" w:rsidP="009D2948">
      <w:pPr>
        <w:rPr>
          <w:noProof/>
        </w:rPr>
      </w:pPr>
    </w:p>
    <w:p w:rsidR="009D2948" w:rsidRPr="009D2948" w:rsidRDefault="009D2948" w:rsidP="009D2948">
      <w:pPr>
        <w:pageBreakBefore/>
        <w:jc w:val="center"/>
        <w:rPr>
          <w:noProof/>
        </w:rPr>
      </w:pPr>
      <w:r w:rsidRPr="009D2948">
        <w:lastRenderedPageBreak/>
        <w:t>Articolul 25c</w:t>
      </w:r>
    </w:p>
    <w:p w:rsidR="009D2948" w:rsidRPr="009D2948" w:rsidRDefault="009D2948" w:rsidP="009D2948">
      <w:pPr>
        <w:jc w:val="center"/>
        <w:rPr>
          <w:noProof/>
        </w:rPr>
      </w:pPr>
      <w:r w:rsidRPr="009D2948">
        <w:t>Solicitare de informații</w:t>
      </w:r>
    </w:p>
    <w:p w:rsidR="009D2948" w:rsidRPr="009D2948" w:rsidRDefault="009D2948" w:rsidP="009D2948">
      <w:pPr>
        <w:pStyle w:val="Text1"/>
        <w:rPr>
          <w:bCs/>
          <w:noProof/>
        </w:rPr>
      </w:pPr>
      <w:r w:rsidRPr="009D2948">
        <w:t>(1) ESMA poate solicita, printr-o cerere simplă sau printr-o decizie, CPC recunoscute și părților terțe conexe cărora CPC respective le-au externalizat funcții sau activități operaționale să furnizeze toate informațiile necesare pentru îndeplinirea sarcinilor ESMA în temeiul prezentului regulament.</w:t>
      </w:r>
    </w:p>
    <w:p w:rsidR="009D2948" w:rsidRPr="009D2948" w:rsidRDefault="009D2948" w:rsidP="009D2948">
      <w:pPr>
        <w:pStyle w:val="Text1"/>
        <w:rPr>
          <w:bCs/>
          <w:noProof/>
        </w:rPr>
      </w:pPr>
      <w:r w:rsidRPr="009D2948">
        <w:t>(2) Atunci când trimite o cerere simplă în vederea obținerii de informații în temeiul alineatului (1), ESMA indică toate elementele de mai jos:</w:t>
      </w:r>
    </w:p>
    <w:p w:rsidR="009D2948" w:rsidRPr="009D2948" w:rsidRDefault="009D2948" w:rsidP="009D2948">
      <w:pPr>
        <w:pStyle w:val="Text2"/>
        <w:rPr>
          <w:bCs/>
          <w:noProof/>
        </w:rPr>
      </w:pPr>
      <w:r w:rsidRPr="009D2948">
        <w:t>(a) trimiterea la prezentul articol ca temei juridic al solicitării sale;</w:t>
      </w:r>
    </w:p>
    <w:p w:rsidR="009D2948" w:rsidRPr="009D2948" w:rsidRDefault="009D2948" w:rsidP="009D2948">
      <w:pPr>
        <w:pStyle w:val="Text2"/>
        <w:rPr>
          <w:bCs/>
          <w:noProof/>
        </w:rPr>
      </w:pPr>
      <w:r w:rsidRPr="009D2948">
        <w:t>(b) scopul solicitării;</w:t>
      </w:r>
    </w:p>
    <w:p w:rsidR="009D2948" w:rsidRPr="009D2948" w:rsidRDefault="009D2948" w:rsidP="009D2948">
      <w:pPr>
        <w:pStyle w:val="Text2"/>
        <w:rPr>
          <w:bCs/>
          <w:noProof/>
        </w:rPr>
      </w:pPr>
      <w:r w:rsidRPr="009D2948">
        <w:t>(c) informațiile solicitate;</w:t>
      </w:r>
    </w:p>
    <w:p w:rsidR="009D2948" w:rsidRPr="009D2948" w:rsidRDefault="009D2948" w:rsidP="009D2948">
      <w:pPr>
        <w:pStyle w:val="Text2"/>
        <w:rPr>
          <w:bCs/>
          <w:noProof/>
        </w:rPr>
      </w:pPr>
      <w:r w:rsidRPr="009D2948">
        <w:t>(d) termenul pentru transmiterea informațiilor;</w:t>
      </w:r>
    </w:p>
    <w:p w:rsidR="009D2948" w:rsidRPr="009D2948" w:rsidRDefault="009D2948" w:rsidP="009D2948">
      <w:pPr>
        <w:pStyle w:val="Text2"/>
        <w:rPr>
          <w:bCs/>
          <w:noProof/>
        </w:rPr>
      </w:pPr>
      <w:r w:rsidRPr="009D2948">
        <w:t>(e) informează persoana de la care sunt solicitate informațiile cu privire la faptul că nu este obligată să furnizeze informațiile, dar că, în cazul unui răspuns voluntar la cerere, informațiile furnizate nu trebuie să fie incorecte sau să inducă în eroare;</w:t>
      </w:r>
    </w:p>
    <w:p w:rsidR="009D2948" w:rsidRPr="009D2948" w:rsidRDefault="009D2948" w:rsidP="009D2948">
      <w:pPr>
        <w:pStyle w:val="Text2"/>
        <w:rPr>
          <w:bCs/>
          <w:noProof/>
        </w:rPr>
      </w:pPr>
      <w:r w:rsidRPr="009D2948">
        <w:t>(f) amenda prevăzută la articolul 25g în coroborare cu anexa III secțiunea V litera (a) pentru situațiile în care răspunsurile la întrebările adresate sunt incorecte sau induc în eroare.</w:t>
      </w:r>
    </w:p>
    <w:p w:rsidR="009D2948" w:rsidRPr="009D2948" w:rsidRDefault="009D2948" w:rsidP="009D2948">
      <w:pPr>
        <w:pStyle w:val="Text1"/>
        <w:rPr>
          <w:noProof/>
        </w:rPr>
      </w:pPr>
      <w:r w:rsidRPr="009D2948">
        <w:t>(3) Atunci când impune printr-o decizie furnizarea de informații în temeiul alineatului (1), ESMA indică toate informațiile următoare:</w:t>
      </w:r>
    </w:p>
    <w:p w:rsidR="009D2948" w:rsidRPr="009D2948" w:rsidRDefault="009D2948" w:rsidP="009D2948">
      <w:pPr>
        <w:pStyle w:val="Text2"/>
        <w:rPr>
          <w:bCs/>
          <w:noProof/>
        </w:rPr>
      </w:pPr>
      <w:r w:rsidRPr="009D2948">
        <w:t>(a) trimiterea la prezentul articol ca temei juridic al solicitării sale;</w:t>
      </w:r>
    </w:p>
    <w:p w:rsidR="009D2948" w:rsidRPr="009D2948" w:rsidRDefault="009D2948" w:rsidP="009D2948">
      <w:pPr>
        <w:pStyle w:val="Text2"/>
        <w:rPr>
          <w:bCs/>
          <w:noProof/>
        </w:rPr>
      </w:pPr>
      <w:r w:rsidRPr="009D2948">
        <w:t>(b) scopul solicitării;</w:t>
      </w:r>
    </w:p>
    <w:p w:rsidR="009D2948" w:rsidRPr="009D2948" w:rsidRDefault="009D2948" w:rsidP="009D2948">
      <w:pPr>
        <w:pStyle w:val="Text2"/>
        <w:rPr>
          <w:bCs/>
          <w:noProof/>
        </w:rPr>
      </w:pPr>
      <w:r w:rsidRPr="009D2948">
        <w:t>(c) informațiile solicitate;</w:t>
      </w:r>
    </w:p>
    <w:p w:rsidR="009D2948" w:rsidRPr="009D2948" w:rsidRDefault="009D2948" w:rsidP="009D2948">
      <w:pPr>
        <w:pStyle w:val="Text2"/>
        <w:rPr>
          <w:bCs/>
          <w:noProof/>
        </w:rPr>
      </w:pPr>
      <w:r w:rsidRPr="009D2948">
        <w:t>(d) termenul pentru transmiterea informațiilor;</w:t>
      </w:r>
    </w:p>
    <w:p w:rsidR="009D2948" w:rsidRPr="009D2948" w:rsidRDefault="009D2948" w:rsidP="009D2948">
      <w:pPr>
        <w:pStyle w:val="Text2"/>
        <w:rPr>
          <w:bCs/>
          <w:noProof/>
        </w:rPr>
      </w:pPr>
      <w:r w:rsidRPr="009D2948">
        <w:t>(e) penalitățile cu titlu cominatoriu prevăzute la articolul 25h aplicabile pentru situațiile în care informațiile transmise în urma solicitării sunt incomplete;</w:t>
      </w:r>
    </w:p>
    <w:p w:rsidR="009D2948" w:rsidRPr="009D2948" w:rsidRDefault="009D2948" w:rsidP="009D2948">
      <w:pPr>
        <w:pStyle w:val="Text2"/>
        <w:rPr>
          <w:bCs/>
          <w:noProof/>
        </w:rPr>
      </w:pPr>
      <w:r w:rsidRPr="009D2948">
        <w:t>(f) amenda prevăzută la articolul 25g în coroborare cu anexa III secțiunea V litera (a) pentru situațiile în care răspunsurile la întrebările adresate sunt incorecte sau induc în eroare; precum și</w:t>
      </w:r>
    </w:p>
    <w:p w:rsidR="009D2948" w:rsidRPr="009D2948" w:rsidRDefault="009D2948" w:rsidP="009D2948">
      <w:pPr>
        <w:pStyle w:val="Text2"/>
        <w:rPr>
          <w:bCs/>
          <w:noProof/>
        </w:rPr>
      </w:pPr>
      <w:r w:rsidRPr="009D2948">
        <w:t>(g) dreptul de a contesta decizia în fața comisiei de apel a ESMA și de a solicita controlul legalității deciziei de către Curtea de Justiție a Uniunii Europene (denumită în continuare «Curtea de Justiție»), în conformitate cu articolele 60 și 61 din Regulamentul (UE) nr. 1095/2010.</w:t>
      </w:r>
    </w:p>
    <w:p w:rsidR="009D2948" w:rsidRPr="009D2948" w:rsidRDefault="009D2948" w:rsidP="009D2948">
      <w:pPr>
        <w:pStyle w:val="Text1"/>
        <w:rPr>
          <w:noProof/>
        </w:rPr>
      </w:pPr>
      <w:r w:rsidRPr="009D2948">
        <w:t>4. Persoanele menționate la alineatul (1) sau reprezentanții acestora și, în cazul persoanelor sau al asociațiilor fără personalitate juridică, persoanele autorizate prin lege sau prin statut să le reprezinte, furnizează informațiile solicitate. Avocații autorizați în mod corespunzător să acționeze pot furniza informațiile în numele clienților lor. Aceștia din urmă au în continuare întreaga responsabilitate în cazul în care informațiile furnizate sunt incomplete, incorecte sau induc în eroare.</w:t>
      </w:r>
    </w:p>
    <w:p w:rsidR="009D2948" w:rsidRPr="009D2948" w:rsidRDefault="009D2948" w:rsidP="009D2948">
      <w:pPr>
        <w:pStyle w:val="Text1"/>
        <w:rPr>
          <w:noProof/>
        </w:rPr>
      </w:pPr>
      <w:r w:rsidRPr="009D2948">
        <w:lastRenderedPageBreak/>
        <w:t>5. ESMA transmite fără întârziere o copie a cererii simple sau a deciziei sale autorității competente relevante din țara terță pe teritoriul căreia sunt domiciliate sau stabilite persoanele menționate la alineatul (1) vizate de cererea de informații.</w:t>
      </w:r>
    </w:p>
    <w:p w:rsidR="009D2948" w:rsidRPr="009D2948" w:rsidRDefault="009D2948" w:rsidP="009D2948">
      <w:pPr>
        <w:rPr>
          <w:noProof/>
        </w:rPr>
      </w:pPr>
    </w:p>
    <w:p w:rsidR="009D2948" w:rsidRPr="009D2948" w:rsidRDefault="009D2948" w:rsidP="009D2948">
      <w:pPr>
        <w:jc w:val="center"/>
        <w:rPr>
          <w:noProof/>
        </w:rPr>
      </w:pPr>
      <w:r w:rsidRPr="009D2948">
        <w:t>Articolul 25d</w:t>
      </w:r>
    </w:p>
    <w:p w:rsidR="009D2948" w:rsidRPr="009D2948" w:rsidRDefault="009D2948" w:rsidP="009D2948">
      <w:pPr>
        <w:jc w:val="center"/>
        <w:rPr>
          <w:noProof/>
        </w:rPr>
      </w:pPr>
      <w:r w:rsidRPr="009D2948">
        <w:t>Investigații generale</w:t>
      </w:r>
    </w:p>
    <w:p w:rsidR="009D2948" w:rsidRPr="009D2948" w:rsidRDefault="009D2948" w:rsidP="009D2948">
      <w:pPr>
        <w:pStyle w:val="Text1"/>
        <w:rPr>
          <w:bCs/>
          <w:noProof/>
        </w:rPr>
      </w:pPr>
      <w:r w:rsidRPr="009D2948">
        <w:t>(1) Pentru a-și îndeplini sarcinile în temeiul prezentului regulament, ESMA poate efectua toate investigațiile necesare cu privire la CPC de nivel 2. În acest scop, funcționarii ESMA și alte persoane autorizate de aceasta sunt împuternicite:</w:t>
      </w:r>
    </w:p>
    <w:p w:rsidR="009D2948" w:rsidRPr="009D2948" w:rsidRDefault="009D2948" w:rsidP="009D2948">
      <w:pPr>
        <w:pStyle w:val="Text2"/>
        <w:rPr>
          <w:noProof/>
        </w:rPr>
      </w:pPr>
      <w:r w:rsidRPr="009D2948">
        <w:t>(a) să examineze toate evidențele, datele, procedurile și orice alte materiale relevante pentru executarea atribuțiilor sale, indiferent de suportul pe care sunt stocate;</w:t>
      </w:r>
    </w:p>
    <w:p w:rsidR="009D2948" w:rsidRPr="009D2948" w:rsidRDefault="009D2948" w:rsidP="009D2948">
      <w:pPr>
        <w:pStyle w:val="Text2"/>
        <w:rPr>
          <w:bCs/>
          <w:noProof/>
        </w:rPr>
      </w:pPr>
      <w:r w:rsidRPr="009D2948">
        <w:t>(b) să facă sau să obțină copii certificate ale acestor evidențe, date, proceduri sau alte materiale sau extrase din acestea;</w:t>
      </w:r>
    </w:p>
    <w:p w:rsidR="009D2948" w:rsidRPr="009D2948" w:rsidRDefault="009D2948" w:rsidP="009D2948">
      <w:pPr>
        <w:pStyle w:val="Text2"/>
        <w:rPr>
          <w:bCs/>
          <w:noProof/>
        </w:rPr>
      </w:pPr>
      <w:r w:rsidRPr="009D2948">
        <w:t>(c) să convoace CPC de nivel 2, reprezentanții sau personalul acestora și să le solicite explicații verbale sau scrise cu privire la fapte sau documente referitoare la obiectul și scopul inspecției și să înregistreze răspunsurile;</w:t>
      </w:r>
    </w:p>
    <w:p w:rsidR="009D2948" w:rsidRPr="009D2948" w:rsidRDefault="009D2948" w:rsidP="009D2948">
      <w:pPr>
        <w:pStyle w:val="Text2"/>
        <w:rPr>
          <w:bCs/>
          <w:noProof/>
        </w:rPr>
      </w:pPr>
      <w:r w:rsidRPr="009D2948">
        <w:t>(d) să chestioneze orice altă persoană fizică sau juridică care își dă acordul în acest sens, în scopul colectării de informații referitoare la obiectul unei investigații;</w:t>
      </w:r>
    </w:p>
    <w:p w:rsidR="009D2948" w:rsidRPr="009D2948" w:rsidRDefault="009D2948" w:rsidP="009D2948">
      <w:pPr>
        <w:pStyle w:val="Text2"/>
        <w:rPr>
          <w:bCs/>
          <w:noProof/>
        </w:rPr>
      </w:pPr>
      <w:r w:rsidRPr="009D2948">
        <w:t>(e) să solicite înregistrări ale convorbirilor telefonice și ale schimburilor de date.</w:t>
      </w:r>
    </w:p>
    <w:p w:rsidR="009D2948" w:rsidRPr="009D2948" w:rsidRDefault="009D2948" w:rsidP="009D2948">
      <w:pPr>
        <w:pStyle w:val="Text1"/>
        <w:rPr>
          <w:bCs/>
          <w:noProof/>
        </w:rPr>
      </w:pPr>
      <w:r w:rsidRPr="009D2948">
        <w:t>(2) Funcționarii și alte persoane autorizate de ESMA pentru efectuarea investigațiilor menționate la alineatul (1) își exercită competențele pe baza prezentării unei autorizații scrise în care se specifică obiectul și scopul investigației. De asemenea, autorizația respectivă menționează penalitățile cu titlu cominatoriu prevăzute la articolul 25h aplicabile în cazul în care evidențele, datele, procedurile și orice alte materiale solicitate sau răspunsurile la întrebările adresate CPC de nivel 2 nu sunt furnizate ori sunt incomplete, precum și amenzile prevăzute la articolul 25g în coroborare cu anexa III secțiunea V litera (b), aplicabile în cazul furnizării unor răspunsuri incorecte sau care induc în eroare la întrebările adresate CPC de nivel 2.</w:t>
      </w:r>
    </w:p>
    <w:p w:rsidR="009D2948" w:rsidRPr="009D2948" w:rsidRDefault="009D2948" w:rsidP="009D2948">
      <w:pPr>
        <w:pStyle w:val="Text1"/>
        <w:rPr>
          <w:bCs/>
          <w:noProof/>
        </w:rPr>
      </w:pPr>
      <w:r w:rsidRPr="009D2948">
        <w:t>(3) CPC de nivel 2 sunt obligate să se supună investigațiilor dispuse în baza unei decizii a ESMA. Decizia specifică obiectul și scopul investigației, penalitățile cu titlu cominatoriu prevăzute la articolul 25h, căile de atac disponibile în temeiul Regulamentului (UE) nr. 1095/2010, precum și dreptul de a solicita controlul legalității deciziei de către Curtea de Justiție.</w:t>
      </w:r>
    </w:p>
    <w:p w:rsidR="009D2948" w:rsidRPr="009D2948" w:rsidRDefault="009D2948" w:rsidP="009D2948">
      <w:pPr>
        <w:pStyle w:val="Text1"/>
        <w:rPr>
          <w:bCs/>
          <w:noProof/>
        </w:rPr>
      </w:pPr>
      <w:r w:rsidRPr="009D2948">
        <w:t>(4) Înainte de notificarea unei CPC de nivel 2 cu privire la o investigație, ESMA informează despre investigație autoritatea competentă relevantă din țara terță pe al cărui teritoriu urmează ca aceasta să se desfășoare, indicând identitatea persoanelor autorizate. La solicitarea ESMA, funcționarii autorității competente în cauză din țara terță pot oferi asistență respectivelor persoane autorizate în îndeplinirea sarcinilor lor. De asemenea, funcționarii autorității competente din țara terță pot, la cerere, să participe la investigații. Investigațiile în conformitate cu prezentul articol se desfășoară cu condiția ca autoritatea relevantă din țara terță să nu formuleze obiecții cu privire la acestea.</w:t>
      </w:r>
    </w:p>
    <w:p w:rsidR="009D2948" w:rsidRPr="009D2948" w:rsidRDefault="009D2948" w:rsidP="009D2948">
      <w:pPr>
        <w:pStyle w:val="Text1"/>
        <w:rPr>
          <w:bCs/>
          <w:noProof/>
        </w:rPr>
      </w:pPr>
      <w:r w:rsidRPr="009D2948">
        <w:lastRenderedPageBreak/>
        <w:t>(5) Dacă oricare dintre cererile menționate la alineatul (1) necesită o autorizație din partea unei autorități judiciare în conformitate cu dreptul intern aplicabil, se solicită această autorizație. Autorizația poate fi solicitată și ca măsură de precauție.</w:t>
      </w:r>
    </w:p>
    <w:p w:rsidR="009D2948" w:rsidRPr="009D2948" w:rsidRDefault="009D2948" w:rsidP="009D2948">
      <w:pPr>
        <w:rPr>
          <w:noProof/>
        </w:rPr>
      </w:pPr>
    </w:p>
    <w:p w:rsidR="009D2948" w:rsidRPr="009D2948" w:rsidRDefault="009D2948" w:rsidP="009D2948">
      <w:pPr>
        <w:pStyle w:val="Text1"/>
        <w:jc w:val="center"/>
        <w:rPr>
          <w:noProof/>
        </w:rPr>
      </w:pPr>
      <w:r w:rsidRPr="009D2948">
        <w:t>Articolul 25e</w:t>
      </w:r>
    </w:p>
    <w:p w:rsidR="009D2948" w:rsidRPr="009D2948" w:rsidRDefault="009D2948" w:rsidP="009D2948">
      <w:pPr>
        <w:pStyle w:val="Text1"/>
        <w:jc w:val="center"/>
        <w:rPr>
          <w:noProof/>
        </w:rPr>
      </w:pPr>
      <w:r w:rsidRPr="009D2948">
        <w:t>Inspecțiile la fața locului</w:t>
      </w:r>
    </w:p>
    <w:p w:rsidR="009D2948" w:rsidRPr="009D2948" w:rsidRDefault="009D2948" w:rsidP="009D2948">
      <w:pPr>
        <w:pStyle w:val="Text1"/>
        <w:rPr>
          <w:bCs/>
          <w:noProof/>
        </w:rPr>
      </w:pPr>
      <w:r w:rsidRPr="009D2948">
        <w:t>(1) Pentru a-și îndeplini sarcinile în temeiul prezentului regulament, ESMA poate efectua toate inspecțiile la fața locului necesare la orice sediu al CPC de nivel 2. Băncile centrale emitente relevante sunt invitate să participe la aceste inspecții la fața locului.</w:t>
      </w:r>
    </w:p>
    <w:p w:rsidR="009D2948" w:rsidRPr="009D2948" w:rsidRDefault="009D2948" w:rsidP="009D2948">
      <w:pPr>
        <w:pStyle w:val="Text1"/>
        <w:rPr>
          <w:bCs/>
          <w:noProof/>
        </w:rPr>
      </w:pPr>
      <w:r w:rsidRPr="009D2948">
        <w:t>(2) Funcționarii și alte persoane autorizate de ESMA să efectueze o inspecție la fața locului pot intra în orice sediu sau pe orice teren al persoanelor juridice care fac obiectul unei decizii de investigație adoptate de ESMA și dețin toate competențele stipulate la articolul 25d alineatul (1). De asemenea, aceștia au dreptul să sigileze orice sedii și orice registre sau evidențe pe perioada inspecției și în măsura necesară inspecției.</w:t>
      </w:r>
    </w:p>
    <w:p w:rsidR="009D2948" w:rsidRPr="009D2948" w:rsidRDefault="009D2948" w:rsidP="009D2948">
      <w:pPr>
        <w:pStyle w:val="Text1"/>
        <w:rPr>
          <w:bCs/>
          <w:noProof/>
        </w:rPr>
      </w:pPr>
      <w:r w:rsidRPr="009D2948">
        <w:t>(3) În timp util înainte de inspecție, ESMA notifică inspecția autorității competente relevante din țara terță pe teritoriul căreia urmează să se desfășoare aceasta. Atunci când desfășurarea corespunzătoare și eficiența inspecției impun acest lucru, ESMA, după informarea autorității competente relevante din țara terță, poate desfășura inspecția la fața locului fără notificarea prealabilă a CPC. Inspecțiile în conformitate cu prezentul articol se desfășoară cu condiția ca autoritatea relevantă din țara terță să fi confirmat că nu are obiecții cu privire la aceste inspecții.</w:t>
      </w:r>
    </w:p>
    <w:p w:rsidR="009D2948" w:rsidRPr="009D2948" w:rsidRDefault="009D2948" w:rsidP="009D2948">
      <w:pPr>
        <w:pStyle w:val="Text1"/>
        <w:rPr>
          <w:bCs/>
          <w:noProof/>
        </w:rPr>
      </w:pPr>
      <w:r w:rsidRPr="009D2948">
        <w:t xml:space="preserve">Funcționarii și alte persoane autorizate de ESMA să efectueze o inspecție la fața locului își exercită competențele pe baza prezentării unei autorizații scrise în care se specifică obiectul și scopul inspecției, precum și penalitățile cu titlu cominatoriu prevăzute la articolul 25h aplicabile în cazul în care persoanele vizate nu se supun inspecției. </w:t>
      </w:r>
    </w:p>
    <w:p w:rsidR="009D2948" w:rsidRPr="009D2948" w:rsidRDefault="009D2948" w:rsidP="009D2948">
      <w:pPr>
        <w:pStyle w:val="Text1"/>
        <w:rPr>
          <w:bCs/>
          <w:noProof/>
        </w:rPr>
      </w:pPr>
      <w:r w:rsidRPr="009D2948">
        <w:t xml:space="preserve">(4) CPC de nivel 2 se supun inspecțiilor la fața locului dispuse printr-o decizie a ESMA. Decizia specifică obiectul și scopul inspecției, precizează data la care inspecția urmează să înceapă și indică penalitățile cu titlu cominatoriu prevăzute la articolul 25h, căile de atac disponibile în temeiul Regulamentului (UE) nr. 1095/2010, precum și dreptul de a solicita controlul legalității deciziei de către Curtea de Justiție. </w:t>
      </w:r>
    </w:p>
    <w:p w:rsidR="009D2948" w:rsidRPr="009D2948" w:rsidRDefault="009D2948" w:rsidP="009D2948">
      <w:pPr>
        <w:pStyle w:val="Text1"/>
        <w:rPr>
          <w:bCs/>
          <w:noProof/>
        </w:rPr>
      </w:pPr>
      <w:r w:rsidRPr="009D2948">
        <w:t>(5) La cererea ESMA, funcționarii, precum și persoanele autorizate sau desemnate de autoritatea competentă a țării terțe pe teritoriul căreia urmează să se desfășoare inspecția, acordă asistență în mod activ funcționarilor și altor persoane autorizate de ESMA. De asemenea, funcționarii autorității competente din țara terță pot să participe la inspecțiile la fața locului.</w:t>
      </w:r>
    </w:p>
    <w:p w:rsidR="009D2948" w:rsidRPr="009D2948" w:rsidRDefault="009D2948" w:rsidP="009D2948">
      <w:pPr>
        <w:pStyle w:val="Text1"/>
        <w:rPr>
          <w:bCs/>
          <w:noProof/>
        </w:rPr>
      </w:pPr>
      <w:r w:rsidRPr="009D2948">
        <w:t>(6) ESMA poate solicita autorităților competente din țara terță să efectueze în numele său sarcini de investigare specifice și inspecții la fața locului, conform dispozițiilor prezentului articol și ale articolului 25d alineatul (1).</w:t>
      </w:r>
    </w:p>
    <w:p w:rsidR="009D2948" w:rsidRPr="009D2948" w:rsidRDefault="009D2948" w:rsidP="009D2948">
      <w:pPr>
        <w:pStyle w:val="Text1"/>
        <w:rPr>
          <w:bCs/>
          <w:noProof/>
        </w:rPr>
      </w:pPr>
      <w:r w:rsidRPr="009D2948">
        <w:t xml:space="preserve">(7) Atunci când funcționarii și celelalte persoane care îi însoțesc, autorizate de ESMA, constată că o persoană se opune inspecției dispuse în temeiul prezentului articol, autoritatea competentă din țara terță în cauză le poate acorda asistența necesară, solicitând, dacă este cazul, intervenția poliției sau a unei autorități publice </w:t>
      </w:r>
      <w:r w:rsidRPr="009D2948">
        <w:lastRenderedPageBreak/>
        <w:t>de aplicare a legii echivalente, astfel încât să le permită efectuarea inspecției la fața locului.</w:t>
      </w:r>
    </w:p>
    <w:p w:rsidR="009D2948" w:rsidRPr="009D2948" w:rsidRDefault="009D2948" w:rsidP="009D2948">
      <w:pPr>
        <w:pStyle w:val="Text1"/>
        <w:rPr>
          <w:bCs/>
          <w:noProof/>
        </w:rPr>
      </w:pPr>
      <w:r w:rsidRPr="009D2948">
        <w:t>(8) Dacă inspecția la fața locului prevăzută la alineatul (1) sau asistența prevăzută la alineatul (7) necesită o autorizare din partea unei autorități judiciare în conformitate cu dreptul intern aplicabil, se solicită această autorizație. Autorizația poate fi solicitată și ca măsură de precauție.</w:t>
      </w:r>
    </w:p>
    <w:p w:rsidR="009D2948" w:rsidRPr="009D2948" w:rsidRDefault="009D2948" w:rsidP="009D2948">
      <w:pPr>
        <w:rPr>
          <w:noProof/>
        </w:rPr>
      </w:pPr>
    </w:p>
    <w:p w:rsidR="009D2948" w:rsidRPr="009D2948" w:rsidRDefault="009D2948" w:rsidP="009D2948">
      <w:pPr>
        <w:pStyle w:val="Text1"/>
        <w:jc w:val="center"/>
        <w:rPr>
          <w:bCs/>
          <w:noProof/>
        </w:rPr>
      </w:pPr>
      <w:r w:rsidRPr="009D2948">
        <w:t>Articolul 25f</w:t>
      </w:r>
    </w:p>
    <w:p w:rsidR="009D2948" w:rsidRPr="009D2948" w:rsidRDefault="009D2948" w:rsidP="009D2948">
      <w:pPr>
        <w:pStyle w:val="Text1"/>
        <w:jc w:val="center"/>
        <w:rPr>
          <w:bCs/>
          <w:noProof/>
        </w:rPr>
      </w:pPr>
      <w:r w:rsidRPr="009D2948">
        <w:t>Norme procedurale pentru luarea măsurilor de supraveghere și impunerea amenzilor</w:t>
      </w:r>
    </w:p>
    <w:p w:rsidR="009D2948" w:rsidRPr="009D2948" w:rsidRDefault="009D2948" w:rsidP="009D2948">
      <w:pPr>
        <w:pStyle w:val="Text1"/>
        <w:rPr>
          <w:bCs/>
          <w:noProof/>
        </w:rPr>
      </w:pPr>
      <w:r w:rsidRPr="009D2948">
        <w:t xml:space="preserve">(1) Atunci când, în îndeplinirea sarcinilor sale în temeiul prezentului regulament, ESMA constată că există indicii clare privind posibila existență a unor fapte care pot constitui una sau mai multe dintre încălcările enumerate în anexa III, aceasta numește un agent de investigații independent din cadrul său pentru a cerceta chestiunea respectivă. Agentul numit nu poate să fie sau să fi fost implicat, direct sau indirect, în recunoașterea sau supravegherea CPC în cauză și își îndeplinește funcțiile independent de ESMA. </w:t>
      </w:r>
    </w:p>
    <w:p w:rsidR="009D2948" w:rsidRPr="009D2948" w:rsidRDefault="009D2948" w:rsidP="009D2948">
      <w:pPr>
        <w:pStyle w:val="Text1"/>
        <w:rPr>
          <w:bCs/>
          <w:noProof/>
        </w:rPr>
      </w:pPr>
      <w:r w:rsidRPr="009D2948">
        <w:t>(2) Agentul de investigații cercetează presupusele încălcări, ținând seama de orice observații transmise de persoanele care fac obiectul investigațiilor, și prezintă autorității un dosar complet cuprinzând constatările sale.</w:t>
      </w:r>
    </w:p>
    <w:p w:rsidR="009D2948" w:rsidRPr="009D2948" w:rsidRDefault="009D2948" w:rsidP="009D2948">
      <w:pPr>
        <w:pStyle w:val="Text1"/>
        <w:rPr>
          <w:bCs/>
          <w:noProof/>
          <w:spacing w:val="-2"/>
        </w:rPr>
      </w:pPr>
      <w:r w:rsidRPr="009D2948">
        <w:rPr>
          <w:spacing w:val="-2"/>
        </w:rPr>
        <w:t>Pentru a-și îndeplini sarcinile, agentul de investigații își poate exercita competența de a solicita informații în conformitate cu articolul 25c și de a efectua investigații și inspecții la fața locului în conformitate cu articolele 25d și 25e. Atunci când face uz de aceste competențe, agentul de investigații se conformează articolului 25c alineatul (4).</w:t>
      </w:r>
    </w:p>
    <w:p w:rsidR="009D2948" w:rsidRPr="009D2948" w:rsidRDefault="009D2948" w:rsidP="009D2948">
      <w:pPr>
        <w:pStyle w:val="Text1"/>
        <w:rPr>
          <w:bCs/>
          <w:noProof/>
        </w:rPr>
      </w:pPr>
      <w:r w:rsidRPr="009D2948">
        <w:t>În îndeplinirea sarcinilor sale, agentul de investigații are acces la toate documentele și informațiile colectate de ESMA în cadrul activității sale.</w:t>
      </w:r>
    </w:p>
    <w:p w:rsidR="009D2948" w:rsidRPr="009D2948" w:rsidRDefault="009D2948" w:rsidP="009D2948">
      <w:pPr>
        <w:pStyle w:val="Text1"/>
        <w:rPr>
          <w:bCs/>
          <w:noProof/>
        </w:rPr>
      </w:pPr>
      <w:r w:rsidRPr="009D2948">
        <w:t>(3) După încheierea investigației sale și înainte de a înainta ESMA dosarul cuprinzând constatările sale, agentul de investigații le oferă persoanelor care fac obiectul investigațiilor posibilitatea de a fi audiate pe tema aspectelor cercetate. Agentul de investigații își întemeiază constatările numai pe fapte cu privire la care persoanele vizate au avut ocazia să facă observații.</w:t>
      </w:r>
    </w:p>
    <w:p w:rsidR="009D2948" w:rsidRPr="009D2948" w:rsidRDefault="009D2948" w:rsidP="009D2948">
      <w:pPr>
        <w:pStyle w:val="Text1"/>
        <w:rPr>
          <w:bCs/>
          <w:noProof/>
        </w:rPr>
      </w:pPr>
      <w:r w:rsidRPr="009D2948">
        <w:t>Drepturile la apărare ale persoanelor vizate se respectă pe deplin pe parcursul investigațiilor efectuate în temeiul prezentului articol.</w:t>
      </w:r>
    </w:p>
    <w:p w:rsidR="009D2948" w:rsidRPr="009D2948" w:rsidRDefault="009D2948" w:rsidP="009D2948">
      <w:pPr>
        <w:pStyle w:val="Text1"/>
        <w:rPr>
          <w:bCs/>
          <w:noProof/>
        </w:rPr>
      </w:pPr>
      <w:r w:rsidRPr="009D2948">
        <w:t>(4) Atunci când înaintează autorității dosarul cuprinzând constatările sale, agentul de investigații notifică acest fapt persoanelor care fac obiectul investigațiilor. Persoanele care fac obiectul investigațiilor au drept de acces la dosar, sub rezerva interesului legitim al altor persoane de a-și proteja secretele de afaceri. Dreptul de acces la dosar nu se aplică în cazul informațiilor confidențiale care afectează părți terțe.</w:t>
      </w:r>
    </w:p>
    <w:p w:rsidR="009D2948" w:rsidRPr="009D2948" w:rsidRDefault="009D2948" w:rsidP="009D2948">
      <w:pPr>
        <w:pStyle w:val="Text1"/>
        <w:rPr>
          <w:bCs/>
          <w:noProof/>
        </w:rPr>
      </w:pPr>
      <w:r w:rsidRPr="009D2948">
        <w:t>(5) Pe baza dosarului cuprinzând constatările agentului de investigații și, la cererea persoanelor vizate, după audierea persoanelor care fac obiectul investigațiilor, în conformitate cu articolul 25i, ESMA decide dacă una sau mai multe dintre încălcările enumerate în anexa III au fost săvârșite de persoanele care au făcut obiectul investigațiilor și, după caz, ia o măsură de supraveghere în conformitate cu articolul 25n și impune o amendă în conformitate cu articolul 25g.</w:t>
      </w:r>
    </w:p>
    <w:p w:rsidR="009D2948" w:rsidRPr="009D2948" w:rsidRDefault="009D2948" w:rsidP="009D2948">
      <w:pPr>
        <w:pStyle w:val="Text1"/>
        <w:rPr>
          <w:bCs/>
          <w:noProof/>
        </w:rPr>
      </w:pPr>
      <w:r w:rsidRPr="009D2948">
        <w:t>(6) Agentul de investigații nu participă la deliberările ESMA și nu intervine în niciun alt fel în procesul decizional al acesteia.</w:t>
      </w:r>
    </w:p>
    <w:p w:rsidR="009D2948" w:rsidRPr="009D2948" w:rsidRDefault="009D2948" w:rsidP="009D2948">
      <w:pPr>
        <w:pStyle w:val="Text1"/>
        <w:rPr>
          <w:bCs/>
          <w:noProof/>
        </w:rPr>
      </w:pPr>
      <w:r w:rsidRPr="009D2948">
        <w:lastRenderedPageBreak/>
        <w:t>(7) Comisia adoptă acte delegate în conformitate cu articolul 82 pentru a clarifica normele procedurale de exercitare a competenței de a impune amenzi sau penalități cu titlu cominatoriu, inclusiv dispozițiile privind dreptul la apărare, dispozițiile temporale, dispozițiile privind încasarea amenzilor și a penalităților cu titlu cominatoriu și privind termenele de prescripție pentru impunerea și executarea sancțiunilor.</w:t>
      </w:r>
    </w:p>
    <w:p w:rsidR="009D2948" w:rsidRPr="009D2948" w:rsidRDefault="009D2948" w:rsidP="009D2948">
      <w:pPr>
        <w:pStyle w:val="Text1"/>
        <w:rPr>
          <w:bCs/>
          <w:noProof/>
        </w:rPr>
      </w:pPr>
      <w:r w:rsidRPr="009D2948">
        <w:t>(8) ESMA sesizează autoritățile naționale de resort în vederea cercetării și, eventual, urmăririi penale atunci când, în îndeplinirea sarcinilor sale în temeiul prezentului regulament, constată că există indicii clare privind posibila existență a unor fapte care pot constitui infracțiuni. În plus, ESMA se abține de la aplicarea unor amenzi sau a unor penalități cu titlu cominatoriu în cazul în care o achitare sau o condamnare prealabilă în temeiul unor fapte identice sau al unor fapte în esență identice a dobândit autoritate de lucru judecat în urma unor proceduri penale în temeiul dreptului intern.</w:t>
      </w:r>
    </w:p>
    <w:p w:rsidR="009D2948" w:rsidRPr="009D2948" w:rsidRDefault="009D2948" w:rsidP="009D2948">
      <w:pPr>
        <w:rPr>
          <w:noProof/>
        </w:rPr>
      </w:pPr>
    </w:p>
    <w:p w:rsidR="009D2948" w:rsidRPr="009D2948" w:rsidRDefault="009D2948" w:rsidP="009D2948">
      <w:pPr>
        <w:pStyle w:val="Text1"/>
        <w:jc w:val="center"/>
        <w:rPr>
          <w:bCs/>
          <w:noProof/>
        </w:rPr>
      </w:pPr>
      <w:r w:rsidRPr="009D2948">
        <w:t>Articolul 25g</w:t>
      </w:r>
    </w:p>
    <w:p w:rsidR="009D2948" w:rsidRPr="009D2948" w:rsidRDefault="009D2948" w:rsidP="009D2948">
      <w:pPr>
        <w:pStyle w:val="Text1"/>
        <w:jc w:val="center"/>
        <w:rPr>
          <w:bCs/>
          <w:noProof/>
        </w:rPr>
      </w:pPr>
      <w:r w:rsidRPr="009D2948">
        <w:t>Amenzi</w:t>
      </w:r>
    </w:p>
    <w:p w:rsidR="009D2948" w:rsidRPr="009D2948" w:rsidRDefault="009D2948" w:rsidP="009D2948">
      <w:pPr>
        <w:pStyle w:val="Text1"/>
        <w:rPr>
          <w:bCs/>
          <w:noProof/>
        </w:rPr>
      </w:pPr>
      <w:r w:rsidRPr="009D2948">
        <w:t>(1) Atunci când, în conformitate cu articolul 25f alineatul (5), ESMA constată faptul că o CPC a săvârșit, cu intenție sau din neglijență, una dintre încălcările enumerate în anexa III, aceasta adoptă o decizie prin care aplică o amendă în conformitate cu alineatul (2) de la prezentul articol.</w:t>
      </w:r>
    </w:p>
    <w:p w:rsidR="009D2948" w:rsidRPr="009D2948" w:rsidRDefault="009D2948" w:rsidP="009D2948">
      <w:pPr>
        <w:pStyle w:val="Text1"/>
        <w:rPr>
          <w:bCs/>
          <w:noProof/>
        </w:rPr>
      </w:pPr>
      <w:r w:rsidRPr="009D2948">
        <w:t>O încălcare săvârșită de o CPC este considerată ca fiind săvârșită cu intenție dacă ESMA a descoperit factori obiectivi care demonstrează faptul că CPC sau personalul de conducere al acesteia a acționat în mod deliberat pentru a săvârși încălcarea respectivă.</w:t>
      </w:r>
    </w:p>
    <w:p w:rsidR="009D2948" w:rsidRPr="009D2948" w:rsidRDefault="009D2948" w:rsidP="009D2948">
      <w:pPr>
        <w:pStyle w:val="Text1"/>
        <w:rPr>
          <w:bCs/>
          <w:noProof/>
        </w:rPr>
      </w:pPr>
      <w:r w:rsidRPr="009D2948">
        <w:t>(2) Cuantumurile de bază ale amenzilor menționate la alineatul (1) sunt de până la dublul sumei profiturilor obținute sau pierderilor evitate prin încălcare, atunci când acestea pot fi stabilite, sau de până la 10 % din totalul cifrei de afaceri a persoanei juridice din exercițiul financiar precedent, astfel cum se definește în dreptul Uniunii.</w:t>
      </w:r>
    </w:p>
    <w:p w:rsidR="009D2948" w:rsidRPr="009D2948" w:rsidRDefault="009D2948" w:rsidP="009D2948">
      <w:pPr>
        <w:pStyle w:val="Text1"/>
        <w:rPr>
          <w:bCs/>
          <w:noProof/>
        </w:rPr>
      </w:pPr>
      <w:r w:rsidRPr="009D2948">
        <w:t>(3) Cuantumurile de bază stabilite la alineatul (2) se ajustează, dacă este necesar, ținându-se seama de circumstanțele agravante sau atenuante, în conformitate cu coeficienții relevanți stabiliți în anexa IV.</w:t>
      </w:r>
    </w:p>
    <w:p w:rsidR="009D2948" w:rsidRPr="009D2948" w:rsidRDefault="009D2948" w:rsidP="009D2948">
      <w:pPr>
        <w:pStyle w:val="Text1"/>
        <w:rPr>
          <w:bCs/>
          <w:noProof/>
        </w:rPr>
      </w:pPr>
      <w:r w:rsidRPr="009D2948">
        <w:t>Coeficienții agravanți relevanți se aplică unul câte unul la cuantumul de bază. În cazul în care sunt aplicabili mai mulți coeficienți agravanți, diferența dintre cuantumul de bază și cuantumul care rezultă în urma aplicării fiecărui coeficient agravant în parte se adaugă la cuantumul de bază.</w:t>
      </w:r>
    </w:p>
    <w:p w:rsidR="009D2948" w:rsidRPr="009D2948" w:rsidRDefault="009D2948" w:rsidP="009D2948">
      <w:pPr>
        <w:pStyle w:val="Text1"/>
        <w:rPr>
          <w:bCs/>
          <w:noProof/>
        </w:rPr>
      </w:pPr>
      <w:r w:rsidRPr="009D2948">
        <w:t>Coeficienții atenuanți relevanți se aplică unul câte unul la cuantumul de bază. În cazul în care sunt aplicabili mai mulți coeficienți atenuanți, diferența dintre cuantumul de bază și cuantumul care rezultă în urma aplicării fiecărui coeficient atenuant în parte se scade din cuantumul de bază.</w:t>
      </w:r>
    </w:p>
    <w:p w:rsidR="009D2948" w:rsidRPr="009D2948" w:rsidRDefault="009D2948" w:rsidP="009D2948">
      <w:pPr>
        <w:pStyle w:val="Text1"/>
        <w:rPr>
          <w:bCs/>
          <w:noProof/>
        </w:rPr>
      </w:pPr>
      <w:r w:rsidRPr="009D2948">
        <w:t>(4) Fără a aduce atingere alineatelor (2) și (3), valoarea amenzii nu depășește 20 % din cifra de afaceri anuală a CPC în cauză, obținută în exercițiul financiar precedent, dar, în cazul în care CPC a obținut direct sau indirect un beneficiu financiar în urma încălcării, cuantumul amenzii este cel puțin egal cu respectivul beneficiu.</w:t>
      </w:r>
    </w:p>
    <w:p w:rsidR="009D2948" w:rsidRPr="009D2948" w:rsidRDefault="009D2948" w:rsidP="009D2948">
      <w:pPr>
        <w:pStyle w:val="Text1"/>
        <w:rPr>
          <w:bCs/>
          <w:noProof/>
        </w:rPr>
      </w:pPr>
      <w:r w:rsidRPr="009D2948">
        <w:lastRenderedPageBreak/>
        <w:t>În cazul în care o faptă sau o omisiune a unei CPC constituie mai mult de o încălcare dintre cele enumerate în anexa III, se aplică numai cuantumul cel mai ridicat al amenzii, calculat în conformitate cu alineatele (2) și (3), pentru una dintre încălcările respective.</w:t>
      </w:r>
    </w:p>
    <w:p w:rsidR="009D2948" w:rsidRPr="009D2948" w:rsidRDefault="009D2948" w:rsidP="009D2948">
      <w:pPr>
        <w:rPr>
          <w:noProof/>
        </w:rPr>
      </w:pPr>
    </w:p>
    <w:p w:rsidR="009D2948" w:rsidRPr="009D2948" w:rsidRDefault="009D2948" w:rsidP="009D2948">
      <w:pPr>
        <w:pStyle w:val="Text1"/>
        <w:jc w:val="center"/>
        <w:rPr>
          <w:bCs/>
          <w:noProof/>
        </w:rPr>
      </w:pPr>
      <w:r w:rsidRPr="009D2948">
        <w:t>Articolul 25h</w:t>
      </w:r>
    </w:p>
    <w:p w:rsidR="009D2948" w:rsidRPr="009D2948" w:rsidRDefault="009D2948" w:rsidP="009D2948">
      <w:pPr>
        <w:pStyle w:val="Text1"/>
        <w:jc w:val="center"/>
        <w:rPr>
          <w:bCs/>
          <w:noProof/>
        </w:rPr>
      </w:pPr>
      <w:r w:rsidRPr="009D2948">
        <w:t>Penalități cu titlu cominatoriu</w:t>
      </w:r>
    </w:p>
    <w:p w:rsidR="009D2948" w:rsidRPr="009D2948" w:rsidRDefault="009D2948" w:rsidP="009D2948">
      <w:pPr>
        <w:pStyle w:val="Text1"/>
        <w:rPr>
          <w:bCs/>
          <w:noProof/>
        </w:rPr>
      </w:pPr>
      <w:r w:rsidRPr="009D2948">
        <w:t>(1) ESMA impune, prin decizie, penalități cu titlu cominatoriu pentru a obliga:</w:t>
      </w:r>
    </w:p>
    <w:p w:rsidR="009D2948" w:rsidRPr="009D2948" w:rsidRDefault="009D2948" w:rsidP="009D2948">
      <w:pPr>
        <w:pStyle w:val="Text2"/>
        <w:rPr>
          <w:noProof/>
        </w:rPr>
      </w:pPr>
      <w:r w:rsidRPr="009D2948">
        <w:t xml:space="preserve">(a) o CPC de nivel 2 să pună capăt unei încălcări, în conformitate cu o decizie adoptată în temeiul articolului 25n alineatul (1) litera (a); </w:t>
      </w:r>
    </w:p>
    <w:p w:rsidR="009D2948" w:rsidRPr="009D2948" w:rsidRDefault="009D2948" w:rsidP="009D2948">
      <w:pPr>
        <w:pStyle w:val="Text2"/>
        <w:rPr>
          <w:bCs/>
          <w:noProof/>
        </w:rPr>
      </w:pPr>
      <w:r w:rsidRPr="009D2948">
        <w:t>(b) o persoană dintre cele menționate la articolul 25c alineatul (1) să furnizeze informații complete solicitate prin intermediul unei decizii adoptate în temeiul articolului 25c;</w:t>
      </w:r>
    </w:p>
    <w:p w:rsidR="009D2948" w:rsidRPr="009D2948" w:rsidRDefault="009D2948" w:rsidP="009D2948">
      <w:pPr>
        <w:pStyle w:val="Text2"/>
        <w:rPr>
          <w:bCs/>
          <w:noProof/>
        </w:rPr>
      </w:pPr>
      <w:r w:rsidRPr="009D2948">
        <w:t>(c) o CPC de nivel 2:</w:t>
      </w:r>
    </w:p>
    <w:p w:rsidR="009D2948" w:rsidRPr="009D2948" w:rsidRDefault="009D2948" w:rsidP="009D2948">
      <w:pPr>
        <w:pStyle w:val="Text3"/>
        <w:rPr>
          <w:noProof/>
        </w:rPr>
      </w:pPr>
      <w:r w:rsidRPr="009D2948">
        <w:t>(i) să se supună unei investigații și, în special, să prezinte evidențe, date și proceduri complete sau orice alte materiale solicitate și să completeze și să rectifice alte informații furnizate în cadrul unei investigații lansate prin intermediul unei decizii adoptate în temeiul articolului 25d sau</w:t>
      </w:r>
    </w:p>
    <w:p w:rsidR="009D2948" w:rsidRPr="009D2948" w:rsidRDefault="009D2948" w:rsidP="009D2948">
      <w:pPr>
        <w:pStyle w:val="Text3"/>
        <w:rPr>
          <w:bCs/>
          <w:noProof/>
        </w:rPr>
      </w:pPr>
      <w:r w:rsidRPr="009D2948">
        <w:t>(ii) să se supună unei inspecții la fața locului dispuse prin intermediul unei decizii adoptate în temeiul articolului 25e.</w:t>
      </w:r>
    </w:p>
    <w:p w:rsidR="009D2948" w:rsidRPr="009D2948" w:rsidRDefault="009D2948" w:rsidP="009D2948">
      <w:pPr>
        <w:pStyle w:val="Text1"/>
        <w:rPr>
          <w:bCs/>
          <w:noProof/>
        </w:rPr>
      </w:pPr>
      <w:r w:rsidRPr="009D2948">
        <w:t>(2) O penalitate cu titlu cominatoriu este eficace și proporțională. Penalitățile cu titlu cominatoriu se aplică pentru fiecare zi de întârziere.</w:t>
      </w:r>
    </w:p>
    <w:p w:rsidR="009D2948" w:rsidRPr="009D2948" w:rsidRDefault="009D2948" w:rsidP="009D2948">
      <w:pPr>
        <w:pStyle w:val="Text1"/>
        <w:rPr>
          <w:bCs/>
          <w:noProof/>
        </w:rPr>
      </w:pPr>
      <w:r w:rsidRPr="009D2948">
        <w:t>(3) Fără a aduce atingere alineatului (2), valoarea penalităților cu titlu cominatoriu este de 3 % din cifra de afaceri medie zilnică din exercițiul financiar precedent sau, în cazul persoanelor fizice, 2 % din venitul zilnic mediu din anul calendaristic precedent. Aceasta se calculează începând cu data prevăzută în decizia de impunere a penalității cu titlu cominatoriu.</w:t>
      </w:r>
    </w:p>
    <w:p w:rsidR="009D2948" w:rsidRPr="009D2948" w:rsidRDefault="009D2948" w:rsidP="009D2948">
      <w:pPr>
        <w:pStyle w:val="Text1"/>
        <w:rPr>
          <w:bCs/>
          <w:noProof/>
        </w:rPr>
      </w:pPr>
      <w:r w:rsidRPr="009D2948">
        <w:t>(4) Penalitățile cu titlu cominatoriu pot fi impuse pentru o perioadă de maximum șase luni de la data notificării deciziei ESMA. La sfârșitul perioadei, ESMA reexaminează măsura.</w:t>
      </w:r>
    </w:p>
    <w:p w:rsidR="009D2948" w:rsidRPr="009D2948" w:rsidRDefault="009D2948" w:rsidP="009D2948">
      <w:pPr>
        <w:rPr>
          <w:bCs/>
          <w:noProof/>
        </w:rPr>
      </w:pPr>
    </w:p>
    <w:p w:rsidR="009D2948" w:rsidRPr="009D2948" w:rsidRDefault="009D2948" w:rsidP="009D2948">
      <w:pPr>
        <w:pStyle w:val="Text1"/>
        <w:jc w:val="center"/>
        <w:rPr>
          <w:bCs/>
          <w:noProof/>
        </w:rPr>
      </w:pPr>
      <w:r w:rsidRPr="009D2948">
        <w:t>Articolul 25i</w:t>
      </w:r>
    </w:p>
    <w:p w:rsidR="009D2948" w:rsidRPr="009D2948" w:rsidRDefault="009D2948" w:rsidP="009D2948">
      <w:pPr>
        <w:pStyle w:val="Text1"/>
        <w:jc w:val="center"/>
        <w:rPr>
          <w:bCs/>
          <w:noProof/>
        </w:rPr>
      </w:pPr>
      <w:r w:rsidRPr="009D2948">
        <w:t>Audierea persoanelor în cauză</w:t>
      </w:r>
    </w:p>
    <w:p w:rsidR="009D2948" w:rsidRPr="009D2948" w:rsidRDefault="009D2948" w:rsidP="009D2948">
      <w:pPr>
        <w:pStyle w:val="Text1"/>
        <w:rPr>
          <w:bCs/>
          <w:noProof/>
        </w:rPr>
      </w:pPr>
      <w:r w:rsidRPr="009D2948">
        <w:t>(1) Înainte de adoptarea oricărei decizii de aplicare a unor amenzi sau a unor penalități cu titlu cominatoriu în temeiul articolelor 25g și 25h, ESMA acordă persoanelor care fac obiectul respectivelor proceduri posibilitatea de a fi audiate pe tema constatărilor sale. ESMA își fundamentează deciziile doar pe baza constatărilor asupra cărora persoanele care fac obiectul procedurilor au avut posibilitatea să formuleze observații.</w:t>
      </w:r>
    </w:p>
    <w:p w:rsidR="009D2948" w:rsidRPr="009D2948" w:rsidRDefault="009D2948" w:rsidP="009D2948">
      <w:pPr>
        <w:pStyle w:val="Text1"/>
        <w:rPr>
          <w:bCs/>
          <w:noProof/>
        </w:rPr>
      </w:pPr>
      <w:r w:rsidRPr="009D2948">
        <w:t xml:space="preserve">(2) Drepturile la apărare ale persoanelor care fac obiectul procedurilor se respectă pe deplin pe durata procedurilor. Aceste persoane au drept de acces la dosarul ESMA, sub rezerva interesului legitim al altor persoane de a-și proteja secretele de afaceri. </w:t>
      </w:r>
      <w:r w:rsidRPr="009D2948">
        <w:lastRenderedPageBreak/>
        <w:t>Dreptul de acces la un dosar nu se extinde și la informații confidențiale și documente interne de lucru ale autorității.</w:t>
      </w:r>
    </w:p>
    <w:p w:rsidR="009D2948" w:rsidRPr="009D2948" w:rsidRDefault="009D2948" w:rsidP="009D2948">
      <w:pPr>
        <w:rPr>
          <w:noProof/>
        </w:rPr>
      </w:pPr>
    </w:p>
    <w:p w:rsidR="009D2948" w:rsidRPr="009D2948" w:rsidRDefault="009D2948" w:rsidP="009D2948">
      <w:pPr>
        <w:pStyle w:val="Text1"/>
        <w:jc w:val="center"/>
        <w:rPr>
          <w:bCs/>
          <w:noProof/>
        </w:rPr>
      </w:pPr>
      <w:r w:rsidRPr="009D2948">
        <w:t xml:space="preserve">Articolul 25j </w:t>
      </w:r>
    </w:p>
    <w:p w:rsidR="009D2948" w:rsidRPr="009D2948" w:rsidRDefault="009D2948" w:rsidP="009D2948">
      <w:pPr>
        <w:pStyle w:val="Text1"/>
        <w:jc w:val="center"/>
        <w:rPr>
          <w:bCs/>
          <w:noProof/>
        </w:rPr>
      </w:pPr>
      <w:r w:rsidRPr="009D2948">
        <w:t>Publicarea, natura, executarea și alocarea amenzilor și a penalităților cu titlu cominatoriu</w:t>
      </w:r>
    </w:p>
    <w:p w:rsidR="009D2948" w:rsidRPr="009D2948" w:rsidRDefault="009D2948" w:rsidP="009D2948">
      <w:pPr>
        <w:pStyle w:val="Text1"/>
        <w:rPr>
          <w:bCs/>
          <w:noProof/>
        </w:rPr>
      </w:pPr>
      <w:r w:rsidRPr="009D2948">
        <w:t>(1) ESMA face publice toate amenzile și penalitățile cu titlu cominatoriu aplicate în temeiul articolelor 25g și 25h, cu excepția cazurilor în care dezvăluirea lor ar perturba grav piețele financiare sau ar aduce un prejudiciu disproporționat părților implicate. Informațiile astfel divulgate nu conțin date cu caracter personal în sensul Regulamentului (CE) nr. 45/2001.</w:t>
      </w:r>
    </w:p>
    <w:p w:rsidR="009D2948" w:rsidRPr="009D2948" w:rsidRDefault="009D2948" w:rsidP="009D2948">
      <w:pPr>
        <w:pStyle w:val="Text1"/>
        <w:rPr>
          <w:bCs/>
          <w:noProof/>
        </w:rPr>
      </w:pPr>
      <w:r w:rsidRPr="009D2948">
        <w:t>(2) Amenzile și penalitățile cu titlu cominatoriu aplicate în temeiul articolelor 25g și 25h sunt de natură administrativă.</w:t>
      </w:r>
    </w:p>
    <w:p w:rsidR="009D2948" w:rsidRPr="009D2948" w:rsidRDefault="009D2948" w:rsidP="009D2948">
      <w:pPr>
        <w:pStyle w:val="Text1"/>
        <w:rPr>
          <w:bCs/>
          <w:noProof/>
        </w:rPr>
      </w:pPr>
      <w:r w:rsidRPr="009D2948">
        <w:t>(3) În cazul în care decide să nu impună amenzi sau penalități, ESMA informează în acest sens Parlamentul European, Consiliul, Comisia și autoritățile competente relevante din țara terță respectivă, prezentând argumente în sprijinul deciziei sale.</w:t>
      </w:r>
    </w:p>
    <w:p w:rsidR="009D2948" w:rsidRPr="009D2948" w:rsidRDefault="009D2948" w:rsidP="009D2948">
      <w:pPr>
        <w:pStyle w:val="Text1"/>
        <w:rPr>
          <w:bCs/>
          <w:noProof/>
        </w:rPr>
      </w:pPr>
      <w:r w:rsidRPr="009D2948">
        <w:t>(4) Amenzile și penalitățile cu titlu cominatoriu aplicate în temeiul articolelor 25g și 25h sunt executorii.</w:t>
      </w:r>
    </w:p>
    <w:p w:rsidR="009D2948" w:rsidRPr="009D2948" w:rsidRDefault="009D2948" w:rsidP="009D2948">
      <w:pPr>
        <w:pStyle w:val="Text1"/>
        <w:rPr>
          <w:bCs/>
          <w:noProof/>
        </w:rPr>
      </w:pPr>
      <w:r w:rsidRPr="009D2948">
        <w:t>Executarea este reglementată de normele de procedură civilă în vigoare în statul membru sau în țara terță pe teritoriul căreia aceasta are loc.</w:t>
      </w:r>
    </w:p>
    <w:p w:rsidR="009D2948" w:rsidRPr="009D2948" w:rsidRDefault="009D2948" w:rsidP="009D2948">
      <w:pPr>
        <w:pStyle w:val="Text1"/>
        <w:rPr>
          <w:bCs/>
          <w:noProof/>
        </w:rPr>
      </w:pPr>
      <w:r w:rsidRPr="009D2948">
        <w:t>(5) Cuantumurile amenzilor și ale penalităților cu titlu cominatoriu se alocă bugetului general al Uniunii Europene.</w:t>
      </w:r>
    </w:p>
    <w:p w:rsidR="009D2948" w:rsidRPr="009D2948" w:rsidRDefault="009D2948" w:rsidP="009D2948">
      <w:pPr>
        <w:rPr>
          <w:bCs/>
          <w:noProof/>
        </w:rPr>
      </w:pPr>
    </w:p>
    <w:p w:rsidR="009D2948" w:rsidRPr="009D2948" w:rsidRDefault="009D2948" w:rsidP="009D2948">
      <w:pPr>
        <w:pStyle w:val="Text1"/>
        <w:jc w:val="center"/>
        <w:rPr>
          <w:bCs/>
          <w:noProof/>
        </w:rPr>
      </w:pPr>
      <w:r w:rsidRPr="009D2948">
        <w:t>Articolul 25k</w:t>
      </w:r>
    </w:p>
    <w:p w:rsidR="009D2948" w:rsidRPr="009D2948" w:rsidRDefault="009D2948" w:rsidP="009D2948">
      <w:pPr>
        <w:pStyle w:val="Text1"/>
        <w:jc w:val="center"/>
        <w:rPr>
          <w:bCs/>
          <w:noProof/>
        </w:rPr>
      </w:pPr>
      <w:r w:rsidRPr="009D2948">
        <w:t>Controlul efectuat de Curtea de Justiție</w:t>
      </w:r>
    </w:p>
    <w:p w:rsidR="009D2948" w:rsidRPr="009D2948" w:rsidRDefault="009D2948" w:rsidP="009D2948">
      <w:pPr>
        <w:pStyle w:val="Text1"/>
        <w:rPr>
          <w:bCs/>
          <w:noProof/>
        </w:rPr>
      </w:pPr>
      <w:r w:rsidRPr="009D2948">
        <w:t>Curtea de Justiție are competență nelimitată în ceea ce privește examinarea deciziilor prin care ESMA impune o amendă sau plata unor penalități cu titlu cominatoriu. Curtea de Justiție a Uniunii Europene poate anula, reduce sau majora amenda sau penalitățile cu titlu cominatoriu aplicate.</w:t>
      </w:r>
    </w:p>
    <w:p w:rsidR="009D2948" w:rsidRPr="009D2948" w:rsidRDefault="009D2948" w:rsidP="009D2948">
      <w:pPr>
        <w:rPr>
          <w:noProof/>
        </w:rPr>
      </w:pPr>
    </w:p>
    <w:p w:rsidR="009D2948" w:rsidRPr="009D2948" w:rsidRDefault="009D2948" w:rsidP="009D2948">
      <w:pPr>
        <w:pStyle w:val="Text1"/>
        <w:jc w:val="center"/>
        <w:rPr>
          <w:bCs/>
          <w:noProof/>
        </w:rPr>
      </w:pPr>
      <w:r w:rsidRPr="009D2948">
        <w:t>Articolul 25l</w:t>
      </w:r>
    </w:p>
    <w:p w:rsidR="009D2948" w:rsidRPr="009D2948" w:rsidRDefault="009D2948" w:rsidP="009D2948">
      <w:pPr>
        <w:pStyle w:val="Text1"/>
        <w:jc w:val="center"/>
        <w:rPr>
          <w:bCs/>
          <w:noProof/>
        </w:rPr>
      </w:pPr>
      <w:r w:rsidRPr="009D2948">
        <w:t>Modificări ale anexei IV</w:t>
      </w:r>
    </w:p>
    <w:p w:rsidR="009D2948" w:rsidRPr="009D2948" w:rsidRDefault="009D2948" w:rsidP="009D2948">
      <w:pPr>
        <w:pStyle w:val="Text1"/>
        <w:rPr>
          <w:bCs/>
          <w:noProof/>
        </w:rPr>
      </w:pPr>
      <w:r w:rsidRPr="009D2948">
        <w:t>Pentru a ține seama de evoluțiile de pe piețele financiare, Comisia poate adopta acte delegate în conformitate cu articolul 82 privind măsurile de modificare a anexei IV.</w:t>
      </w:r>
    </w:p>
    <w:p w:rsidR="009D2948" w:rsidRPr="009D2948" w:rsidRDefault="009D2948" w:rsidP="009D2948">
      <w:pPr>
        <w:rPr>
          <w:bCs/>
          <w:noProof/>
        </w:rPr>
      </w:pPr>
    </w:p>
    <w:p w:rsidR="009D2948" w:rsidRPr="009D2948" w:rsidRDefault="009D2948" w:rsidP="009D2948">
      <w:pPr>
        <w:pStyle w:val="Text1"/>
        <w:jc w:val="center"/>
        <w:rPr>
          <w:bCs/>
          <w:noProof/>
        </w:rPr>
      </w:pPr>
      <w:r w:rsidRPr="009D2948">
        <w:t>Articolul 25m</w:t>
      </w:r>
    </w:p>
    <w:p w:rsidR="009D2948" w:rsidRPr="009D2948" w:rsidRDefault="009D2948" w:rsidP="009D2948">
      <w:pPr>
        <w:pStyle w:val="Text1"/>
        <w:jc w:val="center"/>
        <w:rPr>
          <w:bCs/>
          <w:noProof/>
        </w:rPr>
      </w:pPr>
      <w:r w:rsidRPr="009D2948">
        <w:t>Retragerea recunoașterii</w:t>
      </w:r>
    </w:p>
    <w:p w:rsidR="009D2948" w:rsidRPr="009D2948" w:rsidRDefault="009D2948" w:rsidP="009D2948">
      <w:pPr>
        <w:pStyle w:val="Text1"/>
        <w:rPr>
          <w:bCs/>
          <w:noProof/>
        </w:rPr>
      </w:pPr>
      <w:r w:rsidRPr="009D2948">
        <w:t>(1) Fără a aduce atingere articolului 25n și sub rezerva dispozițiilor alineatelor următoare, ESMA retrage decizia de recunoaștere adoptată în conformitate cu articolul 25 în cazul în care CPC în cauză:</w:t>
      </w:r>
    </w:p>
    <w:p w:rsidR="009D2948" w:rsidRPr="009D2948" w:rsidRDefault="009D2948" w:rsidP="009D2948">
      <w:pPr>
        <w:pStyle w:val="Text2"/>
        <w:rPr>
          <w:noProof/>
        </w:rPr>
      </w:pPr>
      <w:r w:rsidRPr="009D2948">
        <w:lastRenderedPageBreak/>
        <w:t>(a) nu folosește recunoașterea timp de 6 luni, renunță în mod explicit la autorizație sau a încetat să mai desfășoare vreo activitate de mai mult de șase luni;</w:t>
      </w:r>
    </w:p>
    <w:p w:rsidR="009D2948" w:rsidRPr="009D2948" w:rsidRDefault="009D2948" w:rsidP="009D2948">
      <w:pPr>
        <w:pStyle w:val="Text2"/>
        <w:rPr>
          <w:bCs/>
          <w:noProof/>
        </w:rPr>
      </w:pPr>
      <w:r w:rsidRPr="009D2948">
        <w:t>(b) a obținut recunoașterea pe baza unor declarații false sau prin orice alte mijloace neregulamentare;</w:t>
      </w:r>
    </w:p>
    <w:p w:rsidR="009D2948" w:rsidRPr="009D2948" w:rsidRDefault="009D2948" w:rsidP="009D2948">
      <w:pPr>
        <w:pStyle w:val="Text2"/>
        <w:rPr>
          <w:bCs/>
          <w:noProof/>
        </w:rPr>
      </w:pPr>
      <w:r w:rsidRPr="009D2948">
        <w:t>(c) nu mai îndeplinește condițiile pentru recunoaștere în temeiul articolului 25 alineatul (2b);</w:t>
      </w:r>
    </w:p>
    <w:p w:rsidR="009D2948" w:rsidRPr="009D2948" w:rsidRDefault="009D2948" w:rsidP="009D2948">
      <w:pPr>
        <w:pStyle w:val="Text2"/>
        <w:rPr>
          <w:bCs/>
          <w:noProof/>
        </w:rPr>
      </w:pPr>
      <w:r w:rsidRPr="009D2948">
        <w:t xml:space="preserve">(d) actul de punere în aplicare menționat la articolul 25 alineatul (6) a fost retras sau suspendat sau nu mai sunt îndeplinite oricare dintre condițiile aferente acestuia. </w:t>
      </w:r>
    </w:p>
    <w:p w:rsidR="009D2948" w:rsidRPr="009D2948" w:rsidRDefault="009D2948" w:rsidP="009D2948">
      <w:pPr>
        <w:pStyle w:val="Text1"/>
        <w:rPr>
          <w:bCs/>
          <w:noProof/>
        </w:rPr>
      </w:pPr>
      <w:r w:rsidRPr="009D2948">
        <w:t>ESMA poate limita retragerea recunoașterii la un anumit serviciu, o anumită activitate sau o anumită clasă de instrumente financiare.</w:t>
      </w:r>
    </w:p>
    <w:p w:rsidR="009D2948" w:rsidRPr="009D2948" w:rsidRDefault="009D2948" w:rsidP="009D2948">
      <w:pPr>
        <w:pStyle w:val="Text1"/>
        <w:rPr>
          <w:bCs/>
          <w:noProof/>
        </w:rPr>
      </w:pPr>
      <w:r w:rsidRPr="009D2948">
        <w:t>Atunci când stabilește data de intrare în vigoare a deciziei de a retrage recunoașterea, ESMA face tot posibilul pentru a reduce la minimum perturbarea piețelor.</w:t>
      </w:r>
    </w:p>
    <w:p w:rsidR="009D2948" w:rsidRPr="009D2948" w:rsidRDefault="009D2948" w:rsidP="009D2948">
      <w:pPr>
        <w:pStyle w:val="Text1"/>
        <w:rPr>
          <w:bCs/>
          <w:noProof/>
        </w:rPr>
      </w:pPr>
      <w:r w:rsidRPr="009D2948">
        <w:t xml:space="preserve">(2) În cazul în care ESMA consideră că este îndeplinit criteriul menționat la alineatul (1) litera (c) în legătură cu o CPC, ESMA informează CPC respectivă și autoritățile relevante din țara terță înainte de a retrage o decizie de recunoaștere, și solicită să se ia măsuri corespunzătoare într-un termen prestabilit de maximum 3 luni pentru a remedia situația. </w:t>
      </w:r>
    </w:p>
    <w:p w:rsidR="009D2948" w:rsidRPr="009D2948" w:rsidRDefault="009D2948" w:rsidP="009D2948">
      <w:pPr>
        <w:pStyle w:val="Text1"/>
        <w:rPr>
          <w:bCs/>
          <w:noProof/>
        </w:rPr>
      </w:pPr>
      <w:r w:rsidRPr="009D2948">
        <w:t>În cazul în care ESMA consideră că nu sunt adecvate măsurile corective adoptate în termenele stabilite sau măsurile luate, aceasta retrage decizia de recunoaștere.</w:t>
      </w:r>
    </w:p>
    <w:p w:rsidR="009D2948" w:rsidRPr="009D2948" w:rsidRDefault="009D2948" w:rsidP="009D2948">
      <w:pPr>
        <w:pStyle w:val="Text1"/>
        <w:rPr>
          <w:bCs/>
          <w:noProof/>
        </w:rPr>
      </w:pPr>
      <w:r w:rsidRPr="009D2948">
        <w:t>(3) ESMA notifică fără întârziere autorității competente relevante din țara terță decizia de a retrage recunoașterea unei CPC.</w:t>
      </w:r>
    </w:p>
    <w:p w:rsidR="009D2948" w:rsidRPr="009D2948" w:rsidRDefault="009D2948" w:rsidP="009D2948">
      <w:pPr>
        <w:pStyle w:val="Text1"/>
        <w:rPr>
          <w:bCs/>
          <w:noProof/>
        </w:rPr>
      </w:pPr>
      <w:r w:rsidRPr="009D2948">
        <w:t>(4) Oricare dintre autoritățile menționate la articolul 25 alineatul (3) care consideră că a fost îndeplinită una dintre condițiile menționate la alineatul (1) poate solicita ESMA să examineze dacă sunt îndeplinite condițiile de retragere a recunoașterii CPC în cauză. În cazul în care ESMA decide să nu retragă înregistrarea CPC recunoscute în cauză, aceasta pune la dispoziția autorității solicitante o explicație completă.</w:t>
      </w:r>
    </w:p>
    <w:p w:rsidR="009D2948" w:rsidRPr="009D2948" w:rsidRDefault="009D2948" w:rsidP="009D2948">
      <w:pPr>
        <w:rPr>
          <w:noProof/>
        </w:rPr>
      </w:pPr>
    </w:p>
    <w:p w:rsidR="009D2948" w:rsidRPr="009D2948" w:rsidRDefault="009D2948" w:rsidP="009D2948">
      <w:pPr>
        <w:pStyle w:val="Text1"/>
        <w:jc w:val="center"/>
        <w:rPr>
          <w:noProof/>
        </w:rPr>
      </w:pPr>
      <w:r w:rsidRPr="009D2948">
        <w:t>Articolul 25n</w:t>
      </w:r>
    </w:p>
    <w:p w:rsidR="009D2948" w:rsidRPr="009D2948" w:rsidRDefault="009D2948" w:rsidP="009D2948">
      <w:pPr>
        <w:pStyle w:val="Text1"/>
        <w:jc w:val="center"/>
        <w:rPr>
          <w:noProof/>
        </w:rPr>
      </w:pPr>
      <w:r w:rsidRPr="009D2948">
        <w:t>Măsuri de supraveghere</w:t>
      </w:r>
    </w:p>
    <w:p w:rsidR="009D2948" w:rsidRPr="009D2948" w:rsidRDefault="009D2948" w:rsidP="009D2948">
      <w:pPr>
        <w:pStyle w:val="Text1"/>
        <w:rPr>
          <w:bCs/>
          <w:noProof/>
        </w:rPr>
      </w:pPr>
      <w:r w:rsidRPr="009D2948">
        <w:t>(1) Atunci când, în conformitate cu articolul 25f alineatul (5), ESMA constată faptul că o CPC de nivel 2 a săvârșit una dintre încălcările enumerate în anexa III, aceasta ia una sau mai multe dintre următoarele decizii:</w:t>
      </w:r>
    </w:p>
    <w:p w:rsidR="009D2948" w:rsidRPr="009D2948" w:rsidRDefault="009D2948" w:rsidP="009D2948">
      <w:pPr>
        <w:pStyle w:val="Text2"/>
        <w:rPr>
          <w:noProof/>
        </w:rPr>
      </w:pPr>
      <w:r w:rsidRPr="009D2948">
        <w:t>(a) solicită CPC să pună capăt încălcării;</w:t>
      </w:r>
    </w:p>
    <w:p w:rsidR="009D2948" w:rsidRPr="009D2948" w:rsidRDefault="009D2948" w:rsidP="009D2948">
      <w:pPr>
        <w:pStyle w:val="Text2"/>
        <w:rPr>
          <w:bCs/>
          <w:noProof/>
        </w:rPr>
      </w:pPr>
      <w:r w:rsidRPr="009D2948">
        <w:t>(b) aplică amenzi în temeiul articolului 25g;</w:t>
      </w:r>
    </w:p>
    <w:p w:rsidR="009D2948" w:rsidRPr="009D2948" w:rsidRDefault="009D2948" w:rsidP="009D2948">
      <w:pPr>
        <w:pStyle w:val="Text2"/>
        <w:rPr>
          <w:bCs/>
          <w:noProof/>
        </w:rPr>
      </w:pPr>
      <w:r w:rsidRPr="009D2948">
        <w:t>(c) emite anunțuri publice;</w:t>
      </w:r>
    </w:p>
    <w:p w:rsidR="009D2948" w:rsidRPr="009D2948" w:rsidRDefault="009D2948" w:rsidP="009D2948">
      <w:pPr>
        <w:pStyle w:val="Text2"/>
        <w:rPr>
          <w:bCs/>
          <w:noProof/>
        </w:rPr>
      </w:pPr>
      <w:r w:rsidRPr="009D2948">
        <w:t>(d) retrage recunoașterea CPC în conformitate cu articolul 25m.</w:t>
      </w:r>
    </w:p>
    <w:p w:rsidR="009D2948" w:rsidRPr="009D2948" w:rsidRDefault="009D2948" w:rsidP="009D2948">
      <w:pPr>
        <w:pStyle w:val="Text1"/>
        <w:rPr>
          <w:bCs/>
          <w:noProof/>
        </w:rPr>
      </w:pPr>
      <w:r w:rsidRPr="009D2948">
        <w:t>(2) Atunci când ia deciziile menționate la alineatul (1), ESMA ține seama de natura și gravitatea încălcării, având în vedere următoarele criterii:</w:t>
      </w:r>
    </w:p>
    <w:p w:rsidR="009D2948" w:rsidRPr="009D2948" w:rsidRDefault="009D2948" w:rsidP="009D2948">
      <w:pPr>
        <w:pStyle w:val="Text2"/>
        <w:rPr>
          <w:bCs/>
          <w:noProof/>
        </w:rPr>
      </w:pPr>
      <w:r w:rsidRPr="009D2948">
        <w:t>(a) durata și frecvența încălcării;</w:t>
      </w:r>
    </w:p>
    <w:p w:rsidR="009D2948" w:rsidRPr="009D2948" w:rsidRDefault="009D2948" w:rsidP="009D2948">
      <w:pPr>
        <w:pStyle w:val="Text2"/>
        <w:rPr>
          <w:bCs/>
          <w:noProof/>
        </w:rPr>
      </w:pPr>
      <w:r w:rsidRPr="009D2948">
        <w:lastRenderedPageBreak/>
        <w:t>(b) dacă încălcarea a evidențiat deficiențe grave sau sistemice ale procedurilor, ale sistemelor de gestionare sau ale mecanismelor de control intern ale CPC;</w:t>
      </w:r>
    </w:p>
    <w:p w:rsidR="009D2948" w:rsidRPr="009D2948" w:rsidRDefault="009D2948" w:rsidP="009D2948">
      <w:pPr>
        <w:pStyle w:val="Text2"/>
        <w:rPr>
          <w:bCs/>
          <w:noProof/>
        </w:rPr>
      </w:pPr>
      <w:r w:rsidRPr="009D2948">
        <w:t>(c) dacă încălcarea a facilitat sau a dat naștere unor infracțiuni de natură financiară sau dacă acestea din urmă sunt imputabile în alt mod respectivei încălcări;</w:t>
      </w:r>
    </w:p>
    <w:p w:rsidR="009D2948" w:rsidRPr="009D2948" w:rsidRDefault="009D2948" w:rsidP="009D2948">
      <w:pPr>
        <w:pStyle w:val="Text2"/>
        <w:rPr>
          <w:bCs/>
          <w:noProof/>
        </w:rPr>
      </w:pPr>
      <w:r w:rsidRPr="009D2948">
        <w:t>(d) dacă încălcarea a fost săvârșită în mod intenționat sau din neglijență.</w:t>
      </w:r>
    </w:p>
    <w:p w:rsidR="009D2948" w:rsidRPr="009D2948" w:rsidRDefault="009D2948" w:rsidP="009D2948">
      <w:pPr>
        <w:pStyle w:val="Text1"/>
        <w:rPr>
          <w:bCs/>
          <w:noProof/>
        </w:rPr>
      </w:pPr>
      <w:r w:rsidRPr="009D2948">
        <w:t>(3) ESMA notifică fără întârzieri nejustificate orice decizie adoptată în temeiul alineatului (1) CPC în cauză și o comunică autorităților relevante ale țării terțe și Comisiei. ESMA publică orice decizie de acest fel pe site-ul său web în termen de 10 zile lucrătoare de la data adoptării acesteia.</w:t>
      </w:r>
    </w:p>
    <w:p w:rsidR="009D2948" w:rsidRPr="009D2948" w:rsidRDefault="009D2948" w:rsidP="009D2948">
      <w:pPr>
        <w:pStyle w:val="Text1"/>
        <w:rPr>
          <w:bCs/>
          <w:noProof/>
        </w:rPr>
      </w:pPr>
      <w:r w:rsidRPr="009D2948">
        <w:t>Atunci când își publică decizia, în conformitate cu primul paragraf, ESMA face public, de asemenea, dreptul CPC în cauză de a formula o cale de atac cu privire la decizie și, după caz, faptul că a fost inițiată o astfel de cale de atac, precizând că aceasta nu are un efect suspensiv, precum și posibilitatea suspendării aplicării deciziei contestate de către comisia de apel a ESMA, în conformitate cu articolul 60 alineatul (3) din Regulamentul (UE) nr. 1095/2010.”</w:t>
      </w:r>
    </w:p>
    <w:p w:rsidR="009D2948" w:rsidRPr="009D2948" w:rsidRDefault="009D2948" w:rsidP="009D2948">
      <w:pPr>
        <w:pStyle w:val="ManualNumPar1"/>
        <w:rPr>
          <w:noProof/>
        </w:rPr>
      </w:pPr>
      <w:r w:rsidRPr="009D2948">
        <w:t>(11)</w:t>
      </w:r>
      <w:r w:rsidRPr="009D2948">
        <w:tab/>
        <w:t>Articolul 49 se modifică după cum urmează:</w:t>
      </w:r>
    </w:p>
    <w:p w:rsidR="009D2948" w:rsidRPr="009D2948" w:rsidRDefault="009D2948" w:rsidP="00AF5EB7">
      <w:pPr>
        <w:pStyle w:val="Point0letter"/>
        <w:numPr>
          <w:ilvl w:val="1"/>
          <w:numId w:val="14"/>
        </w:numPr>
        <w:rPr>
          <w:noProof/>
        </w:rPr>
      </w:pPr>
      <w:r w:rsidRPr="009D2948">
        <w:t>alineatul (1) se înlocuiește cu următorul text:</w:t>
      </w:r>
    </w:p>
    <w:p w:rsidR="009D2948" w:rsidRPr="009D2948" w:rsidRDefault="009D2948" w:rsidP="009D2948">
      <w:pPr>
        <w:pStyle w:val="Text1"/>
        <w:rPr>
          <w:bCs/>
          <w:iCs/>
          <w:noProof/>
        </w:rPr>
      </w:pPr>
      <w:r w:rsidRPr="009D2948">
        <w:t xml:space="preserve">„(1) O CPC examinează periodic modelele și parametrii adoptați pentru calcularea cerințelor de marjă, a contribuțiilor la fondul de garantare, a cerințelor în materie de garanții și a altor mecanisme de control al riscului. CPC supune modelele unor teste de rezistență periodice și riguroase pentru a le evalua rezistența în condiții de piață extreme, dar plauzibile și efectuează testări </w:t>
      </w:r>
      <w:r w:rsidRPr="009D2948">
        <w:rPr>
          <w:i/>
        </w:rPr>
        <w:t>ex post</w:t>
      </w:r>
      <w:r w:rsidRPr="009D2948">
        <w:t xml:space="preserve"> pentru a evalua fiabilitatea metodei adoptate. CPC obține validarea independentă, informează autoritatea sa competentă și ESMA în legătură cu rezultatele testelor efectuate și obține validarea din partea autorității competente în conformitate cu alineatul (1a) înainte de a adopta orice modificare semnificativă a modelelor sau parametrilor. </w:t>
      </w:r>
    </w:p>
    <w:p w:rsidR="009D2948" w:rsidRPr="009D2948" w:rsidRDefault="009D2948" w:rsidP="009D2948">
      <w:pPr>
        <w:pStyle w:val="Text1"/>
        <w:rPr>
          <w:bCs/>
          <w:noProof/>
        </w:rPr>
      </w:pPr>
      <w:r w:rsidRPr="009D2948">
        <w:t>Modelele și parametrii adoptați, inclusiv orice modificare semnificativă a acestora, fac obiectul unui aviz al colegiului în conformitate cu alineatele următoare.</w:t>
      </w:r>
    </w:p>
    <w:p w:rsidR="009D2948" w:rsidRPr="009D2948" w:rsidRDefault="009D2948" w:rsidP="009D2948">
      <w:pPr>
        <w:pStyle w:val="Text1"/>
        <w:rPr>
          <w:noProof/>
        </w:rPr>
      </w:pPr>
      <w:r w:rsidRPr="009D2948">
        <w:t>ESMA se asigură că informațiile cu privire la rezultatele testelor de rezistență sunt transmise AES, SEBC și Comitetului unic de rezoluție pentru a le permite să evalueze expunerea întreprinderilor financiare la situația de neîndeplinire a obligațiilor de plată a CPC.”</w:t>
      </w:r>
    </w:p>
    <w:p w:rsidR="009D2948" w:rsidRPr="009D2948" w:rsidRDefault="009D2948" w:rsidP="00AF5EB7">
      <w:pPr>
        <w:pStyle w:val="Point0letter"/>
        <w:numPr>
          <w:ilvl w:val="1"/>
          <w:numId w:val="14"/>
        </w:numPr>
        <w:rPr>
          <w:noProof/>
        </w:rPr>
      </w:pPr>
      <w:r w:rsidRPr="009D2948">
        <w:t>Se introduc următoarele alineate (1a), (1b), (1c), (1d), (1e) și (1f):</w:t>
      </w:r>
    </w:p>
    <w:p w:rsidR="009D2948" w:rsidRPr="009D2948" w:rsidRDefault="009D2948" w:rsidP="009D2948">
      <w:pPr>
        <w:pStyle w:val="Text1"/>
        <w:rPr>
          <w:bCs/>
          <w:noProof/>
        </w:rPr>
      </w:pPr>
      <w:r w:rsidRPr="009D2948">
        <w:t>„(1a) În cazul în care o CPC intenționează să adopte o modificare semnificativă a modelelor sau parametrilor menționați la alineatul (1), aceasta trebuie să solicite autorității competente validarea acestei modificări. CPC atașează la această solicitare o validare independentă a modificărilor avute în vedere.</w:t>
      </w:r>
    </w:p>
    <w:p w:rsidR="009D2948" w:rsidRPr="009D2948" w:rsidRDefault="009D2948" w:rsidP="009D2948">
      <w:pPr>
        <w:pStyle w:val="Text1"/>
        <w:rPr>
          <w:bCs/>
          <w:noProof/>
        </w:rPr>
      </w:pPr>
      <w:r w:rsidRPr="009D2948">
        <w:t>(1b) În termen de 30 de zile lucrătoare de la primirea solicitării, autoritatea competentă, în consultare cu ESMA, efectuează o evaluare a riscului CPC și prezintă un raport colegiului instituit în conformitate cu articolul 18.</w:t>
      </w:r>
    </w:p>
    <w:p w:rsidR="009D2948" w:rsidRPr="009D2948" w:rsidRDefault="009D2948" w:rsidP="009D2948">
      <w:pPr>
        <w:pStyle w:val="Text1"/>
        <w:rPr>
          <w:bCs/>
          <w:noProof/>
        </w:rPr>
      </w:pPr>
      <w:r w:rsidRPr="009D2948">
        <w:t>(1c) În termen de 15 zile lucrătoare de la primirea raportului menționat la alineatul (1b), colegiul adoptă un aviz majoritar în conformitate cu articolul 19 alineatul (3).</w:t>
      </w:r>
    </w:p>
    <w:p w:rsidR="009D2948" w:rsidRPr="009D2948" w:rsidRDefault="009D2948" w:rsidP="009D2948">
      <w:pPr>
        <w:pStyle w:val="Text1"/>
        <w:rPr>
          <w:bCs/>
          <w:noProof/>
        </w:rPr>
      </w:pPr>
      <w:r w:rsidRPr="009D2948">
        <w:lastRenderedPageBreak/>
        <w:t>(1d) În termen de 60 de zile lucrătoare de la primirea solicitării menționate la alineatul (1a), autoritatea competentă informează CPC în scris, oferind o explicație pe deplin motivată, dacă validarea îi este acordată sau refuzată.</w:t>
      </w:r>
    </w:p>
    <w:p w:rsidR="009D2948" w:rsidRPr="009D2948" w:rsidRDefault="009D2948" w:rsidP="009D2948">
      <w:pPr>
        <w:pStyle w:val="Text1"/>
        <w:rPr>
          <w:bCs/>
          <w:noProof/>
        </w:rPr>
      </w:pPr>
      <w:r w:rsidRPr="009D2948">
        <w:t>(1e) CPC nu poate adopta nicio modificare semnificativă a modelelor sau a parametrilor menționați la alineatul (1) înainte de a obține validarea menționată la alineatul (5). În cazuri justificate corespunzător, autoritatea competentă a CPC, cu acordul ESMA, poate permite adoptarea provizorie a unei modificări semnificative a modelelor sau parametrilor înainte de validarea acesteia.</w:t>
      </w:r>
    </w:p>
    <w:p w:rsidR="009D2948" w:rsidRPr="009D2948" w:rsidRDefault="009D2948" w:rsidP="009D2948">
      <w:pPr>
        <w:pStyle w:val="ManualNumPar1"/>
        <w:rPr>
          <w:noProof/>
        </w:rPr>
      </w:pPr>
      <w:r w:rsidRPr="009D2948">
        <w:t>(12)</w:t>
      </w:r>
      <w:r w:rsidRPr="009D2948">
        <w:tab/>
        <w:t>La articolul 89, se adaugă următoarele alineate:</w:t>
      </w:r>
    </w:p>
    <w:p w:rsidR="009D2948" w:rsidRPr="009D2948" w:rsidRDefault="009D2948" w:rsidP="009D2948">
      <w:pPr>
        <w:pStyle w:val="Text1"/>
        <w:rPr>
          <w:bCs/>
          <w:noProof/>
        </w:rPr>
      </w:pPr>
      <w:r w:rsidRPr="009D2948">
        <w:t>„(3a) ESMA nu își exercită competențele în conformitate cu articolul 25 alineatele (2a), (2b) și (2c) până la [</w:t>
      </w:r>
      <w:r w:rsidRPr="009D2948">
        <w:rPr>
          <w:i/>
        </w:rPr>
        <w:t>a se introduce data intrării în vigoare a actului delegat menționat la articolul respectiv alineatul (3) al doilea paragraf</w:t>
      </w:r>
      <w:r w:rsidRPr="009D2948">
        <w:t xml:space="preserve">] </w:t>
      </w:r>
    </w:p>
    <w:p w:rsidR="009D2948" w:rsidRPr="009D2948" w:rsidRDefault="009D2948" w:rsidP="009D2948">
      <w:pPr>
        <w:pStyle w:val="Text1"/>
        <w:rPr>
          <w:bCs/>
          <w:noProof/>
        </w:rPr>
      </w:pPr>
      <w:r w:rsidRPr="009D2948">
        <w:t>(3b) ESMA reexaminează deciziile de recunoaștere adoptate în conformitate cu articolul 25 alineatul (1) înainte de [</w:t>
      </w:r>
      <w:r w:rsidRPr="009D2948">
        <w:rPr>
          <w:i/>
        </w:rPr>
        <w:t>data intrării în vigoare a prezentului regulament</w:t>
      </w:r>
      <w:r w:rsidRPr="009D2948">
        <w:t>] în termen de 12 luni de la intrarea în vigoare a actului delegat menționat la articolul 25 alineatul (2a) al doilea paragraf, în conformitate cu articolul 25 alineatul (5).”</w:t>
      </w:r>
    </w:p>
    <w:p w:rsidR="009D2948" w:rsidRPr="009D2948" w:rsidRDefault="009D2948" w:rsidP="009D2948">
      <w:pPr>
        <w:pStyle w:val="ManualNumPar1"/>
        <w:rPr>
          <w:noProof/>
        </w:rPr>
      </w:pPr>
      <w:r w:rsidRPr="009D2948">
        <w:t>(13)</w:t>
      </w:r>
      <w:r w:rsidRPr="009D2948">
        <w:tab/>
        <w:t>Textele cuprinse în anexa la prezentul regulament se atașează sub forma anexelor III și IV.</w:t>
      </w:r>
    </w:p>
    <w:p w:rsidR="009D2948" w:rsidRPr="009D2948" w:rsidRDefault="009D2948" w:rsidP="009D2948">
      <w:pPr>
        <w:pStyle w:val="NormalCentered"/>
        <w:rPr>
          <w:noProof/>
        </w:rPr>
      </w:pPr>
      <w:r w:rsidRPr="009D2948">
        <w:t>Articolul 3</w:t>
      </w:r>
    </w:p>
    <w:p w:rsidR="009D2948" w:rsidRPr="009D2948" w:rsidRDefault="009D2948" w:rsidP="009D2948">
      <w:pPr>
        <w:rPr>
          <w:noProof/>
        </w:rPr>
      </w:pPr>
      <w:r w:rsidRPr="009D2948">
        <w:t xml:space="preserve">Prezentul regulament intră în vigoare în a douăzecea zi de la data publicării în </w:t>
      </w:r>
      <w:r w:rsidRPr="009D2948">
        <w:rPr>
          <w:i/>
        </w:rPr>
        <w:t>Jurnalul Oficial al Uniunii Europene</w:t>
      </w:r>
      <w:r w:rsidRPr="009D2948">
        <w:t>.</w:t>
      </w:r>
    </w:p>
    <w:p w:rsidR="009D2948" w:rsidRPr="009D2948" w:rsidRDefault="009D2948" w:rsidP="009D2948">
      <w:pPr>
        <w:pStyle w:val="Applicationdirecte"/>
        <w:rPr>
          <w:noProof/>
        </w:rPr>
      </w:pPr>
      <w:r w:rsidRPr="009D2948">
        <w:t>Prezentul regulament este obligatoriu în toate elementele sale și se aplică direct în toate statele membre.</w:t>
      </w:r>
    </w:p>
    <w:p w:rsidR="009D2948" w:rsidRPr="009D2948" w:rsidRDefault="009D2948" w:rsidP="009D2948">
      <w:pPr>
        <w:pStyle w:val="Fait"/>
        <w:rPr>
          <w:noProof/>
        </w:rPr>
      </w:pPr>
      <w:r w:rsidRPr="009D2948">
        <w:t>Adoptat la Bruxelles,</w:t>
      </w:r>
    </w:p>
    <w:p w:rsidR="009D2948" w:rsidRPr="009D2948" w:rsidRDefault="009D2948" w:rsidP="009D2948">
      <w:pPr>
        <w:pStyle w:val="Institutionquisigne"/>
        <w:rPr>
          <w:noProof/>
        </w:rPr>
      </w:pPr>
      <w:r w:rsidRPr="009D2948">
        <w:t>Pentru Parlamentul European,</w:t>
      </w:r>
      <w:r w:rsidRPr="009D2948">
        <w:tab/>
        <w:t>Pentru Consiliu,</w:t>
      </w:r>
    </w:p>
    <w:p w:rsidR="009D2948" w:rsidRPr="009D2948" w:rsidRDefault="009D2948" w:rsidP="009D2948">
      <w:pPr>
        <w:pStyle w:val="Personnequisigne"/>
        <w:rPr>
          <w:noProof/>
        </w:rPr>
      </w:pPr>
      <w:r w:rsidRPr="009D2948">
        <w:t>Președintele</w:t>
      </w:r>
      <w:r w:rsidRPr="009D2948">
        <w:tab/>
        <w:t>Președintele</w:t>
      </w:r>
    </w:p>
    <w:p w:rsidR="009D2948" w:rsidRPr="009D2948" w:rsidRDefault="009D2948" w:rsidP="009D2948">
      <w:pPr>
        <w:rPr>
          <w:noProof/>
        </w:rPr>
        <w:sectPr w:rsidR="009D2948" w:rsidRPr="009D2948" w:rsidSect="006B1E4D">
          <w:pgSz w:w="11907" w:h="16839"/>
          <w:pgMar w:top="1134" w:right="1417" w:bottom="1134" w:left="1417" w:header="709" w:footer="709" w:gutter="0"/>
          <w:cols w:space="708"/>
          <w:docGrid w:linePitch="360"/>
        </w:sectPr>
      </w:pPr>
    </w:p>
    <w:p w:rsidR="009D2948" w:rsidRPr="009D2948" w:rsidRDefault="009D2948" w:rsidP="009D2948">
      <w:pPr>
        <w:pStyle w:val="Fichefinanciretitre"/>
        <w:rPr>
          <w:noProof/>
        </w:rPr>
      </w:pPr>
      <w:r w:rsidRPr="009D2948">
        <w:lastRenderedPageBreak/>
        <w:t>FIȘĂ FINANCIARĂ LEGISLATIVĂ</w:t>
      </w:r>
    </w:p>
    <w:p w:rsidR="009D2948" w:rsidRPr="009D2948" w:rsidRDefault="009D2948" w:rsidP="009D2948">
      <w:pPr>
        <w:pStyle w:val="ManualHeading1"/>
        <w:rPr>
          <w:noProof/>
        </w:rPr>
      </w:pPr>
      <w:r w:rsidRPr="009D2948">
        <w:t>1.</w:t>
      </w:r>
      <w:r w:rsidRPr="009D2948">
        <w:tab/>
        <w:t xml:space="preserve">CADRUL PROPUNERII/INIȚIATIVEI </w:t>
      </w:r>
    </w:p>
    <w:p w:rsidR="009D2948" w:rsidRPr="009D2948" w:rsidRDefault="009D2948" w:rsidP="009D2948">
      <w:pPr>
        <w:pStyle w:val="ManualHeading2"/>
        <w:rPr>
          <w:b w:val="0"/>
          <w:noProof/>
        </w:rPr>
      </w:pPr>
      <w:r w:rsidRPr="009D2948">
        <w:tab/>
      </w:r>
      <w:r w:rsidRPr="009D2948">
        <w:rPr>
          <w:b w:val="0"/>
          <w:noProof/>
        </w:rPr>
        <w:t>1.1.</w:t>
      </w:r>
      <w:r w:rsidRPr="009D2948">
        <w:tab/>
      </w:r>
      <w:r w:rsidRPr="009D2948">
        <w:rPr>
          <w:b w:val="0"/>
          <w:noProof/>
        </w:rPr>
        <w:t xml:space="preserve">Denumirea propunerii/inițiativei </w:t>
      </w:r>
    </w:p>
    <w:p w:rsidR="009D2948" w:rsidRPr="009D2948" w:rsidRDefault="009D2948" w:rsidP="009D2948">
      <w:pPr>
        <w:pStyle w:val="ManualHeading2"/>
        <w:rPr>
          <w:b w:val="0"/>
          <w:noProof/>
        </w:rPr>
      </w:pPr>
      <w:r w:rsidRPr="009D2948">
        <w:tab/>
      </w:r>
      <w:r w:rsidRPr="009D2948">
        <w:rPr>
          <w:b w:val="0"/>
          <w:noProof/>
        </w:rPr>
        <w:t>1.2.</w:t>
      </w:r>
      <w:r w:rsidRPr="009D2948">
        <w:tab/>
      </w:r>
      <w:r w:rsidRPr="009D2948">
        <w:rPr>
          <w:b w:val="0"/>
          <w:noProof/>
        </w:rPr>
        <w:t>Domeniul (domeniile) de politică în cauză în structura ABM/ABB</w:t>
      </w:r>
    </w:p>
    <w:p w:rsidR="009D2948" w:rsidRPr="009D2948" w:rsidRDefault="009D2948" w:rsidP="009D2948">
      <w:pPr>
        <w:pStyle w:val="ManualHeading2"/>
        <w:rPr>
          <w:b w:val="0"/>
          <w:noProof/>
        </w:rPr>
      </w:pPr>
      <w:r w:rsidRPr="009D2948">
        <w:tab/>
      </w:r>
      <w:r w:rsidRPr="009D2948">
        <w:rPr>
          <w:b w:val="0"/>
          <w:noProof/>
        </w:rPr>
        <w:t>1.3.</w:t>
      </w:r>
      <w:r w:rsidRPr="009D2948">
        <w:tab/>
      </w:r>
      <w:r w:rsidRPr="009D2948">
        <w:rPr>
          <w:b w:val="0"/>
          <w:noProof/>
        </w:rPr>
        <w:t xml:space="preserve">Tipul propunerii/inițiativei </w:t>
      </w:r>
    </w:p>
    <w:p w:rsidR="009D2948" w:rsidRPr="009D2948" w:rsidRDefault="009D2948" w:rsidP="009D2948">
      <w:pPr>
        <w:pStyle w:val="ManualHeading2"/>
        <w:rPr>
          <w:b w:val="0"/>
          <w:noProof/>
        </w:rPr>
      </w:pPr>
      <w:r w:rsidRPr="009D2948">
        <w:tab/>
      </w:r>
      <w:r w:rsidRPr="009D2948">
        <w:rPr>
          <w:b w:val="0"/>
          <w:noProof/>
        </w:rPr>
        <w:t>1.4.</w:t>
      </w:r>
      <w:r w:rsidRPr="009D2948">
        <w:tab/>
      </w:r>
      <w:r w:rsidRPr="009D2948">
        <w:rPr>
          <w:b w:val="0"/>
          <w:noProof/>
        </w:rPr>
        <w:t xml:space="preserve">Obiectiv(e) </w:t>
      </w:r>
    </w:p>
    <w:p w:rsidR="009D2948" w:rsidRPr="009D2948" w:rsidRDefault="009D2948" w:rsidP="009D2948">
      <w:pPr>
        <w:pStyle w:val="ManualHeading2"/>
        <w:rPr>
          <w:b w:val="0"/>
          <w:noProof/>
        </w:rPr>
      </w:pPr>
      <w:r w:rsidRPr="009D2948">
        <w:tab/>
      </w:r>
      <w:r w:rsidRPr="009D2948">
        <w:rPr>
          <w:b w:val="0"/>
          <w:noProof/>
        </w:rPr>
        <w:t>1.5.</w:t>
      </w:r>
      <w:r w:rsidRPr="009D2948">
        <w:tab/>
      </w:r>
      <w:r w:rsidRPr="009D2948">
        <w:rPr>
          <w:b w:val="0"/>
          <w:noProof/>
        </w:rPr>
        <w:t xml:space="preserve">Motivele propunerii/inițiativei </w:t>
      </w:r>
    </w:p>
    <w:p w:rsidR="009D2948" w:rsidRPr="009D2948" w:rsidRDefault="009D2948" w:rsidP="009D2948">
      <w:pPr>
        <w:pStyle w:val="ManualHeading2"/>
        <w:rPr>
          <w:b w:val="0"/>
          <w:noProof/>
        </w:rPr>
      </w:pPr>
      <w:r w:rsidRPr="009D2948">
        <w:tab/>
      </w:r>
      <w:r w:rsidRPr="009D2948">
        <w:rPr>
          <w:b w:val="0"/>
          <w:noProof/>
        </w:rPr>
        <w:t>1.6.</w:t>
      </w:r>
      <w:r w:rsidRPr="009D2948">
        <w:tab/>
      </w:r>
      <w:r w:rsidRPr="009D2948">
        <w:rPr>
          <w:b w:val="0"/>
          <w:noProof/>
        </w:rPr>
        <w:t xml:space="preserve">Durata și impactul financiar </w:t>
      </w:r>
    </w:p>
    <w:p w:rsidR="009D2948" w:rsidRPr="009D2948" w:rsidRDefault="009D2948" w:rsidP="009D2948">
      <w:pPr>
        <w:pStyle w:val="ManualHeading2"/>
        <w:rPr>
          <w:b w:val="0"/>
          <w:noProof/>
        </w:rPr>
      </w:pPr>
      <w:r w:rsidRPr="009D2948">
        <w:tab/>
      </w:r>
      <w:r w:rsidRPr="009D2948">
        <w:rPr>
          <w:b w:val="0"/>
          <w:noProof/>
        </w:rPr>
        <w:t>1.7.</w:t>
      </w:r>
      <w:r w:rsidRPr="009D2948">
        <w:tab/>
      </w:r>
      <w:r w:rsidRPr="009D2948">
        <w:rPr>
          <w:b w:val="0"/>
          <w:noProof/>
        </w:rPr>
        <w:t xml:space="preserve">Modul (modurile) de gestiune preconizat(e) </w:t>
      </w:r>
    </w:p>
    <w:p w:rsidR="009D2948" w:rsidRPr="009D2948" w:rsidRDefault="009D2948" w:rsidP="009D2948">
      <w:pPr>
        <w:pStyle w:val="ManualHeading1"/>
        <w:rPr>
          <w:noProof/>
        </w:rPr>
      </w:pPr>
      <w:r w:rsidRPr="009D2948">
        <w:t>2.</w:t>
      </w:r>
      <w:r w:rsidRPr="009D2948">
        <w:tab/>
        <w:t xml:space="preserve">MĂSURI DE GESTIONARE </w:t>
      </w:r>
    </w:p>
    <w:p w:rsidR="009D2948" w:rsidRPr="009D2948" w:rsidRDefault="009D2948" w:rsidP="009D2948">
      <w:pPr>
        <w:pStyle w:val="ManualHeading2"/>
        <w:rPr>
          <w:b w:val="0"/>
          <w:noProof/>
        </w:rPr>
      </w:pPr>
      <w:r w:rsidRPr="009D2948">
        <w:tab/>
      </w:r>
      <w:r w:rsidRPr="009D2948">
        <w:rPr>
          <w:b w:val="0"/>
          <w:noProof/>
        </w:rPr>
        <w:t>2.1.</w:t>
      </w:r>
      <w:r w:rsidRPr="009D2948">
        <w:tab/>
      </w:r>
      <w:r w:rsidRPr="009D2948">
        <w:rPr>
          <w:b w:val="0"/>
          <w:noProof/>
        </w:rPr>
        <w:t xml:space="preserve">Dispoziții în materie de monitorizare și de raportare </w:t>
      </w:r>
    </w:p>
    <w:p w:rsidR="009D2948" w:rsidRPr="009D2948" w:rsidRDefault="009D2948" w:rsidP="009D2948">
      <w:pPr>
        <w:pStyle w:val="ManualHeading2"/>
        <w:rPr>
          <w:b w:val="0"/>
          <w:noProof/>
        </w:rPr>
      </w:pPr>
      <w:r w:rsidRPr="009D2948">
        <w:tab/>
      </w:r>
      <w:r w:rsidRPr="009D2948">
        <w:rPr>
          <w:b w:val="0"/>
          <w:noProof/>
        </w:rPr>
        <w:t>2.2.</w:t>
      </w:r>
      <w:r w:rsidRPr="009D2948">
        <w:tab/>
      </w:r>
      <w:r w:rsidRPr="009D2948">
        <w:rPr>
          <w:b w:val="0"/>
          <w:noProof/>
        </w:rPr>
        <w:t xml:space="preserve">Sistemul de gestiune și de control </w:t>
      </w:r>
    </w:p>
    <w:p w:rsidR="009D2948" w:rsidRPr="009D2948" w:rsidRDefault="009D2948" w:rsidP="009D2948">
      <w:pPr>
        <w:pStyle w:val="ManualHeading2"/>
        <w:rPr>
          <w:b w:val="0"/>
          <w:noProof/>
        </w:rPr>
      </w:pPr>
      <w:r w:rsidRPr="009D2948">
        <w:tab/>
      </w:r>
      <w:r w:rsidRPr="009D2948">
        <w:rPr>
          <w:b w:val="0"/>
          <w:noProof/>
        </w:rPr>
        <w:t>2.3.</w:t>
      </w:r>
      <w:r w:rsidRPr="009D2948">
        <w:tab/>
      </w:r>
      <w:r w:rsidRPr="009D2948">
        <w:rPr>
          <w:b w:val="0"/>
          <w:noProof/>
        </w:rPr>
        <w:t xml:space="preserve">Măsuri de prevenire a fraudelor și a neregulilor </w:t>
      </w:r>
    </w:p>
    <w:p w:rsidR="009D2948" w:rsidRPr="009D2948" w:rsidRDefault="009D2948" w:rsidP="009D2948">
      <w:pPr>
        <w:pStyle w:val="ManualHeading1"/>
        <w:rPr>
          <w:noProof/>
        </w:rPr>
      </w:pPr>
      <w:r w:rsidRPr="009D2948">
        <w:t>3.</w:t>
      </w:r>
      <w:r w:rsidRPr="009D2948">
        <w:tab/>
        <w:t xml:space="preserve">IMPACTUL FINANCIAR ESTIMAT AL PROPUNERII/INIȚIATIVEI </w:t>
      </w:r>
    </w:p>
    <w:p w:rsidR="009D2948" w:rsidRPr="009D2948" w:rsidRDefault="009D2948" w:rsidP="009D2948">
      <w:pPr>
        <w:pStyle w:val="ManualHeading2"/>
        <w:rPr>
          <w:b w:val="0"/>
          <w:noProof/>
        </w:rPr>
      </w:pPr>
      <w:r w:rsidRPr="009D2948">
        <w:tab/>
      </w:r>
      <w:r w:rsidRPr="009D2948">
        <w:rPr>
          <w:b w:val="0"/>
          <w:noProof/>
        </w:rPr>
        <w:t>3.1.</w:t>
      </w:r>
      <w:r w:rsidRPr="009D2948">
        <w:tab/>
      </w:r>
      <w:r w:rsidRPr="009D2948">
        <w:rPr>
          <w:b w:val="0"/>
          <w:noProof/>
        </w:rPr>
        <w:t xml:space="preserve">Rubrica (rubricile) din cadrul financiar multianual și linia (liniile) bugetară (bugetare) de cheltuieli afectată (afectate) </w:t>
      </w:r>
    </w:p>
    <w:p w:rsidR="009D2948" w:rsidRPr="009D2948" w:rsidRDefault="009D2948" w:rsidP="009D2948">
      <w:pPr>
        <w:pStyle w:val="ManualHeading2"/>
        <w:rPr>
          <w:noProof/>
        </w:rPr>
      </w:pPr>
      <w:r w:rsidRPr="009D2948">
        <w:tab/>
      </w:r>
      <w:r w:rsidRPr="009D2948">
        <w:rPr>
          <w:b w:val="0"/>
          <w:noProof/>
        </w:rPr>
        <w:t>3.2.</w:t>
      </w:r>
      <w:r w:rsidRPr="009D2948">
        <w:tab/>
      </w:r>
      <w:r w:rsidRPr="009D2948">
        <w:rPr>
          <w:b w:val="0"/>
          <w:noProof/>
        </w:rPr>
        <w:t>Impactul estimat asupra cheltuielilor</w:t>
      </w:r>
      <w:r w:rsidRPr="009D2948">
        <w:t xml:space="preserve"> </w:t>
      </w:r>
    </w:p>
    <w:p w:rsidR="009D2948" w:rsidRPr="009D2948" w:rsidRDefault="009D2948" w:rsidP="009D2948">
      <w:pPr>
        <w:pStyle w:val="ManualHeading3"/>
        <w:rPr>
          <w:noProof/>
        </w:rPr>
      </w:pPr>
      <w:r w:rsidRPr="009D2948">
        <w:tab/>
        <w:t>3.2.1.</w:t>
      </w:r>
      <w:r w:rsidRPr="009D2948">
        <w:tab/>
        <w:t xml:space="preserve">Sinteza impactului estimat asupra cheltuielilor </w:t>
      </w:r>
    </w:p>
    <w:p w:rsidR="009D2948" w:rsidRPr="009D2948" w:rsidRDefault="009D2948" w:rsidP="009D2948">
      <w:pPr>
        <w:pStyle w:val="ManualHeading3"/>
        <w:rPr>
          <w:noProof/>
        </w:rPr>
      </w:pPr>
      <w:r w:rsidRPr="009D2948">
        <w:tab/>
        <w:t>3.2.2.</w:t>
      </w:r>
      <w:r w:rsidRPr="009D2948">
        <w:tab/>
        <w:t xml:space="preserve">Impactul estimat asupra creditelor operaționale </w:t>
      </w:r>
    </w:p>
    <w:p w:rsidR="009D2948" w:rsidRPr="009D2948" w:rsidRDefault="009D2948" w:rsidP="009D2948">
      <w:pPr>
        <w:pStyle w:val="ManualHeading3"/>
        <w:rPr>
          <w:noProof/>
        </w:rPr>
      </w:pPr>
      <w:r w:rsidRPr="009D2948">
        <w:tab/>
        <w:t>3.2.3.</w:t>
      </w:r>
      <w:r w:rsidRPr="009D2948">
        <w:tab/>
        <w:t>Impactul estimat asupra creditelor cu caracter administrativ</w:t>
      </w:r>
    </w:p>
    <w:p w:rsidR="009D2948" w:rsidRPr="009D2948" w:rsidRDefault="009D2948" w:rsidP="009D2948">
      <w:pPr>
        <w:pStyle w:val="ManualHeading3"/>
        <w:rPr>
          <w:noProof/>
        </w:rPr>
      </w:pPr>
      <w:r w:rsidRPr="009D2948">
        <w:tab/>
        <w:t>3.2.4.</w:t>
      </w:r>
      <w:r w:rsidRPr="009D2948">
        <w:tab/>
        <w:t>Compatibilitatea cu actualul cadru financiar multianual</w:t>
      </w:r>
    </w:p>
    <w:p w:rsidR="009D2948" w:rsidRPr="009D2948" w:rsidRDefault="009D2948" w:rsidP="009D2948">
      <w:pPr>
        <w:pStyle w:val="ManualHeading3"/>
        <w:rPr>
          <w:noProof/>
        </w:rPr>
      </w:pPr>
      <w:r w:rsidRPr="009D2948">
        <w:tab/>
        <w:t>3.2.5.</w:t>
      </w:r>
      <w:r w:rsidRPr="009D2948">
        <w:tab/>
        <w:t xml:space="preserve">Contribuția terților </w:t>
      </w:r>
    </w:p>
    <w:p w:rsidR="009D2948" w:rsidRPr="009D2948" w:rsidRDefault="009D2948" w:rsidP="009D2948">
      <w:pPr>
        <w:pStyle w:val="ManualHeading2"/>
        <w:jc w:val="left"/>
        <w:rPr>
          <w:b w:val="0"/>
          <w:noProof/>
        </w:rPr>
        <w:sectPr w:rsidR="009D2948" w:rsidRPr="009D2948" w:rsidSect="006B1E4D">
          <w:pgSz w:w="11907" w:h="16840" w:code="9"/>
          <w:pgMar w:top="1134" w:right="1418" w:bottom="1134" w:left="1418" w:header="709" w:footer="709" w:gutter="0"/>
          <w:cols w:space="708"/>
          <w:docGrid w:linePitch="360"/>
        </w:sectPr>
      </w:pPr>
      <w:r w:rsidRPr="009D2948">
        <w:tab/>
      </w:r>
      <w:r w:rsidRPr="009D2948">
        <w:rPr>
          <w:b w:val="0"/>
          <w:noProof/>
        </w:rPr>
        <w:t>3.3.</w:t>
      </w:r>
      <w:r w:rsidRPr="009D2948">
        <w:tab/>
      </w:r>
      <w:r w:rsidRPr="009D2948">
        <w:rPr>
          <w:b w:val="0"/>
          <w:noProof/>
        </w:rPr>
        <w:t>Impactul estimat asupra veniturilor</w:t>
      </w:r>
    </w:p>
    <w:p w:rsidR="009D2948" w:rsidRPr="009D2948" w:rsidRDefault="009D2948" w:rsidP="009D2948">
      <w:pPr>
        <w:jc w:val="center"/>
        <w:rPr>
          <w:noProof/>
        </w:rPr>
      </w:pPr>
      <w:r w:rsidRPr="009D2948">
        <w:rPr>
          <w:b/>
          <w:noProof/>
          <w:u w:val="single"/>
        </w:rPr>
        <w:lastRenderedPageBreak/>
        <w:t>FIȘĂ FINANCIARĂ LEGISLATIVĂ</w:t>
      </w:r>
    </w:p>
    <w:p w:rsidR="009D2948" w:rsidRPr="009D2948" w:rsidRDefault="009D2948" w:rsidP="009D2948">
      <w:pPr>
        <w:pStyle w:val="ManualHeading1"/>
        <w:rPr>
          <w:noProof/>
        </w:rPr>
      </w:pPr>
      <w:r w:rsidRPr="009D2948">
        <w:t>1.</w:t>
      </w:r>
      <w:r w:rsidRPr="009D2948">
        <w:tab/>
        <w:t xml:space="preserve">CADRUL PROPUNERII/INIȚIATIVEI </w:t>
      </w:r>
    </w:p>
    <w:p w:rsidR="009D2948" w:rsidRPr="009D2948" w:rsidRDefault="009D2948" w:rsidP="009D2948">
      <w:pPr>
        <w:pStyle w:val="ManualHeading2"/>
        <w:rPr>
          <w:b w:val="0"/>
          <w:noProof/>
        </w:rPr>
      </w:pPr>
      <w:r w:rsidRPr="009D2948">
        <w:tab/>
      </w:r>
      <w:r w:rsidRPr="009D2948">
        <w:rPr>
          <w:b w:val="0"/>
          <w:noProof/>
        </w:rPr>
        <w:t>1.1.</w:t>
      </w:r>
      <w:r w:rsidRPr="009D2948">
        <w:tab/>
      </w:r>
      <w:r w:rsidRPr="009D2948">
        <w:rPr>
          <w:b w:val="0"/>
          <w:noProof/>
        </w:rPr>
        <w:t xml:space="preserve">Denumirea propunerii/inițiativei </w:t>
      </w:r>
    </w:p>
    <w:p w:rsidR="009D2948" w:rsidRPr="009D2948" w:rsidRDefault="009D2948" w:rsidP="009D2948">
      <w:pPr>
        <w:pStyle w:val="ManualHeading2"/>
        <w:rPr>
          <w:b w:val="0"/>
          <w:noProof/>
        </w:rPr>
      </w:pPr>
      <w:r w:rsidRPr="009D2948">
        <w:tab/>
      </w:r>
      <w:r w:rsidRPr="009D2948">
        <w:rPr>
          <w:b w:val="0"/>
          <w:noProof/>
        </w:rPr>
        <w:t>1.2.</w:t>
      </w:r>
      <w:r w:rsidRPr="009D2948">
        <w:tab/>
      </w:r>
      <w:r w:rsidRPr="009D2948">
        <w:rPr>
          <w:b w:val="0"/>
          <w:noProof/>
        </w:rPr>
        <w:t>Domeniul (domeniile) de politică vizat(e)</w:t>
      </w:r>
    </w:p>
    <w:p w:rsidR="009D2948" w:rsidRPr="009D2948" w:rsidRDefault="009D2948" w:rsidP="009D2948">
      <w:pPr>
        <w:pStyle w:val="ManualHeading2"/>
        <w:rPr>
          <w:b w:val="0"/>
          <w:noProof/>
        </w:rPr>
      </w:pPr>
      <w:r w:rsidRPr="009D2948">
        <w:tab/>
      </w:r>
      <w:r w:rsidRPr="009D2948">
        <w:rPr>
          <w:b w:val="0"/>
          <w:noProof/>
        </w:rPr>
        <w:t>1.3.</w:t>
      </w:r>
      <w:r w:rsidRPr="009D2948">
        <w:tab/>
      </w:r>
      <w:r w:rsidRPr="009D2948">
        <w:rPr>
          <w:b w:val="0"/>
          <w:noProof/>
        </w:rPr>
        <w:t xml:space="preserve">Tipul propunerii/inițiativei </w:t>
      </w:r>
    </w:p>
    <w:p w:rsidR="009D2948" w:rsidRPr="009D2948" w:rsidRDefault="009D2948" w:rsidP="009D2948">
      <w:pPr>
        <w:pStyle w:val="ManualHeading2"/>
        <w:rPr>
          <w:b w:val="0"/>
          <w:noProof/>
        </w:rPr>
      </w:pPr>
      <w:r w:rsidRPr="009D2948">
        <w:tab/>
      </w:r>
      <w:r w:rsidRPr="009D2948">
        <w:rPr>
          <w:b w:val="0"/>
          <w:noProof/>
        </w:rPr>
        <w:t>1.4.</w:t>
      </w:r>
      <w:r w:rsidRPr="009D2948">
        <w:tab/>
      </w:r>
      <w:r w:rsidRPr="009D2948">
        <w:rPr>
          <w:b w:val="0"/>
          <w:noProof/>
        </w:rPr>
        <w:t xml:space="preserve">Obiectiv(e) </w:t>
      </w:r>
    </w:p>
    <w:p w:rsidR="009D2948" w:rsidRPr="009D2948" w:rsidRDefault="009D2948" w:rsidP="009D2948">
      <w:pPr>
        <w:pStyle w:val="ManualHeading2"/>
        <w:rPr>
          <w:b w:val="0"/>
          <w:noProof/>
        </w:rPr>
      </w:pPr>
      <w:r w:rsidRPr="009D2948">
        <w:tab/>
      </w:r>
      <w:r w:rsidRPr="009D2948">
        <w:rPr>
          <w:b w:val="0"/>
          <w:noProof/>
        </w:rPr>
        <w:t>1.5.</w:t>
      </w:r>
      <w:r w:rsidRPr="009D2948">
        <w:tab/>
      </w:r>
      <w:r w:rsidRPr="009D2948">
        <w:rPr>
          <w:b w:val="0"/>
          <w:noProof/>
        </w:rPr>
        <w:t xml:space="preserve">Motivele propunerii/inițiativei </w:t>
      </w:r>
    </w:p>
    <w:p w:rsidR="009D2948" w:rsidRPr="009D2948" w:rsidRDefault="009D2948" w:rsidP="009D2948">
      <w:pPr>
        <w:pStyle w:val="ManualHeading2"/>
        <w:rPr>
          <w:b w:val="0"/>
          <w:noProof/>
        </w:rPr>
      </w:pPr>
      <w:r w:rsidRPr="009D2948">
        <w:tab/>
      </w:r>
      <w:r w:rsidRPr="009D2948">
        <w:rPr>
          <w:b w:val="0"/>
          <w:noProof/>
        </w:rPr>
        <w:t>1.6.</w:t>
      </w:r>
      <w:r w:rsidRPr="009D2948">
        <w:tab/>
      </w:r>
      <w:r w:rsidRPr="009D2948">
        <w:rPr>
          <w:b w:val="0"/>
          <w:noProof/>
        </w:rPr>
        <w:t xml:space="preserve">Durata și impactul financiar </w:t>
      </w:r>
    </w:p>
    <w:p w:rsidR="009D2948" w:rsidRPr="009D2948" w:rsidRDefault="009D2948" w:rsidP="009D2948">
      <w:pPr>
        <w:pStyle w:val="ManualHeading2"/>
        <w:rPr>
          <w:b w:val="0"/>
          <w:noProof/>
        </w:rPr>
      </w:pPr>
      <w:r w:rsidRPr="009D2948">
        <w:tab/>
      </w:r>
      <w:r w:rsidRPr="009D2948">
        <w:rPr>
          <w:b w:val="0"/>
          <w:noProof/>
        </w:rPr>
        <w:t>1.7.</w:t>
      </w:r>
      <w:r w:rsidRPr="009D2948">
        <w:tab/>
      </w:r>
      <w:r w:rsidRPr="009D2948">
        <w:rPr>
          <w:b w:val="0"/>
          <w:noProof/>
        </w:rPr>
        <w:t xml:space="preserve">Modul (modurile) de gestiune preconizat(e) </w:t>
      </w:r>
    </w:p>
    <w:p w:rsidR="009D2948" w:rsidRPr="009D2948" w:rsidRDefault="009D2948" w:rsidP="009D2948">
      <w:pPr>
        <w:pStyle w:val="ManualHeading1"/>
        <w:rPr>
          <w:noProof/>
        </w:rPr>
      </w:pPr>
      <w:r w:rsidRPr="009D2948">
        <w:t>2.</w:t>
      </w:r>
      <w:r w:rsidRPr="009D2948">
        <w:tab/>
        <w:t xml:space="preserve">MĂSURI DE GESTIONARE </w:t>
      </w:r>
    </w:p>
    <w:p w:rsidR="009D2948" w:rsidRPr="009D2948" w:rsidRDefault="009D2948" w:rsidP="009D2948">
      <w:pPr>
        <w:pStyle w:val="ManualHeading2"/>
        <w:rPr>
          <w:b w:val="0"/>
          <w:noProof/>
        </w:rPr>
      </w:pPr>
      <w:r w:rsidRPr="009D2948">
        <w:tab/>
      </w:r>
      <w:r w:rsidRPr="009D2948">
        <w:rPr>
          <w:b w:val="0"/>
          <w:noProof/>
        </w:rPr>
        <w:t>2.1.</w:t>
      </w:r>
      <w:r w:rsidRPr="009D2948">
        <w:tab/>
      </w:r>
      <w:r w:rsidRPr="009D2948">
        <w:rPr>
          <w:b w:val="0"/>
          <w:noProof/>
        </w:rPr>
        <w:t xml:space="preserve">Dispoziții în materie de monitorizare și de raportare </w:t>
      </w:r>
    </w:p>
    <w:p w:rsidR="009D2948" w:rsidRPr="009D2948" w:rsidRDefault="009D2948" w:rsidP="009D2948">
      <w:pPr>
        <w:pStyle w:val="ManualHeading2"/>
        <w:rPr>
          <w:b w:val="0"/>
          <w:noProof/>
        </w:rPr>
      </w:pPr>
      <w:r w:rsidRPr="009D2948">
        <w:tab/>
      </w:r>
      <w:r w:rsidRPr="009D2948">
        <w:rPr>
          <w:b w:val="0"/>
          <w:noProof/>
        </w:rPr>
        <w:t>2.2.</w:t>
      </w:r>
      <w:r w:rsidRPr="009D2948">
        <w:tab/>
      </w:r>
      <w:r w:rsidRPr="009D2948">
        <w:rPr>
          <w:b w:val="0"/>
          <w:noProof/>
        </w:rPr>
        <w:t xml:space="preserve">Sistemul de gestiune și de control </w:t>
      </w:r>
    </w:p>
    <w:p w:rsidR="009D2948" w:rsidRPr="009D2948" w:rsidRDefault="009D2948" w:rsidP="009D2948">
      <w:pPr>
        <w:pStyle w:val="ManualHeading2"/>
        <w:rPr>
          <w:b w:val="0"/>
          <w:noProof/>
        </w:rPr>
      </w:pPr>
      <w:r w:rsidRPr="009D2948">
        <w:tab/>
      </w:r>
      <w:r w:rsidRPr="009D2948">
        <w:rPr>
          <w:b w:val="0"/>
          <w:noProof/>
        </w:rPr>
        <w:t>2.3.</w:t>
      </w:r>
      <w:r w:rsidRPr="009D2948">
        <w:tab/>
      </w:r>
      <w:r w:rsidRPr="009D2948">
        <w:rPr>
          <w:b w:val="0"/>
          <w:noProof/>
        </w:rPr>
        <w:t xml:space="preserve">Măsuri de prevenire a fraudelor și a neregulilor </w:t>
      </w:r>
    </w:p>
    <w:p w:rsidR="009D2948" w:rsidRPr="009D2948" w:rsidRDefault="009D2948" w:rsidP="009D2948">
      <w:pPr>
        <w:pStyle w:val="ManualHeading1"/>
        <w:rPr>
          <w:noProof/>
        </w:rPr>
      </w:pPr>
      <w:r w:rsidRPr="009D2948">
        <w:t>3.</w:t>
      </w:r>
      <w:r w:rsidRPr="009D2948">
        <w:tab/>
        <w:t xml:space="preserve">IMPACTUL FINANCIAR ESTIMAT AL PROPUNERII/INIȚIATIVEI </w:t>
      </w:r>
    </w:p>
    <w:p w:rsidR="009D2948" w:rsidRPr="009D2948" w:rsidRDefault="009D2948" w:rsidP="009D2948">
      <w:pPr>
        <w:pStyle w:val="ManualHeading2"/>
        <w:rPr>
          <w:b w:val="0"/>
          <w:noProof/>
        </w:rPr>
      </w:pPr>
      <w:r w:rsidRPr="009D2948">
        <w:tab/>
      </w:r>
      <w:r w:rsidRPr="009D2948">
        <w:rPr>
          <w:b w:val="0"/>
          <w:noProof/>
        </w:rPr>
        <w:t>3.1.</w:t>
      </w:r>
      <w:r w:rsidRPr="009D2948">
        <w:tab/>
      </w:r>
      <w:r w:rsidRPr="009D2948">
        <w:rPr>
          <w:b w:val="0"/>
          <w:noProof/>
        </w:rPr>
        <w:t xml:space="preserve">Rubrica (rubricile) din cadrul financiar multianual și linia (liniile) bugetară (bugetare) de cheltuieli afectată (afectate) </w:t>
      </w:r>
    </w:p>
    <w:p w:rsidR="009D2948" w:rsidRPr="009D2948" w:rsidRDefault="009D2948" w:rsidP="009D2948">
      <w:pPr>
        <w:pStyle w:val="ManualHeading2"/>
        <w:rPr>
          <w:noProof/>
        </w:rPr>
      </w:pPr>
      <w:r w:rsidRPr="009D2948">
        <w:tab/>
      </w:r>
      <w:r w:rsidRPr="009D2948">
        <w:rPr>
          <w:b w:val="0"/>
          <w:noProof/>
        </w:rPr>
        <w:t>3.2.</w:t>
      </w:r>
      <w:r w:rsidRPr="009D2948">
        <w:tab/>
      </w:r>
      <w:r w:rsidRPr="009D2948">
        <w:rPr>
          <w:b w:val="0"/>
          <w:noProof/>
        </w:rPr>
        <w:t>Impactul estimat asupra cheltuielilor</w:t>
      </w:r>
      <w:r w:rsidRPr="009D2948">
        <w:t xml:space="preserve"> </w:t>
      </w:r>
    </w:p>
    <w:p w:rsidR="009D2948" w:rsidRPr="009D2948" w:rsidRDefault="009D2948" w:rsidP="009D2948">
      <w:pPr>
        <w:pStyle w:val="ManualHeading3"/>
        <w:rPr>
          <w:noProof/>
        </w:rPr>
      </w:pPr>
      <w:r w:rsidRPr="009D2948">
        <w:tab/>
        <w:t>3.2.1.</w:t>
      </w:r>
      <w:r w:rsidRPr="009D2948">
        <w:tab/>
        <w:t xml:space="preserve">Sinteza impactului estimat asupra cheltuielilor </w:t>
      </w:r>
    </w:p>
    <w:p w:rsidR="009D2948" w:rsidRPr="009D2948" w:rsidRDefault="009D2948" w:rsidP="009D2948">
      <w:pPr>
        <w:pStyle w:val="ManualHeading3"/>
        <w:rPr>
          <w:noProof/>
        </w:rPr>
      </w:pPr>
      <w:r w:rsidRPr="009D2948">
        <w:tab/>
        <w:t>3.2.2.</w:t>
      </w:r>
      <w:r w:rsidRPr="009D2948">
        <w:tab/>
        <w:t xml:space="preserve">Impactul estimat asupra creditelor operaționale </w:t>
      </w:r>
    </w:p>
    <w:p w:rsidR="009D2948" w:rsidRPr="009D2948" w:rsidRDefault="009D2948" w:rsidP="009D2948">
      <w:pPr>
        <w:pStyle w:val="ManualHeading3"/>
        <w:rPr>
          <w:noProof/>
        </w:rPr>
      </w:pPr>
      <w:r w:rsidRPr="009D2948">
        <w:tab/>
        <w:t>3.2.3.</w:t>
      </w:r>
      <w:r w:rsidRPr="009D2948">
        <w:tab/>
        <w:t>Impactul estimat asupra creditelor cu caracter administrativ</w:t>
      </w:r>
    </w:p>
    <w:p w:rsidR="009D2948" w:rsidRPr="009D2948" w:rsidRDefault="009D2948" w:rsidP="009D2948">
      <w:pPr>
        <w:pStyle w:val="ManualHeading3"/>
        <w:rPr>
          <w:noProof/>
        </w:rPr>
      </w:pPr>
      <w:r w:rsidRPr="009D2948">
        <w:tab/>
        <w:t>3.2.4.</w:t>
      </w:r>
      <w:r w:rsidRPr="009D2948">
        <w:tab/>
        <w:t>Compatibilitatea cu actualul cadru financiar multianual</w:t>
      </w:r>
    </w:p>
    <w:p w:rsidR="009D2948" w:rsidRPr="009D2948" w:rsidRDefault="009D2948" w:rsidP="009D2948">
      <w:pPr>
        <w:pStyle w:val="ManualHeading3"/>
        <w:rPr>
          <w:noProof/>
        </w:rPr>
      </w:pPr>
      <w:r w:rsidRPr="009D2948">
        <w:tab/>
        <w:t>3.2.5.</w:t>
      </w:r>
      <w:r w:rsidRPr="009D2948">
        <w:tab/>
        <w:t xml:space="preserve">Contribuția terților </w:t>
      </w:r>
    </w:p>
    <w:p w:rsidR="009D2948" w:rsidRPr="009D2948" w:rsidRDefault="009D2948" w:rsidP="009D2948">
      <w:pPr>
        <w:pStyle w:val="ManualHeading2"/>
        <w:jc w:val="left"/>
        <w:rPr>
          <w:b w:val="0"/>
          <w:noProof/>
        </w:rPr>
        <w:sectPr w:rsidR="009D2948" w:rsidRPr="009D2948" w:rsidSect="006B1E4D">
          <w:pgSz w:w="11907" w:h="16840" w:code="9"/>
          <w:pgMar w:top="1134" w:right="1418" w:bottom="1134" w:left="1418" w:header="709" w:footer="709" w:gutter="0"/>
          <w:cols w:space="708"/>
          <w:docGrid w:linePitch="360"/>
        </w:sectPr>
      </w:pPr>
      <w:r w:rsidRPr="009D2948">
        <w:tab/>
      </w:r>
      <w:r w:rsidRPr="009D2948">
        <w:rPr>
          <w:b w:val="0"/>
          <w:noProof/>
        </w:rPr>
        <w:t>3.3.</w:t>
      </w:r>
      <w:r w:rsidRPr="009D2948">
        <w:tab/>
      </w:r>
      <w:r w:rsidRPr="009D2948">
        <w:rPr>
          <w:b w:val="0"/>
          <w:noProof/>
        </w:rPr>
        <w:t>Impactul estimat asupra veniturilor</w:t>
      </w:r>
    </w:p>
    <w:p w:rsidR="009D2948" w:rsidRPr="009D2948" w:rsidRDefault="009D2948" w:rsidP="009D2948">
      <w:pPr>
        <w:jc w:val="center"/>
        <w:rPr>
          <w:b/>
          <w:noProof/>
          <w:u w:val="single"/>
        </w:rPr>
      </w:pPr>
      <w:r w:rsidRPr="009D2948">
        <w:rPr>
          <w:b/>
          <w:noProof/>
          <w:u w:val="single"/>
        </w:rPr>
        <w:lastRenderedPageBreak/>
        <w:t>FIȘĂ FINANCIARĂ LEGISLATIVĂ</w:t>
      </w:r>
    </w:p>
    <w:p w:rsidR="009D2948" w:rsidRPr="009D2948" w:rsidRDefault="009D2948" w:rsidP="009D2948">
      <w:pPr>
        <w:pStyle w:val="ManualHeading1"/>
        <w:rPr>
          <w:noProof/>
        </w:rPr>
      </w:pPr>
      <w:r w:rsidRPr="009D2948">
        <w:t>1.</w:t>
      </w:r>
      <w:r w:rsidRPr="009D2948">
        <w:tab/>
        <w:t xml:space="preserve">CADRUL PROPUNERII/INIȚIATIVEI </w:t>
      </w:r>
    </w:p>
    <w:p w:rsidR="009D2948" w:rsidRPr="009D2948" w:rsidRDefault="009D2948" w:rsidP="009D2948">
      <w:pPr>
        <w:pStyle w:val="ManualHeading2"/>
        <w:rPr>
          <w:noProof/>
        </w:rPr>
      </w:pPr>
      <w:r w:rsidRPr="009D2948">
        <w:t>1.1.</w:t>
      </w:r>
      <w:r w:rsidRPr="009D2948">
        <w:tab/>
        <w:t xml:space="preserve">Denumirea propunerii/inițiativei </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Propunere de regulament al Parlamentului European și al Consiliului de modificare a Regulamentului (UE) nr. 1095/2010 de instituire a Autorității europene de supraveghere (Autoritatea Europeană pentru Valori Mobiliare și Piețe) și a Regulamentului (UE) nr. 648/2012 în ceea ce privește procedurile și autoritățile implicate în autorizarea contrapărților centrale și cerințele pentru recunoașterea contrapărților centrale din țări terțe.</w:t>
      </w:r>
    </w:p>
    <w:p w:rsidR="009D2948" w:rsidRPr="009D2948" w:rsidRDefault="009D2948" w:rsidP="009D2948">
      <w:pPr>
        <w:pStyle w:val="ManualHeading2"/>
        <w:rPr>
          <w:noProof/>
          <w:szCs w:val="24"/>
        </w:rPr>
      </w:pPr>
      <w:r w:rsidRPr="009D2948">
        <w:t>1.2.</w:t>
      </w:r>
      <w:r w:rsidRPr="009D2948">
        <w:tab/>
        <w:t>Domeniul (domeniile) de politică vizat(e)</w:t>
      </w:r>
      <w:r w:rsidRPr="009D2948">
        <w:rPr>
          <w:i/>
          <w:noProof/>
        </w:rPr>
        <w:t xml:space="preserve"> </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Piață internă - piețe financiare</w:t>
      </w:r>
    </w:p>
    <w:p w:rsidR="009D2948" w:rsidRPr="009D2948" w:rsidRDefault="009D2948" w:rsidP="009D2948">
      <w:pPr>
        <w:pStyle w:val="ManualHeading2"/>
        <w:rPr>
          <w:bCs/>
          <w:noProof/>
          <w:szCs w:val="24"/>
        </w:rPr>
      </w:pPr>
      <w:r w:rsidRPr="009D2948">
        <w:t>1.3.</w:t>
      </w:r>
      <w:r w:rsidRPr="009D2948">
        <w:tab/>
        <w:t xml:space="preserve">Tipul propunerii/inițiativei </w:t>
      </w:r>
    </w:p>
    <w:p w:rsidR="009D2948" w:rsidRPr="009D2948" w:rsidRDefault="009D2948" w:rsidP="009D2948">
      <w:pPr>
        <w:pStyle w:val="Text1"/>
        <w:rPr>
          <w:b/>
          <w:noProof/>
          <w:sz w:val="22"/>
        </w:rPr>
      </w:pPr>
      <w:r w:rsidRPr="009D2948">
        <w:t xml:space="preserve">X Propunerea/inițiativa se referă la </w:t>
      </w:r>
      <w:r w:rsidRPr="009D2948">
        <w:rPr>
          <w:b/>
        </w:rPr>
        <w:t>o acțiune nouă</w:t>
      </w:r>
      <w:r w:rsidRPr="009D2948">
        <w:rPr>
          <w:b/>
          <w:noProof/>
          <w:sz w:val="22"/>
        </w:rPr>
        <w:t xml:space="preserve"> </w:t>
      </w:r>
    </w:p>
    <w:p w:rsidR="009D2948" w:rsidRPr="009D2948" w:rsidRDefault="009D2948" w:rsidP="009D2948">
      <w:pPr>
        <w:pStyle w:val="Text1"/>
        <w:rPr>
          <w:noProof/>
          <w:sz w:val="22"/>
        </w:rPr>
      </w:pPr>
      <w:r w:rsidRPr="009D2948">
        <w:rPr>
          <w:noProof/>
          <w:sz w:val="22"/>
        </w:rPr>
        <w:sym w:font="Wingdings" w:char="F0A8"/>
      </w:r>
      <w:r w:rsidRPr="009D2948">
        <w:t xml:space="preserve"> Propunerea/inițiativa se referă la </w:t>
      </w:r>
      <w:r w:rsidRPr="009D2948">
        <w:rPr>
          <w:b/>
        </w:rPr>
        <w:t>o acțiune nouă ca urmare a unui proiect-pilot/a unei acțiuni pregătitoare</w:t>
      </w:r>
      <w:r w:rsidRPr="009D2948">
        <w:rPr>
          <w:rStyle w:val="FootnoteReference"/>
          <w:b/>
          <w:noProof/>
        </w:rPr>
        <w:footnoteReference w:id="55"/>
      </w:r>
      <w:r w:rsidRPr="009D2948">
        <w:rPr>
          <w:noProof/>
          <w:sz w:val="22"/>
        </w:rPr>
        <w:t xml:space="preserve"> </w:t>
      </w:r>
    </w:p>
    <w:p w:rsidR="009D2948" w:rsidRPr="009D2948" w:rsidRDefault="009D2948" w:rsidP="009D2948">
      <w:pPr>
        <w:pStyle w:val="Text1"/>
        <w:rPr>
          <w:noProof/>
          <w:sz w:val="22"/>
        </w:rPr>
      </w:pPr>
      <w:r w:rsidRPr="009D2948">
        <w:rPr>
          <w:noProof/>
          <w:sz w:val="22"/>
        </w:rPr>
        <w:sym w:font="Wingdings" w:char="F0A8"/>
      </w:r>
      <w:r w:rsidRPr="009D2948">
        <w:t xml:space="preserve">Propunerea/inițiativa se referă la </w:t>
      </w:r>
      <w:r w:rsidRPr="009D2948">
        <w:rPr>
          <w:b/>
        </w:rPr>
        <w:t>prelungirea unei acțiuni existente</w:t>
      </w:r>
      <w:r w:rsidRPr="009D2948">
        <w:rPr>
          <w:noProof/>
          <w:sz w:val="22"/>
        </w:rPr>
        <w:t xml:space="preserve"> </w:t>
      </w:r>
    </w:p>
    <w:p w:rsidR="009D2948" w:rsidRPr="009D2948" w:rsidRDefault="009D2948" w:rsidP="009D2948">
      <w:pPr>
        <w:pStyle w:val="Text1"/>
        <w:rPr>
          <w:noProof/>
        </w:rPr>
      </w:pPr>
      <w:r w:rsidRPr="009D2948">
        <w:rPr>
          <w:noProof/>
          <w:sz w:val="22"/>
        </w:rPr>
        <w:sym w:font="Wingdings" w:char="F0A8"/>
      </w:r>
      <w:r w:rsidRPr="009D2948">
        <w:t xml:space="preserve">Propunerea/inițiativa se referă la </w:t>
      </w:r>
      <w:r w:rsidRPr="009D2948">
        <w:rPr>
          <w:b/>
        </w:rPr>
        <w:t>o acțiune reorientată către o acțiune nouă</w:t>
      </w:r>
      <w:r w:rsidRPr="009D2948">
        <w:t xml:space="preserve"> </w:t>
      </w:r>
    </w:p>
    <w:p w:rsidR="009D2948" w:rsidRPr="009D2948" w:rsidRDefault="009D2948" w:rsidP="009D2948">
      <w:pPr>
        <w:pStyle w:val="ManualHeading2"/>
        <w:rPr>
          <w:bCs/>
          <w:noProof/>
          <w:szCs w:val="24"/>
        </w:rPr>
      </w:pPr>
      <w:r w:rsidRPr="009D2948">
        <w:t>1.4.</w:t>
      </w:r>
      <w:r w:rsidRPr="009D2948">
        <w:tab/>
        <w:t>Obiectiv(e)</w:t>
      </w:r>
    </w:p>
    <w:p w:rsidR="009D2948" w:rsidRPr="009D2948" w:rsidRDefault="009D2948" w:rsidP="009D2948">
      <w:pPr>
        <w:pStyle w:val="ManualHeading3"/>
        <w:rPr>
          <w:noProof/>
        </w:rPr>
      </w:pPr>
      <w:r w:rsidRPr="009D2948">
        <w:t>1.4.1.</w:t>
      </w:r>
      <w:r w:rsidRPr="009D2948">
        <w:tab/>
        <w:t xml:space="preserve">Obiectiv(e) strategic(e) multianual(e) al(e) Comisiei vizat(e) de propunere/inițiativă </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Contribuie la o piață internă mai aprofundată și mai echitabilă.</w:t>
      </w:r>
    </w:p>
    <w:p w:rsidR="009D2948" w:rsidRPr="009D2948" w:rsidRDefault="009D2948" w:rsidP="009D2948">
      <w:pPr>
        <w:pStyle w:val="ManualHeading3"/>
        <w:rPr>
          <w:bCs/>
          <w:noProof/>
          <w:szCs w:val="24"/>
        </w:rPr>
      </w:pPr>
      <w:r w:rsidRPr="009D2948">
        <w:t>1.4.2.</w:t>
      </w:r>
      <w:r w:rsidRPr="009D2948">
        <w:tab/>
        <w:t>Obiectiv(e) specific(e)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sz w:val="20"/>
          <w:szCs w:val="20"/>
        </w:rPr>
      </w:pPr>
      <w:r w:rsidRPr="009D2948">
        <w:rPr>
          <w:noProof/>
          <w:u w:val="single"/>
        </w:rPr>
        <w:t>Obiectivul specific nr.</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2.5 Cadrul de reglementare financiară este evaluat, pus în aplicare în mod corespunzător și executat la nivelul UE.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2.6 Instituțiile financiare pot absorbi pierderile și șocurile de lichiditate, infrastructurile pieței financiare sunt stabile și funcționează eficace, iar riscurile structurale și macroprudențiale ciclice sunt abordate în mod proactiv.</w:t>
      </w:r>
    </w:p>
    <w:p w:rsidR="009D2948" w:rsidRPr="009D2948" w:rsidRDefault="009D2948" w:rsidP="009D2948">
      <w:pPr>
        <w:pStyle w:val="ManualHeading3"/>
        <w:rPr>
          <w:bCs/>
          <w:noProof/>
          <w:szCs w:val="24"/>
        </w:rPr>
      </w:pPr>
      <w:r w:rsidRPr="009D2948">
        <w:br w:type="page"/>
      </w:r>
      <w:r w:rsidRPr="009D2948">
        <w:lastRenderedPageBreak/>
        <w:t>1.4.3.</w:t>
      </w:r>
      <w:r w:rsidRPr="009D2948">
        <w:tab/>
        <w:t>Rezultatul (rezultatele) și impactul preconizate</w:t>
      </w:r>
    </w:p>
    <w:p w:rsidR="009D2948" w:rsidRPr="009D2948" w:rsidRDefault="009D2948" w:rsidP="009D2948">
      <w:pPr>
        <w:pStyle w:val="Text1"/>
        <w:rPr>
          <w:i/>
          <w:noProof/>
          <w:sz w:val="20"/>
        </w:rPr>
      </w:pPr>
      <w:r w:rsidRPr="009D2948">
        <w:rPr>
          <w:i/>
          <w:noProof/>
          <w:sz w:val="20"/>
        </w:rPr>
        <w:t>A se preciza efectele pe care propunerea/inițiativa ar trebui să le aibă asupra beneficiarilor vizați/ grupurilor vizate.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Supravegherea consolidată a CPC la nivelul UE.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O mai mare implicare a băncilor centrale emitente în supravegherea CPC.</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O capacitate mai bună a UE de a monitoriza, identifica și atenua riscurile pe care le presupun CPC din țări terțe.</w:t>
      </w:r>
    </w:p>
    <w:p w:rsidR="009D2948" w:rsidRPr="009D2948" w:rsidRDefault="009D2948" w:rsidP="009D2948">
      <w:pPr>
        <w:pStyle w:val="ManualHeading3"/>
        <w:rPr>
          <w:bCs/>
          <w:noProof/>
          <w:szCs w:val="24"/>
        </w:rPr>
      </w:pPr>
      <w:r w:rsidRPr="009D2948">
        <w:t>1.4.4.</w:t>
      </w:r>
      <w:r w:rsidRPr="009D2948">
        <w:tab/>
        <w:t xml:space="preserve">Indicatori de rezultat și de impact </w:t>
      </w:r>
    </w:p>
    <w:p w:rsidR="009D2948" w:rsidRPr="009D2948" w:rsidRDefault="009D2948" w:rsidP="009D2948">
      <w:pPr>
        <w:pStyle w:val="Text1"/>
        <w:rPr>
          <w:i/>
          <w:noProof/>
          <w:sz w:val="20"/>
        </w:rPr>
      </w:pPr>
      <w:r w:rsidRPr="009D2948">
        <w:rPr>
          <w:i/>
          <w:noProof/>
          <w:sz w:val="20"/>
        </w:rPr>
        <w:t>A se preciza indicatorii care permit monitorizarea punerii în aplicare a propunerii/inițiativei.</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Indicatori posibili:</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w:t>
      </w:r>
      <w:r w:rsidRPr="009D2948">
        <w:tab/>
        <w:t>Numărul de CPC aflate în redresare sau rezoluție;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w:t>
      </w:r>
      <w:r w:rsidRPr="009D2948">
        <w:tab/>
        <w:t>Numărul de utilizări ale mecanismului de soluționare a litigiilor de către autoritățile naționale competente;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w:t>
      </w:r>
      <w:r w:rsidRPr="009D2948">
        <w:tab/>
        <w:t>Numărul de inspecții la fața locului având ca obiect CPC din țări terțe;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w:t>
      </w:r>
      <w:r w:rsidRPr="009D2948">
        <w:tab/>
        <w:t>Numărul de CPC recunoscute din țări terțe;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w:t>
      </w:r>
      <w:r w:rsidRPr="009D2948">
        <w:tab/>
        <w:t>Numărul de cazuri de nerespectare de către CPC din țări terțe a condițiilor privind echivalența și/sau recunoașterea;</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w:t>
      </w:r>
      <w:r w:rsidRPr="009D2948">
        <w:tab/>
        <w:t>Costurile estimate pentru contrapărțile din UE.</w:t>
      </w:r>
    </w:p>
    <w:p w:rsidR="009D2948" w:rsidRPr="009D2948" w:rsidRDefault="009D2948" w:rsidP="009D2948">
      <w:pPr>
        <w:pStyle w:val="ManualHeading2"/>
        <w:rPr>
          <w:bCs/>
          <w:noProof/>
          <w:szCs w:val="24"/>
        </w:rPr>
      </w:pPr>
      <w:r w:rsidRPr="009D2948">
        <w:t>1.5.</w:t>
      </w:r>
      <w:r w:rsidRPr="009D2948">
        <w:tab/>
        <w:t xml:space="preserve">Motivele propunerii/inițiativei </w:t>
      </w:r>
    </w:p>
    <w:p w:rsidR="009D2948" w:rsidRPr="009D2948" w:rsidRDefault="009D2948" w:rsidP="009D2948">
      <w:pPr>
        <w:pStyle w:val="ManualHeading3"/>
        <w:rPr>
          <w:noProof/>
        </w:rPr>
      </w:pPr>
      <w:r w:rsidRPr="009D2948">
        <w:t>1.5.1.</w:t>
      </w:r>
      <w:r w:rsidRPr="009D2948">
        <w:tab/>
        <w:t xml:space="preserve">Cerință (cerințe) de îndeplinit pe termen scurt sau lung </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De la adoptarea EMIR, volumul activității CPC a crescut rapid, atât în UE, cât și la nivel mondial, nu numai ca amploare, ci și ca domeniu de aplicare. Această creștere a activității CPC va continua probabil în următorii ani, odată cu introducerea de obligații de compensare suplimentare, iar stimulentele pentru reducerea riscurilor și costurilor duc la activități suplimentare de compensare voluntară. Cu toate acestea, numărul de CPC a rămas relativ mic. În consecință, piețele de compensare sunt integrate în întreaga UE și sunt foarte concentrate în anumite clase de active. CPC sunt și strâns interconectate.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În temeiul EMIR, CPC din UE sunt supravegheate de colegii formate din supraveghetorii naționali, ESMA, membrii relevanți ai SEBC și alte autorități relevante. Aceste mecanisme generează mai multe preocupări: CPC din statele membre, deci de la nivel național, sunt din ce în ce mai relevante pentru sistemul financiar al UE în ansamblu; existența unor practici de supraveghere divergente poate crea riscuri de arbitraj de reglementare și de supraveghere și rolul băncilor centrale nu se reflectă în mod adecvat în colegiile pentru CPC. În același timp, CPC din țări terțe compensează un volum semnificativ de instrumentele exprimate în monede UE. Acest lucru creează probleme în ceea ce privește: deficiențele la nivelul sistemului de echivalență și recunoaștere prevăzut de EMIR în ceea ce privește supravegherea continuă; eventualele neconcordanțe între obiectivele de supraveghere și obiectivele băncilor centrale și mecanismul pentru monitorizarea continuă a normelor din țările terțe.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Propunerea ar trebui să abordeze aceste provocări.</w:t>
      </w:r>
    </w:p>
    <w:p w:rsidR="009D2948" w:rsidRPr="009D2948" w:rsidRDefault="009D2948" w:rsidP="009D2948">
      <w:pPr>
        <w:pStyle w:val="ManualHeading3"/>
        <w:rPr>
          <w:bCs/>
          <w:noProof/>
          <w:szCs w:val="24"/>
        </w:rPr>
      </w:pPr>
      <w:r w:rsidRPr="009D2948">
        <w:lastRenderedPageBreak/>
        <w:t>1.5.2.</w:t>
      </w:r>
      <w:r w:rsidRPr="009D2948">
        <w:tab/>
        <w:t>Valoarea adăugată a implicării Uniunii (aceasta poate rezulta din diferiți factori, precum câștigurile de coordonare, certitudinea juridică, o mai mare eficacitate sau complementaritate). În sensul prezentului punct, „valoarea adăugată a implicării Uniunii” reprezintă valoarea rezultată din intervenția Uniunii, care este suplimentară față de valoarea care ar fi fost altfel creată numai de statele membre.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Motive ale acțiunii la nivel european (</w:t>
      </w:r>
      <w:r w:rsidRPr="009D2948">
        <w:rPr>
          <w:i/>
        </w:rPr>
        <w:t>ex-ante</w:t>
      </w:r>
      <w:r w:rsidRPr="009D2948">
        <w:t>):</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 xml:space="preserve">Dispozițiile EMIR stabilesc cadrul de supraveghere care se aplică CPC stabilite atât în UE, cât și în țări terțe care asigură servicii de compensare membrilor compensatori sau locurilor de tranzacționare stabilite în UE. În temeiul EMIR, statul membru în care este stabilită CPC joacă un rol major în mecanismele de supraveghere. Cu toate acestea, statele membre și autoritățile naționale de supraveghere nu pot soluționa în mod unilateral riscurile sistemice generate de un nivel ridicat de integrare și interconectare a CPC, care operează transfrontalier, în afara domeniului de aplicare al jurisdicțiilor naționale. În plus, statele membre nu pot atenua singure riscurile generate de practicile de supraveghere naționale divergente. Statele membre și autoritățile naționale nu pot aborda pe cont propriu riscurile sistemice pe care CPC din țări terțe le pot reprezenta pentru stabilitatea financiară a UE în ansamblul său. </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Valoarea adăugată care se așteaptă să fie generată de Uniune (</w:t>
      </w:r>
      <w:r w:rsidRPr="009D2948">
        <w:rPr>
          <w:i/>
        </w:rPr>
        <w:t>ex-post</w:t>
      </w:r>
      <w:r w:rsidRPr="009D2948">
        <w:t>):</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Propunerea ar trebui să amelioreze coerența și să consolideze în continuare mecanismele de supraveghere a CPC stabilite în UE și să permită autorităților UE să monitorizeze mai bine și să atenueze riscurile legate de expunerea UE la CPC din țări terțe. Acest lucru va contribui la reducerea și mai mult a probabilității, deja scăzute (dar cu un impact extrem de ridicat) ca o CPC să intre în dificultate majoră și va consolida stabilitatea generală a sistemului financiar al UE în ansamblul său. Cadrul de supraveghere consolidat va spori, de asemenea, certitudinea juridică și economică.</w:t>
      </w:r>
    </w:p>
    <w:p w:rsidR="009D2948" w:rsidRPr="009D2948" w:rsidRDefault="009D2948" w:rsidP="009D2948">
      <w:pPr>
        <w:pStyle w:val="ManualHeading3"/>
        <w:rPr>
          <w:bCs/>
          <w:noProof/>
          <w:szCs w:val="24"/>
        </w:rPr>
      </w:pPr>
      <w:r w:rsidRPr="009D2948">
        <w:t>1.5.3.</w:t>
      </w:r>
      <w:r w:rsidRPr="009D2948">
        <w:tab/>
        <w:t>Învățăminte desprinse din experiențe anterioare similare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Propunerea desprinde învățăminte din experiența anterioară legată de EMIR, în special în ceea ce privește funcționarea regimului UE de supraveghere al CPC și actualul cadru de echivalență pentru CPC din țări terțe, pentru a stabili cerințe la nivelurile corespunzătoare, în cazul în care este necesar. A se vedea secțiunea 1.5.1 pentru informații suplimentare.</w:t>
      </w:r>
    </w:p>
    <w:p w:rsidR="009D2948" w:rsidRPr="009D2948" w:rsidRDefault="009D2948" w:rsidP="009D2948">
      <w:pPr>
        <w:pStyle w:val="ManualHeading3"/>
        <w:rPr>
          <w:bCs/>
          <w:noProof/>
          <w:szCs w:val="24"/>
        </w:rPr>
      </w:pPr>
      <w:r w:rsidRPr="009D2948">
        <w:t>1.5.4.</w:t>
      </w:r>
      <w:r w:rsidRPr="009D2948">
        <w:tab/>
        <w:t>Compatibilitatea și posibila sinergie cu alte instrumente corespunzătoare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 xml:space="preserve">Obiectivele inițiativei sunt în concordanță cu o serie de alte politici și inițiative în curs ale UE care au drept scop: (i) să abordeze importanța sistemică a CPC; (ii) să dezvolte uniunea piețelor de capital („UPC”); (iii) să sporească eficiența și eficacitatea supravegherii la nivelul UE, atât în interiorul, cât și în afara UE și (iv) să promoveze în continuare utilizarea compensării centrale. </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În primul rând, inițiativa de față este în concordanță cu propunerea Comisiei</w:t>
      </w:r>
      <w:r w:rsidRPr="009D2948">
        <w:rPr>
          <w:rStyle w:val="FootnoteReference"/>
          <w:noProof/>
        </w:rPr>
        <w:footnoteReference w:id="56"/>
      </w:r>
      <w:r w:rsidRPr="009D2948">
        <w:t xml:space="preserve"> de regulament privind redresarea și rezoluția CPC, adoptată în noiembrie 2016. Această propunere urmărește să asigure faptul că autoritățile UE și cele naționale sunt pregătite în mod corespunzător pentru a răspunde eventualității ca o CPC să întâmpine dificultăți majore, a menține stabilitatea financiară și a evita situația în care costurile aferente restructurării și rezoluției CPC în cauză sunt suportate de </w:t>
      </w:r>
      <w:r w:rsidRPr="009D2948">
        <w:lastRenderedPageBreak/>
        <w:t xml:space="preserve">contribuabili. Propunerea Comisiei are ca scop să asigure faptul că, în scenariul improbabil în care CPC se confruntă cu o situație de intrare în dificultate sau în dificultate majoră, funcțiile critice ale acestora sunt conservate, menținându-se, în același timp, stabilitatea financiară și evitându-se situația în care costurile aferente restructurării și rezoluției CPC în cauză ar fi suportate de contribuabili. Mecanismele de gestionare a crizei pentru redresarea și rezoluția CPC incluse în această propunere se bazează pe existența unor mecanisme de cea mai înaltă calitate pentru prevenirea crizelor (și anume pentru reglementarea și supravegherea CPC) în temeiul EMIR. Prin consolidarea în continuare a supravegherii CPC în temeiul EMIR, probabilitatea, oricât de mică, de a fi nevoie să se recurgă la măsuri de redresare și de rezoluție ar trebui să fie diminuată și mai mult. </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În al doilea rând, propunerea este în concordanță cu eforturile continue ale Comisiei de a dezvolta în continuare UPC. Consolidarea convergenței în materie de supraveghere a CPC la nivelul UE poate sprijini dezvoltarea unor piețe de capital mai aprofundate și mai integrate, întrucât pentru buna funcționare a piețelor de capital este esențial să existe CPC mai eficiente și mai reziliente. Caracterul urgent al dezvoltării și integrării suplimentare a piețelor de capital ale UE a fost subliniat în Comunicarea privind uniunea piețelor de capital din septembrie 2016</w:t>
      </w:r>
      <w:r w:rsidRPr="009D2948">
        <w:rPr>
          <w:rStyle w:val="FootnoteReference"/>
          <w:noProof/>
        </w:rPr>
        <w:footnoteReference w:id="57"/>
      </w:r>
      <w:r w:rsidRPr="009D2948">
        <w:t xml:space="preserve">. La rândul său, apariția unor piețe financiare de dimensiuni mai mari și cu un grad mai mare de lichiditate, generată de uniunea piețelor de capital, va presupune și mai multe operațiuni compensate prin intermediul CPC și va spori relevanța lor sistemică. Dat fiind potențialul ca dimensiunile piețelor financiare să crească, precum și posibilitățile actuale de arbitraj de reglementare și supraveghere, sunt necesare îmbunătățiri suplimentare ale cadrului de supraveghere în scopul de a garanta o uniune a piețelor de capital puternică și stabilă. </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În al treilea rând, propunerea este în concordanță cu consultarea lansată de Comisie în martie 2017 privind operațiunile autorităților europene de supraveghere</w:t>
      </w:r>
      <w:r w:rsidRPr="009D2948">
        <w:rPr>
          <w:rStyle w:val="FootnoteReference"/>
          <w:noProof/>
        </w:rPr>
        <w:footnoteReference w:id="58"/>
      </w:r>
      <w:r w:rsidRPr="009D2948">
        <w:t>, în scopul de a consolida și de a îmbunătăți eficiența și eficacitatea acestora.</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În al patrulea rând, aceasta este în concordanță cu experiența DG FISMA legată de punerea în aplicare și asigurarea respectării dispozițiilor referitoare la țările terțe din legislația financiară a UE, astfel cum se prevede în documentul de lucru al serviciilor Comisiei privind echivalența</w:t>
      </w:r>
      <w:r w:rsidRPr="009D2948">
        <w:rPr>
          <w:rStyle w:val="FootnoteReference"/>
          <w:noProof/>
        </w:rPr>
        <w:footnoteReference w:id="59"/>
      </w:r>
      <w:r w:rsidRPr="009D2948">
        <w:rPr>
          <w:rStyle w:val="FootnoteReference"/>
          <w:b/>
          <w:noProof/>
        </w:rPr>
        <w:t>.</w:t>
      </w:r>
      <w:r w:rsidRPr="009D2948">
        <w:t xml:space="preserve"> Documentul de lucru al serviciilor Comisiei oferă o privire de ansamblu factuală asupra procesului de echivalare cu țările terțe în ceea ce privește legislația UE referitoare la serviciile financiare. Acesta prezintă experiența dobândită de DG FISMA în ceea ce privește punerea în aplicare și asigurarea respectării dispozițiilor referitoare la țările terțe din legislația financiară a UE. Documentul prezintă, de asemenea, aspectele esențiale ale echivalenței (de exemplu, exercitarea abilitărilor, evaluarea, monitorizarea </w:t>
      </w:r>
      <w:r w:rsidRPr="009D2948">
        <w:rPr>
          <w:i/>
        </w:rPr>
        <w:t>ex-post</w:t>
      </w:r>
      <w:r w:rsidRPr="009D2948">
        <w:t xml:space="preserve">) și asigură o mai mare claritate cu privire la modul în care DG FISMA abordează aceste sarcini în practică. </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lastRenderedPageBreak/>
        <w:t>În al cincilea rând, propunerea este în concordanță cu propunerea Comisiei</w:t>
      </w:r>
      <w:r w:rsidRPr="009D2948">
        <w:rPr>
          <w:rStyle w:val="FootnoteReference"/>
          <w:noProof/>
        </w:rPr>
        <w:footnoteReference w:id="60"/>
      </w:r>
      <w:r w:rsidRPr="009D2948">
        <w:t xml:space="preserve"> de modificare a Regulamentului privind cerințele de capital (CRR)</w:t>
      </w:r>
      <w:r w:rsidRPr="009D2948">
        <w:rPr>
          <w:rStyle w:val="FootnoteReference"/>
          <w:noProof/>
        </w:rPr>
        <w:footnoteReference w:id="61"/>
      </w:r>
      <w:r w:rsidRPr="009D2948">
        <w:t>, adoptată în noiembrie 2016. Propunerea urmărește să excludă din metoda de calculare a pragurilor indicatorului efectului de levier marjele inițiale pentru tranzacțiile cu instrumente financiare derivate compensate la nivel central care au fost primite de membrii compensatori în numerar de la clienții lor și transferate către CPC. Prin urmare, se va facilita accesul la compensare, întrucât vor scădea cerințele de capital impuse pentru a oferi servicii de compensare pentru clienți sau servicii de compensare indirectă, ceea ce va avea ca efect, la rândul său, consolidarea importanței CPC în cadrul sistemului financiar.</w:t>
      </w:r>
    </w:p>
    <w:p w:rsidR="009D2948" w:rsidRPr="009D2948" w:rsidRDefault="009D2948" w:rsidP="009D2948">
      <w:pPr>
        <w:pStyle w:val="ManualHeading2"/>
        <w:rPr>
          <w:bCs/>
          <w:noProof/>
          <w:szCs w:val="24"/>
        </w:rPr>
      </w:pPr>
      <w:r w:rsidRPr="009D2948">
        <w:br w:type="page"/>
      </w:r>
      <w:r w:rsidRPr="009D2948">
        <w:lastRenderedPageBreak/>
        <w:t>1.6.</w:t>
      </w:r>
      <w:r w:rsidRPr="009D2948">
        <w:tab/>
        <w:t xml:space="preserve">Durata și impactul financiar </w:t>
      </w:r>
    </w:p>
    <w:p w:rsidR="009D2948" w:rsidRPr="009D2948" w:rsidRDefault="009D2948" w:rsidP="009D2948">
      <w:pPr>
        <w:pStyle w:val="Text1"/>
        <w:rPr>
          <w:noProof/>
        </w:rPr>
      </w:pPr>
      <w:r w:rsidRPr="009D2948">
        <w:rPr>
          <w:noProof/>
        </w:rPr>
        <w:sym w:font="Wingdings" w:char="F0A8"/>
      </w:r>
      <w:r w:rsidRPr="009D2948">
        <w:t xml:space="preserve">Propunere/inițiativă pe </w:t>
      </w:r>
      <w:r w:rsidRPr="009D2948">
        <w:rPr>
          <w:b/>
        </w:rPr>
        <w:t>durată determinată</w:t>
      </w:r>
      <w:r w:rsidRPr="009D2948">
        <w:rPr>
          <w:b/>
          <w:noProof/>
        </w:rPr>
        <w:t xml:space="preserve"> </w:t>
      </w:r>
    </w:p>
    <w:p w:rsidR="009D2948" w:rsidRPr="009D2948" w:rsidRDefault="009D2948" w:rsidP="009D2948">
      <w:pPr>
        <w:pStyle w:val="ListDash2"/>
        <w:rPr>
          <w:noProof/>
        </w:rPr>
      </w:pPr>
      <w:r w:rsidRPr="009D2948">
        <w:rPr>
          <w:noProof/>
        </w:rPr>
        <w:sym w:font="Wingdings" w:char="F0A8"/>
      </w:r>
      <w:r w:rsidRPr="009D2948">
        <w:tab/>
        <w:t xml:space="preserve">Propunere/inițiativă în vigoare din [ZZ/LL]AAAA până la [ZZ/LL]AAAA </w:t>
      </w:r>
    </w:p>
    <w:p w:rsidR="009D2948" w:rsidRPr="009D2948" w:rsidRDefault="009D2948" w:rsidP="009D2948">
      <w:pPr>
        <w:pStyle w:val="ListDash2"/>
        <w:rPr>
          <w:noProof/>
        </w:rPr>
      </w:pPr>
      <w:r w:rsidRPr="009D2948">
        <w:rPr>
          <w:noProof/>
        </w:rPr>
        <w:sym w:font="Wingdings" w:char="F0A8"/>
      </w:r>
      <w:r w:rsidRPr="009D2948">
        <w:tab/>
        <w:t xml:space="preserve">Impact financiar din AAAA până în AAAA </w:t>
      </w:r>
    </w:p>
    <w:p w:rsidR="009D2948" w:rsidRPr="009D2948" w:rsidRDefault="009D2948" w:rsidP="009D2948">
      <w:pPr>
        <w:pStyle w:val="Text1"/>
        <w:rPr>
          <w:noProof/>
        </w:rPr>
      </w:pPr>
      <w:r w:rsidRPr="009D2948">
        <w:t>X</w:t>
      </w:r>
      <w:r w:rsidRPr="009D2948">
        <w:tab/>
        <w:t xml:space="preserve">Propunere/inițiativă pe </w:t>
      </w:r>
      <w:r w:rsidRPr="009D2948">
        <w:rPr>
          <w:b/>
        </w:rPr>
        <w:t>durată nedeterminată</w:t>
      </w:r>
    </w:p>
    <w:p w:rsidR="009D2948" w:rsidRPr="009D2948" w:rsidRDefault="009D2948" w:rsidP="009D2948">
      <w:pPr>
        <w:pStyle w:val="ListDash1"/>
        <w:rPr>
          <w:noProof/>
        </w:rPr>
      </w:pPr>
      <w:r w:rsidRPr="009D2948">
        <w:t>Punere în aplicare cu o perioadă de creștere în intensitate de la data intrării în vigoare a regulamentului la 2 ani după intrarea în vigoare a regulamentului,</w:t>
      </w:r>
    </w:p>
    <w:p w:rsidR="009D2948" w:rsidRPr="009D2948" w:rsidRDefault="009D2948" w:rsidP="009D2948">
      <w:pPr>
        <w:pStyle w:val="ListDash1"/>
        <w:rPr>
          <w:noProof/>
        </w:rPr>
      </w:pPr>
      <w:r w:rsidRPr="009D2948">
        <w:t>urmată de o perioadă de funcționare în regim de croazieră.</w:t>
      </w:r>
    </w:p>
    <w:p w:rsidR="009D2948" w:rsidRPr="009D2948" w:rsidRDefault="009D2948" w:rsidP="009D2948">
      <w:pPr>
        <w:pStyle w:val="ManualHeading2"/>
        <w:rPr>
          <w:bCs/>
          <w:noProof/>
          <w:szCs w:val="24"/>
        </w:rPr>
      </w:pPr>
      <w:r w:rsidRPr="009D2948">
        <w:t>1.7.</w:t>
      </w:r>
      <w:r w:rsidRPr="009D2948">
        <w:tab/>
        <w:t>Modul (modurile) de gestiune preconizat(e)</w:t>
      </w:r>
      <w:r w:rsidRPr="009D2948">
        <w:rPr>
          <w:rStyle w:val="FootnoteReference"/>
          <w:noProof/>
        </w:rPr>
        <w:footnoteReference w:id="62"/>
      </w:r>
      <w:r w:rsidRPr="009D2948">
        <w:rPr>
          <w:rStyle w:val="FootnoteReference"/>
          <w:noProof/>
        </w:rPr>
        <w:t xml:space="preserve"> </w:t>
      </w:r>
    </w:p>
    <w:p w:rsidR="009D2948" w:rsidRPr="009D2948" w:rsidRDefault="009D2948" w:rsidP="009D2948">
      <w:pPr>
        <w:pStyle w:val="Text1"/>
        <w:rPr>
          <w:noProof/>
        </w:rPr>
      </w:pPr>
      <w:r w:rsidRPr="009D2948">
        <w:rPr>
          <w:noProof/>
        </w:rPr>
        <w:sym w:font="Wingdings" w:char="F0A8"/>
      </w:r>
      <w:r w:rsidRPr="009D2948">
        <w:tab/>
      </w:r>
      <w:r w:rsidRPr="009D2948">
        <w:rPr>
          <w:b/>
        </w:rPr>
        <w:t>Gestiune directă</w:t>
      </w:r>
      <w:r w:rsidRPr="009D2948">
        <w:t xml:space="preserve"> asigurată de către Comisie</w:t>
      </w:r>
    </w:p>
    <w:p w:rsidR="009D2948" w:rsidRPr="009D2948" w:rsidRDefault="009D2948" w:rsidP="009D2948">
      <w:pPr>
        <w:pStyle w:val="ListDash2"/>
        <w:rPr>
          <w:rFonts w:cs="EUAlbertina"/>
          <w:noProof/>
        </w:rPr>
      </w:pPr>
      <w:r w:rsidRPr="009D2948">
        <w:rPr>
          <w:noProof/>
        </w:rPr>
        <w:sym w:font="Wingdings" w:char="F0A8"/>
      </w:r>
      <w:r w:rsidRPr="009D2948">
        <w:tab/>
        <w:t xml:space="preserve">prin intermediul serviciilor sale, inclusiv al personalului din delegațiile Uniunii; </w:t>
      </w:r>
    </w:p>
    <w:p w:rsidR="009D2948" w:rsidRPr="009D2948" w:rsidRDefault="009D2948" w:rsidP="009D2948">
      <w:pPr>
        <w:pStyle w:val="ListDash2"/>
        <w:rPr>
          <w:noProof/>
        </w:rPr>
      </w:pPr>
      <w:r w:rsidRPr="009D2948">
        <w:rPr>
          <w:noProof/>
        </w:rPr>
        <w:sym w:font="Wingdings" w:char="F0A8"/>
      </w:r>
      <w:r w:rsidRPr="009D2948">
        <w:tab/>
        <w:t xml:space="preserve">prin intermediul agențiilor executive; </w:t>
      </w:r>
    </w:p>
    <w:p w:rsidR="009D2948" w:rsidRPr="009D2948" w:rsidRDefault="009D2948" w:rsidP="009D2948">
      <w:pPr>
        <w:pStyle w:val="Text1"/>
        <w:rPr>
          <w:noProof/>
        </w:rPr>
      </w:pPr>
      <w:r w:rsidRPr="009D2948">
        <w:rPr>
          <w:noProof/>
        </w:rPr>
        <w:sym w:font="Wingdings" w:char="F0A8"/>
      </w:r>
      <w:r w:rsidRPr="009D2948">
        <w:tab/>
      </w:r>
      <w:r w:rsidRPr="009D2948">
        <w:rPr>
          <w:b/>
        </w:rPr>
        <w:t>Gestiune partajată</w:t>
      </w:r>
      <w:r w:rsidRPr="009D2948">
        <w:t xml:space="preserve"> cu statele membre </w:t>
      </w:r>
    </w:p>
    <w:p w:rsidR="009D2948" w:rsidRPr="009D2948" w:rsidRDefault="009D2948" w:rsidP="009D2948">
      <w:pPr>
        <w:pStyle w:val="Text1"/>
        <w:rPr>
          <w:noProof/>
        </w:rPr>
      </w:pPr>
      <w:r w:rsidRPr="009D2948">
        <w:t xml:space="preserve">X </w:t>
      </w:r>
      <w:r w:rsidRPr="009D2948">
        <w:rPr>
          <w:b/>
        </w:rPr>
        <w:t>Gestiune indirectă</w:t>
      </w:r>
      <w:r w:rsidRPr="009D2948">
        <w:t xml:space="preserve"> cu delegarea sarcinilor de execuție bugetară:</w:t>
      </w:r>
    </w:p>
    <w:p w:rsidR="009D2948" w:rsidRPr="009D2948" w:rsidRDefault="009D2948" w:rsidP="009D2948">
      <w:pPr>
        <w:pStyle w:val="ListDash2"/>
        <w:rPr>
          <w:noProof/>
        </w:rPr>
      </w:pPr>
      <w:r w:rsidRPr="009D2948">
        <w:rPr>
          <w:noProof/>
        </w:rPr>
        <w:sym w:font="Wingdings" w:char="F0A8"/>
      </w:r>
      <w:r w:rsidRPr="009D2948">
        <w:t xml:space="preserve"> țărilor terțe sau organismelor pe care le-au desemnat acestea;</w:t>
      </w:r>
    </w:p>
    <w:p w:rsidR="009D2948" w:rsidRPr="009D2948" w:rsidRDefault="009D2948" w:rsidP="009D2948">
      <w:pPr>
        <w:pStyle w:val="ListDash2"/>
        <w:rPr>
          <w:noProof/>
        </w:rPr>
      </w:pPr>
      <w:r w:rsidRPr="009D2948">
        <w:rPr>
          <w:noProof/>
        </w:rPr>
        <w:sym w:font="Wingdings" w:char="F0A8"/>
      </w:r>
      <w:r w:rsidRPr="009D2948">
        <w:t xml:space="preserve"> organizațiilor internaționale și agențiilor acestora (a se preciza);</w:t>
      </w:r>
    </w:p>
    <w:p w:rsidR="009D2948" w:rsidRPr="009D2948" w:rsidRDefault="009D2948" w:rsidP="009D2948">
      <w:pPr>
        <w:pStyle w:val="ListDash2"/>
        <w:rPr>
          <w:noProof/>
        </w:rPr>
      </w:pPr>
      <w:r w:rsidRPr="009D2948">
        <w:rPr>
          <w:noProof/>
        </w:rPr>
        <w:sym w:font="Wingdings" w:char="F0A8"/>
      </w:r>
      <w:r w:rsidRPr="009D2948">
        <w:t xml:space="preserve"> BEI și Fondului european de investiții;</w:t>
      </w:r>
    </w:p>
    <w:p w:rsidR="009D2948" w:rsidRPr="009D2948" w:rsidRDefault="009D2948" w:rsidP="009D2948">
      <w:pPr>
        <w:pStyle w:val="ListDash2"/>
        <w:rPr>
          <w:noProof/>
        </w:rPr>
      </w:pPr>
      <w:r w:rsidRPr="009D2948">
        <w:rPr>
          <w:noProof/>
        </w:rPr>
        <w:sym w:font="Wingdings" w:char="F0FE"/>
      </w:r>
      <w:r w:rsidRPr="009D2948">
        <w:t xml:space="preserve"> organismelor menționate la articolele 208 și 209 din Regulamentul financiar;</w:t>
      </w:r>
    </w:p>
    <w:p w:rsidR="009D2948" w:rsidRPr="009D2948" w:rsidRDefault="009D2948" w:rsidP="009D2948">
      <w:pPr>
        <w:pStyle w:val="ListDash2"/>
        <w:rPr>
          <w:noProof/>
        </w:rPr>
      </w:pPr>
      <w:r w:rsidRPr="009D2948">
        <w:rPr>
          <w:noProof/>
        </w:rPr>
        <w:sym w:font="Wingdings" w:char="F0A8"/>
      </w:r>
      <w:r w:rsidRPr="009D2948">
        <w:t xml:space="preserve"> organismelor de drept public;</w:t>
      </w:r>
    </w:p>
    <w:p w:rsidR="009D2948" w:rsidRPr="009D2948" w:rsidRDefault="009D2948" w:rsidP="009D2948">
      <w:pPr>
        <w:pStyle w:val="ListDash2"/>
        <w:rPr>
          <w:noProof/>
        </w:rPr>
      </w:pPr>
      <w:r w:rsidRPr="009D2948">
        <w:rPr>
          <w:noProof/>
        </w:rPr>
        <w:sym w:font="Wingdings" w:char="F0A8"/>
      </w:r>
      <w:r w:rsidRPr="009D2948">
        <w:t xml:space="preserve"> organismelor de drept privat cu misiune de serviciu public, cu condiția să prezinte garanții financiare adecvate;</w:t>
      </w:r>
    </w:p>
    <w:p w:rsidR="009D2948" w:rsidRPr="009D2948" w:rsidRDefault="009D2948" w:rsidP="009D2948">
      <w:pPr>
        <w:pStyle w:val="ListDash2"/>
        <w:rPr>
          <w:noProof/>
        </w:rPr>
      </w:pPr>
      <w:r w:rsidRPr="009D2948">
        <w:rPr>
          <w:noProof/>
        </w:rPr>
        <w:sym w:font="Wingdings" w:char="F0A8"/>
      </w:r>
      <w:r w:rsidRPr="009D2948">
        <w:t xml:space="preserve"> organismelor de drept privat dintr-un stat membru care sunt responsabile cu punerea în aplicare a unui parteneriat public-privat și care prezintă garanții financiare adecvate;</w:t>
      </w:r>
    </w:p>
    <w:p w:rsidR="009D2948" w:rsidRPr="009D2948" w:rsidRDefault="009D2948" w:rsidP="009D2948">
      <w:pPr>
        <w:pStyle w:val="ListDash2"/>
        <w:rPr>
          <w:noProof/>
        </w:rPr>
      </w:pPr>
      <w:r w:rsidRPr="009D2948">
        <w:rPr>
          <w:noProof/>
        </w:rPr>
        <w:sym w:font="Wingdings" w:char="F0A8"/>
      </w:r>
      <w:r w:rsidRPr="009D2948">
        <w:t xml:space="preserve"> persoanelor cărora li se încredințează executarea unor acțiuni specifice în cadrul PESC, în temeiul titlului V din TUE, identificate în actul de bază relevant.</w:t>
      </w:r>
    </w:p>
    <w:p w:rsidR="009D2948" w:rsidRPr="009D2948" w:rsidRDefault="009D2948" w:rsidP="009D2948">
      <w:pPr>
        <w:pStyle w:val="ListDash2"/>
        <w:rPr>
          <w:i/>
          <w:noProof/>
          <w:sz w:val="18"/>
          <w:u w:val="single"/>
        </w:rPr>
      </w:pPr>
      <w:r w:rsidRPr="009D2948">
        <w:rPr>
          <w:i/>
          <w:noProof/>
          <w:sz w:val="18"/>
        </w:rPr>
        <w:t>Dacă se indică mai multe moduri de gestiune, a se furniza detalii suplimentare în secțiunea „Observații“.</w:t>
      </w:r>
    </w:p>
    <w:p w:rsidR="009D2948" w:rsidRPr="009D2948" w:rsidRDefault="009D2948" w:rsidP="009D2948">
      <w:pPr>
        <w:rPr>
          <w:noProof/>
        </w:rPr>
      </w:pPr>
      <w:r w:rsidRPr="009D2948">
        <w:t xml:space="preserve">Observații </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N/A</w:t>
      </w:r>
    </w:p>
    <w:p w:rsidR="009D2948" w:rsidRPr="009D2948" w:rsidRDefault="009D2948" w:rsidP="009D2948">
      <w:pPr>
        <w:rPr>
          <w:noProof/>
        </w:rPr>
        <w:sectPr w:rsidR="009D2948" w:rsidRPr="009D2948" w:rsidSect="006B1E4D">
          <w:pgSz w:w="11907" w:h="16840" w:code="9"/>
          <w:pgMar w:top="1134" w:right="1418" w:bottom="1134" w:left="1418" w:header="709" w:footer="709" w:gutter="0"/>
          <w:cols w:space="708"/>
          <w:docGrid w:linePitch="360"/>
        </w:sectPr>
      </w:pPr>
    </w:p>
    <w:p w:rsidR="009D2948" w:rsidRPr="009D2948" w:rsidRDefault="009D2948" w:rsidP="009D2948">
      <w:pPr>
        <w:pStyle w:val="ManualHeading1"/>
        <w:rPr>
          <w:bCs/>
          <w:noProof/>
          <w:szCs w:val="24"/>
        </w:rPr>
      </w:pPr>
      <w:r w:rsidRPr="009D2948">
        <w:lastRenderedPageBreak/>
        <w:t>2.</w:t>
      </w:r>
      <w:r w:rsidRPr="009D2948">
        <w:tab/>
        <w:t xml:space="preserve">MĂSURI DE GESTIONARE </w:t>
      </w:r>
    </w:p>
    <w:p w:rsidR="009D2948" w:rsidRPr="009D2948" w:rsidRDefault="009D2948" w:rsidP="009D2948">
      <w:pPr>
        <w:pStyle w:val="ManualHeading2"/>
        <w:rPr>
          <w:noProof/>
        </w:rPr>
      </w:pPr>
      <w:r w:rsidRPr="009D2948">
        <w:t>2.1.</w:t>
      </w:r>
      <w:r w:rsidRPr="009D2948">
        <w:tab/>
        <w:t xml:space="preserve">Dispoziții în materie de monitorizare și de raportare </w:t>
      </w:r>
    </w:p>
    <w:p w:rsidR="009D2948" w:rsidRPr="009D2948" w:rsidRDefault="009D2948" w:rsidP="009D2948">
      <w:pPr>
        <w:pStyle w:val="Text1"/>
        <w:rPr>
          <w:i/>
          <w:noProof/>
          <w:sz w:val="20"/>
          <w:u w:val="single"/>
        </w:rPr>
      </w:pPr>
      <w:r w:rsidRPr="009D2948">
        <w:rPr>
          <w:i/>
          <w:noProof/>
          <w:sz w:val="20"/>
        </w:rPr>
        <w:t>A se preciza frecvența și condițiile aferente acestor dispoziții.</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În conformitate cu dispozițiile deja existente, ESMA elaborează periodic rapoarte privind activitatea sa (inclusiv rapoarte interne către conducerea superioară, rapoarte ale consiliului de administrație, rapoarte de activitate pe șase luni către consiliul supraveghetorilor și rapoarte anuale) și face obiectul auditurilor efectuate de Curtea de Conturi și de Serviciul de Audit Intern privind utilizarea resurselor. Monitorizarea și raportarea acțiunilor propuse prin prezentul regulament vor respecta aceleași cerințe deja existente.</w:t>
      </w:r>
    </w:p>
    <w:p w:rsidR="009D2948" w:rsidRPr="009D2948" w:rsidRDefault="009D2948" w:rsidP="009D2948">
      <w:pPr>
        <w:pStyle w:val="ManualHeading2"/>
        <w:rPr>
          <w:bCs/>
          <w:noProof/>
          <w:szCs w:val="24"/>
        </w:rPr>
      </w:pPr>
      <w:r w:rsidRPr="009D2948">
        <w:t>2.2.</w:t>
      </w:r>
      <w:r w:rsidRPr="009D2948">
        <w:tab/>
        <w:t xml:space="preserve">Sistemul de gestiune și de control </w:t>
      </w:r>
    </w:p>
    <w:p w:rsidR="009D2948" w:rsidRPr="009D2948" w:rsidRDefault="009D2948" w:rsidP="009D2948">
      <w:pPr>
        <w:pStyle w:val="ManualHeading3"/>
        <w:rPr>
          <w:noProof/>
        </w:rPr>
      </w:pPr>
      <w:r w:rsidRPr="009D2948">
        <w:t>2.2.1.</w:t>
      </w:r>
      <w:r w:rsidRPr="009D2948">
        <w:tab/>
        <w:t xml:space="preserve">Riscul (riscurile) identificat(e) </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În ceea ce privește utilizarea legală, moderată, eficientă și eficace a creditelor aferente propunerii, se preconizează că propunerea nu va antrena riscuri noi care să nu fie acoperite în prezent de un cadru de control intern existent.</w:t>
      </w:r>
    </w:p>
    <w:p w:rsidR="009D2948" w:rsidRPr="009D2948" w:rsidRDefault="009D2948" w:rsidP="009D2948">
      <w:pPr>
        <w:pStyle w:val="ManualHeading3"/>
        <w:rPr>
          <w:bCs/>
          <w:noProof/>
          <w:szCs w:val="24"/>
        </w:rPr>
      </w:pPr>
      <w:r w:rsidRPr="009D2948">
        <w:t>2.2.2.</w:t>
      </w:r>
      <w:r w:rsidRPr="009D2948">
        <w:tab/>
        <w:t>Informații privind sistemul de control intern instituit</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Sistemele de gestiune și de control prevăzute în Regulamentul privind ESMA sunt puse deja în aplicare. ESMA colaborează îndeaproape cu Serviciul de Audit Intern al Comisiei pentru a se asigura că sunt aplicate normele corespunzătoare în toate domeniile de control intern. Aceste dispoziții se vor aplica și în cazul rolului care îi revine ESMA în conformitate cu prezenta propunere. Rapoarte anuale de audit intern sunt trimise Comisiei, Parlamentului și Consiliului.</w:t>
      </w:r>
    </w:p>
    <w:p w:rsidR="009D2948" w:rsidRPr="009D2948" w:rsidRDefault="009D2948" w:rsidP="009D2948">
      <w:pPr>
        <w:pStyle w:val="ManualHeading3"/>
        <w:rPr>
          <w:noProof/>
        </w:rPr>
      </w:pPr>
      <w:r w:rsidRPr="009D2948">
        <w:t>2.2.3.</w:t>
      </w:r>
      <w:r w:rsidRPr="009D2948">
        <w:tab/>
        <w:t xml:space="preserve">Estimarea costurilor și a beneficiilor controalelor și evaluarea nivelului prevăzut de risc de eroare </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N/A</w:t>
      </w:r>
    </w:p>
    <w:p w:rsidR="009D2948" w:rsidRPr="009D2948" w:rsidRDefault="009D2948" w:rsidP="009D2948">
      <w:pPr>
        <w:pStyle w:val="ManualHeading2"/>
        <w:rPr>
          <w:bCs/>
          <w:noProof/>
          <w:szCs w:val="24"/>
        </w:rPr>
      </w:pPr>
      <w:r w:rsidRPr="009D2948">
        <w:t>2.3.</w:t>
      </w:r>
      <w:r w:rsidRPr="009D2948">
        <w:tab/>
        <w:t xml:space="preserve">Măsuri de prevenire a fraudelor și a neregulilor </w:t>
      </w:r>
    </w:p>
    <w:p w:rsidR="009D2948" w:rsidRPr="009D2948" w:rsidRDefault="009D2948" w:rsidP="009D2948">
      <w:pPr>
        <w:pStyle w:val="Text1"/>
        <w:rPr>
          <w:i/>
          <w:noProof/>
          <w:sz w:val="20"/>
        </w:rPr>
      </w:pPr>
      <w:r w:rsidRPr="009D2948">
        <w:rPr>
          <w:i/>
          <w:noProof/>
          <w:sz w:val="20"/>
        </w:rPr>
        <w:t>A se preciza măsurile de prevenire și de protecție existente sau preconizate.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 xml:space="preserve">În scopul combaterii fraudei, a corupției și a oricăror alte activități ilegale, dispozițiile Regulamentului (CE) nr. 1073/1999 al Parlamentului European și al Consiliului din 25 mai 1999 privind investigațiile efectuate de Oficiul European de Luptă Antifraudă (OLAF) se aplică fără nicio restricție în cazul ESMA. </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ESMA aderă la Acordul interinstituțional din 25 mai 1999 încheiat între Parlamentul European, Consiliul Uniunii Europene și Comisia Comunităților Europene privind anchetele interne efectuate de Oficiul European de Luptă Antifraudă (OLAF) și adoptă fără întârziere dispoziții corespunzătoare aplicabile tuturor angajaților ESMA.</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Deciziile de finanțare, acordurile și instrumentele de punere în aplicare rezultate din acestea prevăd în mod explicit că OLAF și Curtea de Conturi pot să desfășoare, dacă este necesar, verificări la fața locului în ceea ce privește beneficiarii sumelor de bani plătite de către ESMA, precum și personalul responsabil cu alocarea acestor sume de bani.</w:t>
      </w:r>
    </w:p>
    <w:p w:rsidR="009D2948" w:rsidRPr="009D2948" w:rsidRDefault="009D2948" w:rsidP="009D2948">
      <w:pPr>
        <w:rPr>
          <w:noProof/>
        </w:rPr>
        <w:sectPr w:rsidR="009D2948" w:rsidRPr="009D2948" w:rsidSect="006B1E4D">
          <w:pgSz w:w="11907" w:h="16840" w:code="9"/>
          <w:pgMar w:top="1134" w:right="1418" w:bottom="1134" w:left="1418" w:header="709" w:footer="709" w:gutter="0"/>
          <w:cols w:space="708"/>
          <w:docGrid w:linePitch="360"/>
        </w:sectPr>
      </w:pPr>
    </w:p>
    <w:p w:rsidR="009D2948" w:rsidRPr="009D2948" w:rsidRDefault="009D2948" w:rsidP="009D2948">
      <w:pPr>
        <w:pStyle w:val="ManualHeading1"/>
        <w:rPr>
          <w:bCs/>
          <w:noProof/>
          <w:szCs w:val="24"/>
        </w:rPr>
      </w:pPr>
      <w:r w:rsidRPr="009D2948">
        <w:lastRenderedPageBreak/>
        <w:t>3.</w:t>
      </w:r>
      <w:r w:rsidRPr="009D2948">
        <w:tab/>
        <w:t xml:space="preserve">IMPACTUL FINANCIAR ESTIMAT AL PROPUNERII/INIȚIATIVEI </w:t>
      </w:r>
    </w:p>
    <w:p w:rsidR="009D2948" w:rsidRPr="009D2948" w:rsidRDefault="009D2948" w:rsidP="009D2948">
      <w:pPr>
        <w:pStyle w:val="ManualHeading2"/>
        <w:rPr>
          <w:noProof/>
        </w:rPr>
      </w:pPr>
      <w:r w:rsidRPr="009D2948">
        <w:t>3.1.</w:t>
      </w:r>
      <w:r w:rsidRPr="009D2948">
        <w:tab/>
        <w:t xml:space="preserve">Rubrica (rubricile) din cadrul financiar multianual și linia (liniile) bugetară (bugetare) de cheltuieli afectată (afectate) </w:t>
      </w:r>
    </w:p>
    <w:p w:rsidR="009D2948" w:rsidRPr="009D2948" w:rsidRDefault="009D2948" w:rsidP="009D2948">
      <w:pPr>
        <w:pStyle w:val="ListBullet1"/>
        <w:rPr>
          <w:noProof/>
        </w:rPr>
      </w:pPr>
      <w:r w:rsidRPr="009D2948">
        <w:t xml:space="preserve">Linii bugetare existente </w:t>
      </w:r>
    </w:p>
    <w:p w:rsidR="009D2948" w:rsidRPr="009D2948" w:rsidRDefault="009D2948" w:rsidP="009D2948">
      <w:pPr>
        <w:pStyle w:val="Text1"/>
        <w:rPr>
          <w:noProof/>
        </w:rPr>
      </w:pPr>
      <w:r w:rsidRPr="009D2948">
        <w:rPr>
          <w:u w:val="single"/>
        </w:rPr>
        <w:t>În ordinea</w:t>
      </w:r>
      <w:r w:rsidRPr="009D2948">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9D2948" w:rsidRPr="009D2948" w:rsidTr="007A1A92">
        <w:tc>
          <w:tcPr>
            <w:tcW w:w="1080" w:type="dxa"/>
            <w:vMerge w:val="restart"/>
            <w:vAlign w:val="center"/>
          </w:tcPr>
          <w:p w:rsidR="009D2948" w:rsidRPr="009D2948" w:rsidRDefault="009D2948" w:rsidP="007A1A92">
            <w:pPr>
              <w:spacing w:before="60" w:after="60"/>
              <w:jc w:val="center"/>
              <w:rPr>
                <w:noProof/>
              </w:rPr>
            </w:pPr>
            <w:r w:rsidRPr="009D2948">
              <w:rPr>
                <w:noProof/>
                <w:sz w:val="18"/>
              </w:rPr>
              <w:t>Rubrica din cadrul financiar multianual</w:t>
            </w:r>
          </w:p>
        </w:tc>
        <w:tc>
          <w:tcPr>
            <w:tcW w:w="3960" w:type="dxa"/>
            <w:vAlign w:val="center"/>
          </w:tcPr>
          <w:p w:rsidR="009D2948" w:rsidRPr="009D2948" w:rsidRDefault="009D2948" w:rsidP="007A1A92">
            <w:pPr>
              <w:spacing w:before="60" w:after="60"/>
              <w:jc w:val="center"/>
              <w:rPr>
                <w:noProof/>
              </w:rPr>
            </w:pPr>
            <w:r w:rsidRPr="009D2948">
              <w:rPr>
                <w:noProof/>
                <w:sz w:val="20"/>
              </w:rPr>
              <w:t>Linia bugetară</w:t>
            </w:r>
          </w:p>
        </w:tc>
        <w:tc>
          <w:tcPr>
            <w:tcW w:w="1080" w:type="dxa"/>
            <w:vAlign w:val="center"/>
          </w:tcPr>
          <w:p w:rsidR="009D2948" w:rsidRPr="009D2948" w:rsidRDefault="009D2948" w:rsidP="007A1A92">
            <w:pPr>
              <w:spacing w:before="60" w:after="60"/>
              <w:jc w:val="center"/>
              <w:rPr>
                <w:noProof/>
                <w:sz w:val="18"/>
                <w:szCs w:val="18"/>
              </w:rPr>
            </w:pPr>
            <w:r w:rsidRPr="009D2948">
              <w:rPr>
                <w:sz w:val="18"/>
                <w:szCs w:val="18"/>
              </w:rPr>
              <w:t>Tipul cheltuielilor</w:t>
            </w:r>
          </w:p>
        </w:tc>
        <w:tc>
          <w:tcPr>
            <w:tcW w:w="4440" w:type="dxa"/>
            <w:gridSpan w:val="4"/>
            <w:vAlign w:val="center"/>
          </w:tcPr>
          <w:p w:rsidR="009D2948" w:rsidRPr="009D2948" w:rsidRDefault="009D2948" w:rsidP="007A1A92">
            <w:pPr>
              <w:spacing w:before="60" w:after="60"/>
              <w:jc w:val="center"/>
              <w:rPr>
                <w:noProof/>
              </w:rPr>
            </w:pPr>
            <w:r w:rsidRPr="009D2948">
              <w:rPr>
                <w:noProof/>
                <w:sz w:val="20"/>
              </w:rPr>
              <w:t xml:space="preserve">Contribuție </w:t>
            </w:r>
          </w:p>
        </w:tc>
      </w:tr>
      <w:tr w:rsidR="009D2948" w:rsidRPr="009D2948" w:rsidTr="007A1A92">
        <w:tc>
          <w:tcPr>
            <w:tcW w:w="1080" w:type="dxa"/>
            <w:vMerge/>
            <w:vAlign w:val="center"/>
          </w:tcPr>
          <w:p w:rsidR="009D2948" w:rsidRPr="009D2948" w:rsidRDefault="009D2948" w:rsidP="007A1A92">
            <w:pPr>
              <w:jc w:val="center"/>
              <w:rPr>
                <w:noProof/>
              </w:rPr>
            </w:pPr>
          </w:p>
        </w:tc>
        <w:tc>
          <w:tcPr>
            <w:tcW w:w="3960" w:type="dxa"/>
            <w:vAlign w:val="center"/>
          </w:tcPr>
          <w:p w:rsidR="009D2948" w:rsidRPr="009D2948" w:rsidRDefault="009D2948" w:rsidP="007A1A92">
            <w:pPr>
              <w:rPr>
                <w:noProof/>
              </w:rPr>
            </w:pPr>
            <w:r w:rsidRPr="009D2948">
              <w:rPr>
                <w:sz w:val="20"/>
                <w:szCs w:val="20"/>
              </w:rPr>
              <w:t>Număr[…]</w:t>
            </w:r>
            <w:r w:rsidRPr="009D2948">
              <w:rPr>
                <w:noProof/>
                <w:sz w:val="20"/>
                <w:szCs w:val="20"/>
              </w:rPr>
              <w:t>[</w:t>
            </w:r>
            <w:r w:rsidRPr="009D2948">
              <w:rPr>
                <w:noProof/>
                <w:sz w:val="20"/>
              </w:rPr>
              <w:t>Rubrică………………………...……………]</w:t>
            </w:r>
          </w:p>
        </w:tc>
        <w:tc>
          <w:tcPr>
            <w:tcW w:w="1080" w:type="dxa"/>
            <w:vAlign w:val="center"/>
          </w:tcPr>
          <w:p w:rsidR="009D2948" w:rsidRPr="009D2948" w:rsidRDefault="009D2948" w:rsidP="007A1A92">
            <w:pPr>
              <w:jc w:val="center"/>
              <w:rPr>
                <w:noProof/>
              </w:rPr>
            </w:pPr>
            <w:r w:rsidRPr="009D2948">
              <w:rPr>
                <w:noProof/>
                <w:sz w:val="18"/>
              </w:rPr>
              <w:t>Dif./ Nedif.</w:t>
            </w:r>
            <w:r w:rsidRPr="009D2948">
              <w:rPr>
                <w:rStyle w:val="FootnoteReference"/>
                <w:noProof/>
                <w:sz w:val="18"/>
              </w:rPr>
              <w:footnoteReference w:id="63"/>
            </w:r>
          </w:p>
        </w:tc>
        <w:tc>
          <w:tcPr>
            <w:tcW w:w="956" w:type="dxa"/>
            <w:vAlign w:val="center"/>
          </w:tcPr>
          <w:p w:rsidR="009D2948" w:rsidRPr="009D2948" w:rsidRDefault="009D2948" w:rsidP="007A1A92">
            <w:pPr>
              <w:jc w:val="center"/>
              <w:rPr>
                <w:noProof/>
              </w:rPr>
            </w:pPr>
            <w:r w:rsidRPr="009D2948">
              <w:rPr>
                <w:noProof/>
                <w:sz w:val="18"/>
              </w:rPr>
              <w:t>Țări AELS</w:t>
            </w:r>
            <w:r w:rsidRPr="009D2948">
              <w:rPr>
                <w:rStyle w:val="FootnoteReference"/>
                <w:noProof/>
                <w:sz w:val="18"/>
              </w:rPr>
              <w:footnoteReference w:id="64"/>
            </w:r>
          </w:p>
          <w:p w:rsidR="009D2948" w:rsidRPr="009D2948" w:rsidRDefault="009D2948" w:rsidP="007A1A92">
            <w:pPr>
              <w:spacing w:before="0" w:after="0"/>
              <w:jc w:val="center"/>
              <w:rPr>
                <w:b/>
                <w:noProof/>
                <w:sz w:val="18"/>
              </w:rPr>
            </w:pPr>
          </w:p>
        </w:tc>
        <w:tc>
          <w:tcPr>
            <w:tcW w:w="1080" w:type="dxa"/>
            <w:vAlign w:val="center"/>
          </w:tcPr>
          <w:p w:rsidR="009D2948" w:rsidRPr="009D2948" w:rsidRDefault="009D2948" w:rsidP="007A1A92">
            <w:pPr>
              <w:jc w:val="center"/>
              <w:rPr>
                <w:noProof/>
              </w:rPr>
            </w:pPr>
            <w:r w:rsidRPr="009D2948">
              <w:rPr>
                <w:noProof/>
                <w:sz w:val="18"/>
              </w:rPr>
              <w:t>Țări candidate</w:t>
            </w:r>
            <w:r w:rsidRPr="009D2948">
              <w:rPr>
                <w:rStyle w:val="FootnoteReference"/>
                <w:noProof/>
                <w:sz w:val="18"/>
              </w:rPr>
              <w:footnoteReference w:id="65"/>
            </w:r>
          </w:p>
          <w:p w:rsidR="009D2948" w:rsidRPr="009D2948" w:rsidRDefault="009D2948" w:rsidP="007A1A92">
            <w:pPr>
              <w:spacing w:before="0" w:after="0"/>
              <w:jc w:val="center"/>
              <w:rPr>
                <w:noProof/>
                <w:sz w:val="18"/>
              </w:rPr>
            </w:pPr>
          </w:p>
        </w:tc>
        <w:tc>
          <w:tcPr>
            <w:tcW w:w="956" w:type="dxa"/>
            <w:vAlign w:val="center"/>
          </w:tcPr>
          <w:p w:rsidR="009D2948" w:rsidRPr="009D2948" w:rsidRDefault="009D2948" w:rsidP="007A1A92">
            <w:pPr>
              <w:jc w:val="center"/>
              <w:rPr>
                <w:noProof/>
                <w:sz w:val="18"/>
              </w:rPr>
            </w:pPr>
            <w:r w:rsidRPr="009D2948">
              <w:rPr>
                <w:noProof/>
                <w:sz w:val="18"/>
              </w:rPr>
              <w:t>Țări terțe</w:t>
            </w:r>
          </w:p>
        </w:tc>
        <w:tc>
          <w:tcPr>
            <w:tcW w:w="1448" w:type="dxa"/>
            <w:vAlign w:val="center"/>
          </w:tcPr>
          <w:p w:rsidR="009D2948" w:rsidRPr="009D2948" w:rsidRDefault="009D2948" w:rsidP="007A1A92">
            <w:pPr>
              <w:jc w:val="center"/>
              <w:rPr>
                <w:noProof/>
              </w:rPr>
            </w:pPr>
            <w:r w:rsidRPr="009D2948">
              <w:rPr>
                <w:noProof/>
                <w:sz w:val="16"/>
              </w:rPr>
              <w:t xml:space="preserve">În sensul articolului 21 alineatul (2) litera (b) din Regulamentul financiar </w:t>
            </w:r>
          </w:p>
        </w:tc>
      </w:tr>
      <w:tr w:rsidR="009D2948" w:rsidRPr="009D2948" w:rsidTr="007A1A92">
        <w:tc>
          <w:tcPr>
            <w:tcW w:w="1080" w:type="dxa"/>
            <w:vAlign w:val="center"/>
          </w:tcPr>
          <w:p w:rsidR="009D2948" w:rsidRPr="009D2948" w:rsidRDefault="009D2948" w:rsidP="007A1A92">
            <w:pPr>
              <w:jc w:val="center"/>
              <w:rPr>
                <w:noProof/>
              </w:rPr>
            </w:pPr>
            <w:r w:rsidRPr="009D2948">
              <w:t>1a</w:t>
            </w:r>
          </w:p>
        </w:tc>
        <w:tc>
          <w:tcPr>
            <w:tcW w:w="3960" w:type="dxa"/>
            <w:vAlign w:val="center"/>
          </w:tcPr>
          <w:p w:rsidR="009D2948" w:rsidRPr="009D2948" w:rsidRDefault="009D2948" w:rsidP="007A1A92">
            <w:pPr>
              <w:spacing w:before="60"/>
              <w:rPr>
                <w:noProof/>
              </w:rPr>
            </w:pPr>
            <w:r w:rsidRPr="009D2948">
              <w:rPr>
                <w:noProof/>
                <w:sz w:val="22"/>
              </w:rPr>
              <w:t>12.02 06 ESMA</w:t>
            </w:r>
          </w:p>
        </w:tc>
        <w:tc>
          <w:tcPr>
            <w:tcW w:w="1080" w:type="dxa"/>
            <w:vAlign w:val="center"/>
          </w:tcPr>
          <w:p w:rsidR="009D2948" w:rsidRPr="009D2948" w:rsidRDefault="009D2948" w:rsidP="007A1A92">
            <w:pPr>
              <w:jc w:val="center"/>
              <w:rPr>
                <w:noProof/>
              </w:rPr>
            </w:pPr>
            <w:r w:rsidRPr="009D2948">
              <w:rPr>
                <w:noProof/>
                <w:sz w:val="22"/>
              </w:rPr>
              <w:t>Dif.</w:t>
            </w:r>
          </w:p>
        </w:tc>
        <w:tc>
          <w:tcPr>
            <w:tcW w:w="956" w:type="dxa"/>
            <w:vAlign w:val="center"/>
          </w:tcPr>
          <w:p w:rsidR="009D2948" w:rsidRPr="009D2948" w:rsidRDefault="009D2948" w:rsidP="007A1A92">
            <w:pPr>
              <w:jc w:val="center"/>
              <w:rPr>
                <w:noProof/>
              </w:rPr>
            </w:pPr>
            <w:r w:rsidRPr="009D2948">
              <w:rPr>
                <w:noProof/>
                <w:sz w:val="22"/>
              </w:rPr>
              <w:t>DA</w:t>
            </w:r>
          </w:p>
        </w:tc>
        <w:tc>
          <w:tcPr>
            <w:tcW w:w="1080" w:type="dxa"/>
            <w:vAlign w:val="center"/>
          </w:tcPr>
          <w:p w:rsidR="009D2948" w:rsidRPr="009D2948" w:rsidRDefault="009D2948" w:rsidP="007A1A92">
            <w:pPr>
              <w:jc w:val="center"/>
              <w:rPr>
                <w:noProof/>
              </w:rPr>
            </w:pPr>
            <w:r w:rsidRPr="009D2948">
              <w:rPr>
                <w:noProof/>
                <w:sz w:val="22"/>
              </w:rPr>
              <w:t>NU</w:t>
            </w:r>
          </w:p>
        </w:tc>
        <w:tc>
          <w:tcPr>
            <w:tcW w:w="956" w:type="dxa"/>
            <w:vAlign w:val="center"/>
          </w:tcPr>
          <w:p w:rsidR="009D2948" w:rsidRPr="009D2948" w:rsidRDefault="009D2948" w:rsidP="007A1A92">
            <w:pPr>
              <w:jc w:val="center"/>
              <w:rPr>
                <w:noProof/>
              </w:rPr>
            </w:pPr>
            <w:r w:rsidRPr="009D2948">
              <w:rPr>
                <w:noProof/>
                <w:sz w:val="22"/>
              </w:rPr>
              <w:t>NU</w:t>
            </w:r>
          </w:p>
        </w:tc>
        <w:tc>
          <w:tcPr>
            <w:tcW w:w="1448" w:type="dxa"/>
            <w:vAlign w:val="center"/>
          </w:tcPr>
          <w:p w:rsidR="009D2948" w:rsidRPr="009D2948" w:rsidRDefault="009D2948" w:rsidP="007A1A92">
            <w:pPr>
              <w:jc w:val="center"/>
              <w:rPr>
                <w:noProof/>
              </w:rPr>
            </w:pPr>
            <w:r w:rsidRPr="009D2948">
              <w:rPr>
                <w:noProof/>
                <w:sz w:val="22"/>
              </w:rPr>
              <w:t>NU</w:t>
            </w:r>
          </w:p>
        </w:tc>
      </w:tr>
    </w:tbl>
    <w:p w:rsidR="009D2948" w:rsidRPr="009D2948" w:rsidRDefault="009D2948" w:rsidP="009D2948">
      <w:pPr>
        <w:rPr>
          <w:noProof/>
        </w:rPr>
        <w:sectPr w:rsidR="009D2948" w:rsidRPr="009D2948" w:rsidSect="006B1E4D">
          <w:pgSz w:w="11907" w:h="16840" w:code="1"/>
          <w:pgMar w:top="1134" w:right="1418" w:bottom="1134" w:left="1418" w:header="709" w:footer="709" w:gutter="0"/>
          <w:cols w:space="708"/>
          <w:docGrid w:linePitch="360"/>
        </w:sectPr>
      </w:pPr>
    </w:p>
    <w:p w:rsidR="009D2948" w:rsidRPr="009D2948" w:rsidRDefault="009D2948" w:rsidP="009D2948">
      <w:pPr>
        <w:pStyle w:val="ManualHeading2"/>
        <w:rPr>
          <w:bCs/>
          <w:noProof/>
          <w:szCs w:val="24"/>
        </w:rPr>
      </w:pPr>
      <w:r w:rsidRPr="009D2948">
        <w:lastRenderedPageBreak/>
        <w:t>3.2.</w:t>
      </w:r>
      <w:r w:rsidRPr="009D2948">
        <w:tab/>
        <w:t xml:space="preserve">Impactul estimat asupra cheltuielilor </w:t>
      </w:r>
    </w:p>
    <w:p w:rsidR="009D2948" w:rsidRPr="009D2948" w:rsidRDefault="009D2948" w:rsidP="009D2948">
      <w:pPr>
        <w:pStyle w:val="Text1"/>
        <w:ind w:left="0"/>
        <w:rPr>
          <w:noProof/>
        </w:rPr>
      </w:pPr>
      <w:r w:rsidRPr="009D2948">
        <w:t>Prezenta inițiativă legislativă va avea următoarele efecte asupra cheltuielilor:</w:t>
      </w:r>
    </w:p>
    <w:p w:rsidR="009D2948" w:rsidRPr="009D2948" w:rsidRDefault="009D2948" w:rsidP="009D2948">
      <w:pPr>
        <w:pStyle w:val="Text1"/>
        <w:ind w:left="0"/>
        <w:rPr>
          <w:noProof/>
        </w:rPr>
      </w:pPr>
      <w:r w:rsidRPr="009D2948">
        <w:t>1. Angajarea a 47 de noi agenți temporari la ESMA (începând din august 2018). A se vedea anexa pentru mai multe informații cu privire la rolul acestora și la modalitățile în care au fost calculate costurile.</w:t>
      </w:r>
    </w:p>
    <w:p w:rsidR="009D2948" w:rsidRPr="009D2948" w:rsidRDefault="009D2948" w:rsidP="009D2948">
      <w:pPr>
        <w:pStyle w:val="Text1"/>
        <w:ind w:left="0"/>
        <w:rPr>
          <w:noProof/>
        </w:rPr>
      </w:pPr>
      <w:r w:rsidRPr="009D2948">
        <w:t xml:space="preserve">2. Costul aferent acestor noi posturi de agent temporar va fi finanțat în totalitate prin taxe percepute sectorului (niciun impact asupra bugetului UE). Cu toate acestea, presupunând că adoptarea și intrarea în vigoare a propunerii ar avea loc la jumătatea anului 2018, din cauza faptului că va trebui pregătit un act delegat al Comisiei care să precizeze tipurile de taxe, elementele pentru care se datorează acestea, valoarea și modul lor de plată, taxele nu vor fi percepute decât, în cel mai bun caz, de la jumătatea anului 2019. Întrucât ESMA ar urma să suporte costuri în temeiul regulamentului de la intrarea în vigoare a acestuia, este necesar să se obțină un buget suplimentar de la UE în 2018 și 2019 pentru a acoperi cel puțin primele 12 luni de funcționare de după intrarea în vigoare a prezentului regulament. </w:t>
      </w:r>
    </w:p>
    <w:p w:rsidR="009D2948" w:rsidRPr="009D2948" w:rsidRDefault="009D2948" w:rsidP="009D2948">
      <w:pPr>
        <w:pStyle w:val="Text1"/>
        <w:ind w:left="0"/>
        <w:rPr>
          <w:noProof/>
        </w:rPr>
      </w:pPr>
      <w:r w:rsidRPr="009D2948">
        <w:t>Taxele care urmează să fie percepute vor acoperi și costurile suportate începând cu 2018, ceea ce va permite ESMA să restituie avansul la bugetul UE până cel târziu în 2020.</w:t>
      </w:r>
    </w:p>
    <w:p w:rsidR="009D2948" w:rsidRPr="009D2948" w:rsidRDefault="009D2948" w:rsidP="009D2948">
      <w:pPr>
        <w:pStyle w:val="Text1"/>
        <w:ind w:left="0"/>
        <w:rPr>
          <w:noProof/>
        </w:rPr>
      </w:pPr>
      <w:r w:rsidRPr="009D2948">
        <w:t>Această sumă suplimentară ar trebui să provină din bugetul general, deoarece bugetul DG FISMA nu o poate acoperi.</w:t>
      </w:r>
    </w:p>
    <w:p w:rsidR="009D2948" w:rsidRPr="009D2948" w:rsidRDefault="009D2948" w:rsidP="009D2948">
      <w:pPr>
        <w:pStyle w:val="ManualHeading3"/>
        <w:rPr>
          <w:noProof/>
          <w:u w:val="single"/>
        </w:rPr>
      </w:pPr>
      <w:r w:rsidRPr="009D2948">
        <w:t>3.2.1.</w:t>
      </w:r>
      <w:r w:rsidRPr="009D2948">
        <w:tab/>
        <w:t xml:space="preserve">Sinteza impactului estimat asupra cheltuielilor </w:t>
      </w:r>
    </w:p>
    <w:p w:rsidR="009D2948" w:rsidRPr="009D2948" w:rsidRDefault="009D2948" w:rsidP="009D2948">
      <w:pPr>
        <w:jc w:val="right"/>
        <w:rPr>
          <w:noProof/>
          <w:sz w:val="20"/>
        </w:rPr>
      </w:pPr>
      <w:r w:rsidRPr="009D2948">
        <w:rPr>
          <w:noProof/>
          <w:sz w:val="20"/>
        </w:rPr>
        <w:t>milioane EUR (cu trei zecimale)</w:t>
      </w:r>
    </w:p>
    <w:tbl>
      <w:tblPr>
        <w:tblW w:w="0" w:type="auto"/>
        <w:jc w:val="center"/>
        <w:tblInd w:w="-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2"/>
        <w:gridCol w:w="992"/>
        <w:gridCol w:w="8314"/>
      </w:tblGrid>
      <w:tr w:rsidR="009D2948" w:rsidRPr="009D2948" w:rsidTr="007A1A92">
        <w:trPr>
          <w:jc w:val="center"/>
        </w:trPr>
        <w:tc>
          <w:tcPr>
            <w:tcW w:w="4942" w:type="dxa"/>
            <w:shd w:val="thinDiagStripe" w:color="C0C0C0" w:fill="auto"/>
            <w:vAlign w:val="center"/>
          </w:tcPr>
          <w:p w:rsidR="009D2948" w:rsidRPr="009D2948" w:rsidRDefault="009D2948" w:rsidP="007A1A92">
            <w:pPr>
              <w:spacing w:before="60" w:after="60"/>
              <w:jc w:val="center"/>
              <w:rPr>
                <w:b/>
                <w:noProof/>
              </w:rPr>
            </w:pPr>
            <w:r w:rsidRPr="009D2948">
              <w:rPr>
                <w:b/>
              </w:rPr>
              <w:t>Rubrica din cadrul financiar multianual</w:t>
            </w:r>
            <w:r w:rsidRPr="009D2948">
              <w:rPr>
                <w:b/>
                <w:noProof/>
                <w:sz w:val="22"/>
              </w:rPr>
              <w:t xml:space="preserve"> </w:t>
            </w:r>
          </w:p>
        </w:tc>
        <w:tc>
          <w:tcPr>
            <w:tcW w:w="992" w:type="dxa"/>
            <w:vAlign w:val="center"/>
          </w:tcPr>
          <w:p w:rsidR="009D2948" w:rsidRPr="009D2948" w:rsidRDefault="009D2948" w:rsidP="007A1A92">
            <w:pPr>
              <w:spacing w:before="60" w:after="60"/>
              <w:jc w:val="center"/>
              <w:rPr>
                <w:noProof/>
              </w:rPr>
            </w:pPr>
            <w:r w:rsidRPr="009D2948">
              <w:rPr>
                <w:noProof/>
                <w:sz w:val="22"/>
              </w:rPr>
              <w:t>Număr</w:t>
            </w:r>
          </w:p>
        </w:tc>
        <w:tc>
          <w:tcPr>
            <w:tcW w:w="8314" w:type="dxa"/>
            <w:vAlign w:val="center"/>
          </w:tcPr>
          <w:p w:rsidR="009D2948" w:rsidRPr="009D2948" w:rsidRDefault="009D2948" w:rsidP="007A1A92">
            <w:pPr>
              <w:spacing w:before="60" w:after="60"/>
              <w:rPr>
                <w:noProof/>
              </w:rPr>
            </w:pPr>
            <w:r w:rsidRPr="009D2948">
              <w:rPr>
                <w:noProof/>
                <w:sz w:val="22"/>
              </w:rPr>
              <w:t>Rubrica 1a Competitivitate pentru creștere economică și locuri de muncă</w:t>
            </w:r>
          </w:p>
        </w:tc>
      </w:tr>
    </w:tbl>
    <w:p w:rsidR="009D2948" w:rsidRPr="009D2948" w:rsidRDefault="009D2948" w:rsidP="009D2948">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8"/>
        <w:gridCol w:w="630"/>
        <w:gridCol w:w="1134"/>
        <w:gridCol w:w="1134"/>
        <w:gridCol w:w="1276"/>
        <w:gridCol w:w="992"/>
        <w:gridCol w:w="993"/>
        <w:gridCol w:w="567"/>
        <w:gridCol w:w="1984"/>
      </w:tblGrid>
      <w:tr w:rsidR="009D2948" w:rsidRPr="009D2948" w:rsidTr="007A1A92">
        <w:tc>
          <w:tcPr>
            <w:tcW w:w="3960" w:type="dxa"/>
            <w:vAlign w:val="center"/>
          </w:tcPr>
          <w:p w:rsidR="009D2948" w:rsidRPr="009D2948" w:rsidRDefault="009D2948" w:rsidP="007A1A92">
            <w:pPr>
              <w:jc w:val="center"/>
              <w:rPr>
                <w:noProof/>
              </w:rPr>
            </w:pPr>
            <w:r w:rsidRPr="009D2948">
              <w:rPr>
                <w:noProof/>
                <w:sz w:val="22"/>
              </w:rPr>
              <w:t>DG: FISMA</w:t>
            </w:r>
          </w:p>
        </w:tc>
        <w:tc>
          <w:tcPr>
            <w:tcW w:w="1362" w:type="dxa"/>
          </w:tcPr>
          <w:p w:rsidR="009D2948" w:rsidRPr="009D2948" w:rsidRDefault="009D2948" w:rsidP="007A1A92">
            <w:pPr>
              <w:rPr>
                <w:noProof/>
                <w:sz w:val="20"/>
              </w:rPr>
            </w:pPr>
          </w:p>
        </w:tc>
        <w:tc>
          <w:tcPr>
            <w:tcW w:w="708" w:type="dxa"/>
            <w:gridSpan w:val="2"/>
          </w:tcPr>
          <w:p w:rsidR="009D2948" w:rsidRPr="009D2948" w:rsidRDefault="009D2948" w:rsidP="007A1A92">
            <w:pPr>
              <w:jc w:val="center"/>
              <w:rPr>
                <w:noProof/>
                <w:sz w:val="20"/>
              </w:rPr>
            </w:pPr>
          </w:p>
        </w:tc>
        <w:tc>
          <w:tcPr>
            <w:tcW w:w="1134" w:type="dxa"/>
            <w:vAlign w:val="center"/>
          </w:tcPr>
          <w:p w:rsidR="009D2948" w:rsidRPr="009D2948" w:rsidRDefault="009D2948" w:rsidP="007A1A92">
            <w:pPr>
              <w:jc w:val="center"/>
              <w:rPr>
                <w:sz w:val="20"/>
                <w:szCs w:val="20"/>
              </w:rPr>
            </w:pPr>
            <w:r w:rsidRPr="009D2948">
              <w:rPr>
                <w:sz w:val="20"/>
                <w:szCs w:val="20"/>
              </w:rPr>
              <w:t>Anul</w:t>
            </w:r>
            <w:r w:rsidRPr="009D2948">
              <w:rPr>
                <w:noProof/>
                <w:sz w:val="20"/>
                <w:szCs w:val="20"/>
              </w:rPr>
              <w:br/>
            </w:r>
            <w:r w:rsidRPr="009D2948">
              <w:rPr>
                <w:b/>
                <w:noProof/>
                <w:sz w:val="20"/>
                <w:szCs w:val="20"/>
              </w:rPr>
              <w:t>2018</w:t>
            </w:r>
          </w:p>
        </w:tc>
        <w:tc>
          <w:tcPr>
            <w:tcW w:w="1134" w:type="dxa"/>
            <w:vAlign w:val="center"/>
          </w:tcPr>
          <w:p w:rsidR="009D2948" w:rsidRPr="009D2948" w:rsidRDefault="009D2948" w:rsidP="007A1A92">
            <w:pPr>
              <w:jc w:val="center"/>
              <w:rPr>
                <w:noProof/>
                <w:sz w:val="20"/>
                <w:szCs w:val="20"/>
              </w:rPr>
            </w:pPr>
            <w:r w:rsidRPr="009D2948">
              <w:rPr>
                <w:sz w:val="20"/>
                <w:szCs w:val="20"/>
              </w:rPr>
              <w:t>Anul</w:t>
            </w:r>
            <w:r w:rsidRPr="009D2948">
              <w:rPr>
                <w:noProof/>
                <w:sz w:val="20"/>
                <w:szCs w:val="20"/>
              </w:rPr>
              <w:br/>
            </w:r>
            <w:r w:rsidRPr="009D2948">
              <w:rPr>
                <w:b/>
                <w:noProof/>
                <w:sz w:val="20"/>
                <w:szCs w:val="20"/>
              </w:rPr>
              <w:t>2019</w:t>
            </w:r>
          </w:p>
        </w:tc>
        <w:tc>
          <w:tcPr>
            <w:tcW w:w="1276" w:type="dxa"/>
            <w:vAlign w:val="center"/>
          </w:tcPr>
          <w:p w:rsidR="009D2948" w:rsidRPr="009D2948" w:rsidRDefault="009D2948" w:rsidP="007A1A92">
            <w:pPr>
              <w:jc w:val="center"/>
              <w:rPr>
                <w:noProof/>
                <w:sz w:val="20"/>
                <w:szCs w:val="20"/>
              </w:rPr>
            </w:pPr>
            <w:r w:rsidRPr="009D2948">
              <w:rPr>
                <w:sz w:val="20"/>
                <w:szCs w:val="20"/>
              </w:rPr>
              <w:t>Anul</w:t>
            </w:r>
            <w:r w:rsidRPr="009D2948">
              <w:rPr>
                <w:noProof/>
                <w:sz w:val="20"/>
                <w:szCs w:val="20"/>
              </w:rPr>
              <w:br/>
            </w:r>
            <w:r w:rsidRPr="009D2948">
              <w:rPr>
                <w:b/>
                <w:noProof/>
                <w:sz w:val="20"/>
                <w:szCs w:val="20"/>
              </w:rPr>
              <w:t>2020</w:t>
            </w:r>
          </w:p>
        </w:tc>
        <w:tc>
          <w:tcPr>
            <w:tcW w:w="2552" w:type="dxa"/>
            <w:gridSpan w:val="3"/>
            <w:vAlign w:val="center"/>
          </w:tcPr>
          <w:p w:rsidR="009D2948" w:rsidRPr="009D2948" w:rsidRDefault="009D2948" w:rsidP="007A1A92">
            <w:pPr>
              <w:jc w:val="center"/>
              <w:rPr>
                <w:b/>
                <w:noProof/>
                <w:sz w:val="18"/>
              </w:rPr>
            </w:pPr>
            <w:r w:rsidRPr="009D2948">
              <w:rPr>
                <w:noProof/>
                <w:sz w:val="18"/>
              </w:rPr>
              <w:t>A se introduce atâția ani câți sunt considerați necesari pentru a reflecta durata impactului (cf. punctul 1.6)</w:t>
            </w:r>
          </w:p>
        </w:tc>
        <w:tc>
          <w:tcPr>
            <w:tcW w:w="1984" w:type="dxa"/>
            <w:vAlign w:val="center"/>
          </w:tcPr>
          <w:p w:rsidR="009D2948" w:rsidRPr="009D2948" w:rsidRDefault="009D2948" w:rsidP="007A1A92">
            <w:pPr>
              <w:jc w:val="center"/>
              <w:rPr>
                <w:b/>
                <w:noProof/>
                <w:sz w:val="20"/>
              </w:rPr>
            </w:pPr>
            <w:r w:rsidRPr="009D2948">
              <w:rPr>
                <w:b/>
                <w:noProof/>
                <w:sz w:val="20"/>
              </w:rPr>
              <w:t>TOTAL</w:t>
            </w:r>
          </w:p>
        </w:tc>
      </w:tr>
      <w:tr w:rsidR="009D2948" w:rsidRPr="009D2948" w:rsidTr="007A1A92">
        <w:trPr>
          <w:trHeight w:val="213"/>
        </w:trPr>
        <w:tc>
          <w:tcPr>
            <w:tcW w:w="6030" w:type="dxa"/>
            <w:gridSpan w:val="4"/>
            <w:vAlign w:val="center"/>
          </w:tcPr>
          <w:p w:rsidR="009D2948" w:rsidRPr="009D2948" w:rsidRDefault="009D2948" w:rsidP="007A1A92">
            <w:pPr>
              <w:spacing w:before="20" w:after="20"/>
              <w:rPr>
                <w:noProof/>
                <w:sz w:val="21"/>
              </w:rPr>
            </w:pPr>
            <w:r w:rsidRPr="009D2948">
              <w:rPr>
                <w:noProof/>
                <w:sz w:val="21"/>
              </w:rPr>
              <w:sym w:font="Wingdings" w:char="F09F"/>
            </w:r>
            <w:r w:rsidRPr="009D2948">
              <w:t xml:space="preserve"> </w:t>
            </w:r>
            <w:r w:rsidRPr="009D2948">
              <w:rPr>
                <w:sz w:val="21"/>
                <w:szCs w:val="21"/>
              </w:rPr>
              <w:t>Credite operaționale</w:t>
            </w:r>
          </w:p>
        </w:tc>
        <w:tc>
          <w:tcPr>
            <w:tcW w:w="1134" w:type="dxa"/>
            <w:vAlign w:val="center"/>
          </w:tcPr>
          <w:p w:rsidR="009D2948" w:rsidRPr="009D2948" w:rsidRDefault="009D2948" w:rsidP="007A1A92">
            <w:pPr>
              <w:rPr>
                <w:noProof/>
                <w:sz w:val="20"/>
              </w:rPr>
            </w:pPr>
          </w:p>
        </w:tc>
        <w:tc>
          <w:tcPr>
            <w:tcW w:w="1134" w:type="dxa"/>
            <w:vAlign w:val="center"/>
          </w:tcPr>
          <w:p w:rsidR="009D2948" w:rsidRPr="009D2948" w:rsidRDefault="009D2948" w:rsidP="007A1A92">
            <w:pPr>
              <w:rPr>
                <w:noProof/>
                <w:sz w:val="20"/>
              </w:rPr>
            </w:pPr>
          </w:p>
        </w:tc>
        <w:tc>
          <w:tcPr>
            <w:tcW w:w="1276" w:type="dxa"/>
            <w:vAlign w:val="center"/>
          </w:tcPr>
          <w:p w:rsidR="009D2948" w:rsidRPr="009D2948" w:rsidRDefault="009D2948" w:rsidP="007A1A92">
            <w:pPr>
              <w:rPr>
                <w:noProof/>
                <w:sz w:val="20"/>
              </w:rPr>
            </w:pPr>
          </w:p>
        </w:tc>
        <w:tc>
          <w:tcPr>
            <w:tcW w:w="992" w:type="dxa"/>
            <w:vAlign w:val="center"/>
          </w:tcPr>
          <w:p w:rsidR="009D2948" w:rsidRPr="009D2948" w:rsidRDefault="009D2948" w:rsidP="007A1A92">
            <w:pPr>
              <w:rPr>
                <w:noProof/>
                <w:sz w:val="20"/>
              </w:rPr>
            </w:pPr>
          </w:p>
        </w:tc>
        <w:tc>
          <w:tcPr>
            <w:tcW w:w="993" w:type="dxa"/>
            <w:vAlign w:val="center"/>
          </w:tcPr>
          <w:p w:rsidR="009D2948" w:rsidRPr="009D2948" w:rsidRDefault="009D2948" w:rsidP="007A1A92">
            <w:pPr>
              <w:rPr>
                <w:noProof/>
                <w:sz w:val="20"/>
              </w:rPr>
            </w:pPr>
          </w:p>
        </w:tc>
        <w:tc>
          <w:tcPr>
            <w:tcW w:w="567" w:type="dxa"/>
            <w:vAlign w:val="center"/>
          </w:tcPr>
          <w:p w:rsidR="009D2948" w:rsidRPr="009D2948" w:rsidRDefault="009D2948" w:rsidP="007A1A92">
            <w:pPr>
              <w:rPr>
                <w:b/>
                <w:noProof/>
                <w:sz w:val="20"/>
              </w:rPr>
            </w:pPr>
          </w:p>
        </w:tc>
        <w:tc>
          <w:tcPr>
            <w:tcW w:w="1984" w:type="dxa"/>
            <w:vAlign w:val="center"/>
          </w:tcPr>
          <w:p w:rsidR="009D2948" w:rsidRPr="009D2948" w:rsidRDefault="009D2948" w:rsidP="007A1A92">
            <w:pPr>
              <w:rPr>
                <w:b/>
                <w:noProof/>
                <w:sz w:val="20"/>
              </w:rPr>
            </w:pPr>
          </w:p>
        </w:tc>
      </w:tr>
      <w:tr w:rsidR="009D2948" w:rsidRPr="009D2948" w:rsidTr="007A1A92">
        <w:trPr>
          <w:trHeight w:val="277"/>
        </w:trPr>
        <w:tc>
          <w:tcPr>
            <w:tcW w:w="3960" w:type="dxa"/>
            <w:vMerge w:val="restart"/>
            <w:vAlign w:val="center"/>
          </w:tcPr>
          <w:p w:rsidR="009D2948" w:rsidRPr="009D2948" w:rsidRDefault="009D2948" w:rsidP="007A1A92">
            <w:pPr>
              <w:rPr>
                <w:noProof/>
              </w:rPr>
            </w:pPr>
            <w:r w:rsidRPr="009D2948">
              <w:rPr>
                <w:noProof/>
                <w:sz w:val="20"/>
              </w:rPr>
              <w:t>12.02 06</w:t>
            </w:r>
          </w:p>
        </w:tc>
        <w:tc>
          <w:tcPr>
            <w:tcW w:w="1440" w:type="dxa"/>
            <w:gridSpan w:val="2"/>
            <w:vAlign w:val="center"/>
          </w:tcPr>
          <w:p w:rsidR="009D2948" w:rsidRPr="009D2948" w:rsidRDefault="009D2948" w:rsidP="007A1A92">
            <w:pPr>
              <w:spacing w:before="20" w:after="20"/>
              <w:rPr>
                <w:noProof/>
                <w:sz w:val="18"/>
              </w:rPr>
            </w:pPr>
            <w:r w:rsidRPr="009D2948">
              <w:rPr>
                <w:noProof/>
                <w:sz w:val="18"/>
              </w:rPr>
              <w:t>Angajamente</w:t>
            </w:r>
          </w:p>
        </w:tc>
        <w:tc>
          <w:tcPr>
            <w:tcW w:w="630" w:type="dxa"/>
            <w:vAlign w:val="center"/>
          </w:tcPr>
          <w:p w:rsidR="009D2948" w:rsidRPr="009D2948" w:rsidRDefault="009D2948" w:rsidP="007A1A92">
            <w:pPr>
              <w:spacing w:before="20" w:after="20"/>
              <w:jc w:val="center"/>
              <w:rPr>
                <w:noProof/>
                <w:sz w:val="14"/>
              </w:rPr>
            </w:pPr>
            <w:r w:rsidRPr="009D2948">
              <w:rPr>
                <w:noProof/>
                <w:sz w:val="14"/>
              </w:rPr>
              <w:t>(1)</w:t>
            </w:r>
          </w:p>
        </w:tc>
        <w:tc>
          <w:tcPr>
            <w:tcW w:w="1134" w:type="dxa"/>
            <w:vAlign w:val="center"/>
          </w:tcPr>
          <w:p w:rsidR="009D2948" w:rsidRPr="009D2948" w:rsidRDefault="009D2948" w:rsidP="007A1A92">
            <w:pPr>
              <w:spacing w:before="20" w:after="20"/>
              <w:jc w:val="center"/>
              <w:rPr>
                <w:noProof/>
                <w:sz w:val="20"/>
              </w:rPr>
            </w:pPr>
            <w:r w:rsidRPr="009D2948">
              <w:rPr>
                <w:noProof/>
                <w:sz w:val="20"/>
              </w:rPr>
              <w:t>4 310 555</w:t>
            </w:r>
          </w:p>
        </w:tc>
        <w:tc>
          <w:tcPr>
            <w:tcW w:w="1134" w:type="dxa"/>
            <w:vAlign w:val="center"/>
          </w:tcPr>
          <w:p w:rsidR="009D2948" w:rsidRPr="009D2948" w:rsidRDefault="009D2948" w:rsidP="007A1A92">
            <w:pPr>
              <w:spacing w:before="20" w:after="20"/>
              <w:jc w:val="center"/>
              <w:rPr>
                <w:noProof/>
                <w:sz w:val="20"/>
              </w:rPr>
            </w:pPr>
            <w:r w:rsidRPr="009D2948">
              <w:rPr>
                <w:noProof/>
                <w:sz w:val="20"/>
              </w:rPr>
              <w:t>7 788 789</w:t>
            </w:r>
          </w:p>
        </w:tc>
        <w:tc>
          <w:tcPr>
            <w:tcW w:w="1276" w:type="dxa"/>
            <w:vAlign w:val="center"/>
          </w:tcPr>
          <w:p w:rsidR="009D2948" w:rsidRPr="009D2948" w:rsidRDefault="009D2948" w:rsidP="007A1A92">
            <w:pPr>
              <w:spacing w:before="20" w:after="20"/>
              <w:rPr>
                <w:noProof/>
                <w:sz w:val="20"/>
              </w:rPr>
            </w:pPr>
          </w:p>
        </w:tc>
        <w:tc>
          <w:tcPr>
            <w:tcW w:w="992" w:type="dxa"/>
            <w:vAlign w:val="center"/>
          </w:tcPr>
          <w:p w:rsidR="009D2948" w:rsidRPr="009D2948" w:rsidRDefault="009D2948" w:rsidP="007A1A92">
            <w:pPr>
              <w:spacing w:before="20" w:after="20"/>
              <w:jc w:val="right"/>
              <w:rPr>
                <w:noProof/>
                <w:sz w:val="20"/>
              </w:rPr>
            </w:pPr>
          </w:p>
        </w:tc>
        <w:tc>
          <w:tcPr>
            <w:tcW w:w="993" w:type="dxa"/>
            <w:vAlign w:val="center"/>
          </w:tcPr>
          <w:p w:rsidR="009D2948" w:rsidRPr="009D2948" w:rsidRDefault="009D2948" w:rsidP="007A1A92">
            <w:pPr>
              <w:spacing w:before="20" w:after="20"/>
              <w:jc w:val="right"/>
              <w:rPr>
                <w:noProof/>
                <w:sz w:val="20"/>
              </w:rPr>
            </w:pPr>
          </w:p>
        </w:tc>
        <w:tc>
          <w:tcPr>
            <w:tcW w:w="567" w:type="dxa"/>
            <w:vAlign w:val="center"/>
          </w:tcPr>
          <w:p w:rsidR="009D2948" w:rsidRPr="009D2948" w:rsidRDefault="009D2948" w:rsidP="007A1A92">
            <w:pPr>
              <w:spacing w:before="20" w:after="20"/>
              <w:jc w:val="right"/>
              <w:rPr>
                <w:b/>
                <w:noProof/>
                <w:sz w:val="20"/>
              </w:rPr>
            </w:pPr>
          </w:p>
        </w:tc>
        <w:tc>
          <w:tcPr>
            <w:tcW w:w="1984" w:type="dxa"/>
            <w:vAlign w:val="center"/>
          </w:tcPr>
          <w:p w:rsidR="009D2948" w:rsidRPr="009D2948" w:rsidRDefault="009D2948" w:rsidP="007A1A92">
            <w:pPr>
              <w:spacing w:before="20" w:after="20"/>
              <w:jc w:val="right"/>
              <w:rPr>
                <w:b/>
                <w:noProof/>
                <w:sz w:val="20"/>
              </w:rPr>
            </w:pPr>
          </w:p>
        </w:tc>
      </w:tr>
      <w:tr w:rsidR="009D2948" w:rsidRPr="009D2948" w:rsidTr="007A1A92">
        <w:tc>
          <w:tcPr>
            <w:tcW w:w="3960" w:type="dxa"/>
            <w:vMerge/>
          </w:tcPr>
          <w:p w:rsidR="009D2948" w:rsidRPr="009D2948" w:rsidRDefault="009D2948" w:rsidP="007A1A92">
            <w:pPr>
              <w:jc w:val="center"/>
              <w:rPr>
                <w:noProof/>
                <w:sz w:val="20"/>
              </w:rPr>
            </w:pPr>
          </w:p>
        </w:tc>
        <w:tc>
          <w:tcPr>
            <w:tcW w:w="1440" w:type="dxa"/>
            <w:gridSpan w:val="2"/>
            <w:vAlign w:val="center"/>
          </w:tcPr>
          <w:p w:rsidR="009D2948" w:rsidRPr="009D2948" w:rsidRDefault="009D2948" w:rsidP="007A1A92">
            <w:pPr>
              <w:spacing w:before="20" w:after="20"/>
              <w:rPr>
                <w:noProof/>
                <w:sz w:val="18"/>
              </w:rPr>
            </w:pPr>
            <w:r w:rsidRPr="009D2948">
              <w:rPr>
                <w:noProof/>
                <w:sz w:val="18"/>
              </w:rPr>
              <w:t>Plăți</w:t>
            </w:r>
          </w:p>
        </w:tc>
        <w:tc>
          <w:tcPr>
            <w:tcW w:w="630" w:type="dxa"/>
            <w:vAlign w:val="center"/>
          </w:tcPr>
          <w:p w:rsidR="009D2948" w:rsidRPr="009D2948" w:rsidRDefault="009D2948" w:rsidP="007A1A92">
            <w:pPr>
              <w:spacing w:before="20" w:after="20"/>
              <w:jc w:val="center"/>
              <w:rPr>
                <w:noProof/>
                <w:sz w:val="14"/>
              </w:rPr>
            </w:pPr>
            <w:r w:rsidRPr="009D2948">
              <w:rPr>
                <w:noProof/>
                <w:sz w:val="14"/>
              </w:rPr>
              <w:t>(2)</w:t>
            </w:r>
          </w:p>
        </w:tc>
        <w:tc>
          <w:tcPr>
            <w:tcW w:w="1134" w:type="dxa"/>
            <w:vAlign w:val="center"/>
          </w:tcPr>
          <w:p w:rsidR="009D2948" w:rsidRPr="009D2948" w:rsidRDefault="009D2948" w:rsidP="007A1A92">
            <w:pPr>
              <w:spacing w:before="20" w:after="20"/>
              <w:jc w:val="center"/>
              <w:rPr>
                <w:noProof/>
                <w:sz w:val="20"/>
              </w:rPr>
            </w:pPr>
            <w:r w:rsidRPr="009D2948">
              <w:rPr>
                <w:noProof/>
                <w:sz w:val="20"/>
              </w:rPr>
              <w:t>4 310 555</w:t>
            </w:r>
          </w:p>
        </w:tc>
        <w:tc>
          <w:tcPr>
            <w:tcW w:w="1134" w:type="dxa"/>
            <w:vAlign w:val="center"/>
          </w:tcPr>
          <w:p w:rsidR="009D2948" w:rsidRPr="009D2948" w:rsidRDefault="009D2948" w:rsidP="007A1A92">
            <w:pPr>
              <w:spacing w:before="20" w:after="20"/>
              <w:jc w:val="right"/>
              <w:rPr>
                <w:noProof/>
                <w:sz w:val="20"/>
              </w:rPr>
            </w:pPr>
            <w:r w:rsidRPr="009D2948">
              <w:rPr>
                <w:noProof/>
                <w:sz w:val="20"/>
              </w:rPr>
              <w:t>7 788 789</w:t>
            </w:r>
          </w:p>
        </w:tc>
        <w:tc>
          <w:tcPr>
            <w:tcW w:w="1276" w:type="dxa"/>
            <w:vAlign w:val="center"/>
          </w:tcPr>
          <w:p w:rsidR="009D2948" w:rsidRPr="009D2948" w:rsidRDefault="009D2948" w:rsidP="007A1A92">
            <w:pPr>
              <w:spacing w:before="20" w:after="20"/>
              <w:rPr>
                <w:noProof/>
                <w:sz w:val="20"/>
              </w:rPr>
            </w:pPr>
          </w:p>
        </w:tc>
        <w:tc>
          <w:tcPr>
            <w:tcW w:w="992" w:type="dxa"/>
            <w:vAlign w:val="center"/>
          </w:tcPr>
          <w:p w:rsidR="009D2948" w:rsidRPr="009D2948" w:rsidRDefault="009D2948" w:rsidP="007A1A92">
            <w:pPr>
              <w:spacing w:before="20" w:after="20"/>
              <w:jc w:val="right"/>
              <w:rPr>
                <w:noProof/>
                <w:sz w:val="20"/>
              </w:rPr>
            </w:pPr>
          </w:p>
        </w:tc>
        <w:tc>
          <w:tcPr>
            <w:tcW w:w="993" w:type="dxa"/>
            <w:vAlign w:val="center"/>
          </w:tcPr>
          <w:p w:rsidR="009D2948" w:rsidRPr="009D2948" w:rsidRDefault="009D2948" w:rsidP="007A1A92">
            <w:pPr>
              <w:spacing w:before="20" w:after="20"/>
              <w:jc w:val="right"/>
              <w:rPr>
                <w:noProof/>
                <w:sz w:val="20"/>
              </w:rPr>
            </w:pPr>
          </w:p>
        </w:tc>
        <w:tc>
          <w:tcPr>
            <w:tcW w:w="567" w:type="dxa"/>
            <w:vAlign w:val="center"/>
          </w:tcPr>
          <w:p w:rsidR="009D2948" w:rsidRPr="009D2948" w:rsidRDefault="009D2948" w:rsidP="007A1A92">
            <w:pPr>
              <w:spacing w:before="20" w:after="20"/>
              <w:jc w:val="right"/>
              <w:rPr>
                <w:b/>
                <w:noProof/>
                <w:sz w:val="20"/>
              </w:rPr>
            </w:pPr>
          </w:p>
        </w:tc>
        <w:tc>
          <w:tcPr>
            <w:tcW w:w="1984" w:type="dxa"/>
            <w:vAlign w:val="center"/>
          </w:tcPr>
          <w:p w:rsidR="009D2948" w:rsidRPr="009D2948" w:rsidRDefault="009D2948" w:rsidP="007A1A92">
            <w:pPr>
              <w:spacing w:before="20" w:after="20"/>
              <w:jc w:val="right"/>
              <w:rPr>
                <w:b/>
                <w:noProof/>
                <w:sz w:val="20"/>
              </w:rPr>
            </w:pPr>
          </w:p>
        </w:tc>
      </w:tr>
      <w:tr w:rsidR="009D2948" w:rsidRPr="009D2948" w:rsidTr="007A1A92">
        <w:tc>
          <w:tcPr>
            <w:tcW w:w="3960" w:type="dxa"/>
            <w:vMerge w:val="restart"/>
            <w:vAlign w:val="center"/>
          </w:tcPr>
          <w:p w:rsidR="009D2948" w:rsidRPr="009D2948" w:rsidRDefault="009D2948" w:rsidP="007A1A92">
            <w:pPr>
              <w:rPr>
                <w:noProof/>
              </w:rPr>
            </w:pPr>
            <w:r w:rsidRPr="009D2948">
              <w:rPr>
                <w:noProof/>
                <w:sz w:val="20"/>
              </w:rPr>
              <w:t>Numărul liniei bugetare</w:t>
            </w:r>
          </w:p>
        </w:tc>
        <w:tc>
          <w:tcPr>
            <w:tcW w:w="1440" w:type="dxa"/>
            <w:gridSpan w:val="2"/>
            <w:vAlign w:val="center"/>
          </w:tcPr>
          <w:p w:rsidR="009D2948" w:rsidRPr="009D2948" w:rsidRDefault="009D2948" w:rsidP="007A1A92">
            <w:pPr>
              <w:spacing w:before="20" w:after="20"/>
              <w:rPr>
                <w:noProof/>
                <w:sz w:val="18"/>
              </w:rPr>
            </w:pPr>
            <w:r w:rsidRPr="009D2948">
              <w:rPr>
                <w:noProof/>
                <w:sz w:val="18"/>
              </w:rPr>
              <w:t>Angajamente</w:t>
            </w:r>
          </w:p>
        </w:tc>
        <w:tc>
          <w:tcPr>
            <w:tcW w:w="630" w:type="dxa"/>
            <w:vAlign w:val="center"/>
          </w:tcPr>
          <w:p w:rsidR="009D2948" w:rsidRPr="009D2948" w:rsidRDefault="009D2948" w:rsidP="007A1A92">
            <w:pPr>
              <w:spacing w:before="20" w:after="20"/>
              <w:jc w:val="center"/>
              <w:rPr>
                <w:noProof/>
                <w:sz w:val="14"/>
              </w:rPr>
            </w:pPr>
            <w:r w:rsidRPr="009D2948">
              <w:rPr>
                <w:noProof/>
                <w:sz w:val="14"/>
              </w:rPr>
              <w:t>(1a)</w:t>
            </w:r>
          </w:p>
        </w:tc>
        <w:tc>
          <w:tcPr>
            <w:tcW w:w="1134" w:type="dxa"/>
            <w:vAlign w:val="center"/>
          </w:tcPr>
          <w:p w:rsidR="009D2948" w:rsidRPr="009D2948" w:rsidRDefault="009D2948" w:rsidP="007A1A92">
            <w:pPr>
              <w:spacing w:before="20" w:after="20"/>
              <w:jc w:val="right"/>
              <w:rPr>
                <w:noProof/>
                <w:sz w:val="20"/>
              </w:rPr>
            </w:pPr>
          </w:p>
        </w:tc>
        <w:tc>
          <w:tcPr>
            <w:tcW w:w="1134" w:type="dxa"/>
            <w:vAlign w:val="center"/>
          </w:tcPr>
          <w:p w:rsidR="009D2948" w:rsidRPr="009D2948" w:rsidRDefault="009D2948" w:rsidP="007A1A92">
            <w:pPr>
              <w:spacing w:before="20" w:after="20"/>
              <w:jc w:val="right"/>
              <w:rPr>
                <w:noProof/>
                <w:sz w:val="20"/>
              </w:rPr>
            </w:pPr>
          </w:p>
        </w:tc>
        <w:tc>
          <w:tcPr>
            <w:tcW w:w="1276" w:type="dxa"/>
            <w:vAlign w:val="center"/>
          </w:tcPr>
          <w:p w:rsidR="009D2948" w:rsidRPr="009D2948" w:rsidRDefault="009D2948" w:rsidP="007A1A92">
            <w:pPr>
              <w:spacing w:before="20" w:after="20"/>
              <w:jc w:val="right"/>
              <w:rPr>
                <w:noProof/>
                <w:sz w:val="20"/>
              </w:rPr>
            </w:pPr>
          </w:p>
        </w:tc>
        <w:tc>
          <w:tcPr>
            <w:tcW w:w="992" w:type="dxa"/>
            <w:vAlign w:val="center"/>
          </w:tcPr>
          <w:p w:rsidR="009D2948" w:rsidRPr="009D2948" w:rsidRDefault="009D2948" w:rsidP="007A1A92">
            <w:pPr>
              <w:spacing w:before="20" w:after="20"/>
              <w:jc w:val="right"/>
              <w:rPr>
                <w:noProof/>
                <w:sz w:val="20"/>
              </w:rPr>
            </w:pPr>
          </w:p>
        </w:tc>
        <w:tc>
          <w:tcPr>
            <w:tcW w:w="993" w:type="dxa"/>
            <w:vAlign w:val="center"/>
          </w:tcPr>
          <w:p w:rsidR="009D2948" w:rsidRPr="009D2948" w:rsidRDefault="009D2948" w:rsidP="007A1A92">
            <w:pPr>
              <w:spacing w:before="20" w:after="20"/>
              <w:jc w:val="right"/>
              <w:rPr>
                <w:noProof/>
                <w:sz w:val="20"/>
              </w:rPr>
            </w:pPr>
          </w:p>
        </w:tc>
        <w:tc>
          <w:tcPr>
            <w:tcW w:w="567" w:type="dxa"/>
            <w:vAlign w:val="center"/>
          </w:tcPr>
          <w:p w:rsidR="009D2948" w:rsidRPr="009D2948" w:rsidRDefault="009D2948" w:rsidP="007A1A92">
            <w:pPr>
              <w:spacing w:before="20" w:after="20"/>
              <w:jc w:val="right"/>
              <w:rPr>
                <w:b/>
                <w:noProof/>
                <w:sz w:val="20"/>
              </w:rPr>
            </w:pPr>
          </w:p>
        </w:tc>
        <w:tc>
          <w:tcPr>
            <w:tcW w:w="1984" w:type="dxa"/>
            <w:vAlign w:val="center"/>
          </w:tcPr>
          <w:p w:rsidR="009D2948" w:rsidRPr="009D2948" w:rsidRDefault="009D2948" w:rsidP="007A1A92">
            <w:pPr>
              <w:spacing w:before="20" w:after="20"/>
              <w:jc w:val="right"/>
              <w:rPr>
                <w:b/>
                <w:noProof/>
                <w:sz w:val="20"/>
              </w:rPr>
            </w:pPr>
          </w:p>
        </w:tc>
      </w:tr>
      <w:tr w:rsidR="009D2948" w:rsidRPr="009D2948" w:rsidTr="007A1A92">
        <w:tc>
          <w:tcPr>
            <w:tcW w:w="3960" w:type="dxa"/>
            <w:vMerge/>
          </w:tcPr>
          <w:p w:rsidR="009D2948" w:rsidRPr="009D2948" w:rsidRDefault="009D2948" w:rsidP="007A1A92">
            <w:pPr>
              <w:jc w:val="center"/>
              <w:rPr>
                <w:noProof/>
                <w:sz w:val="20"/>
              </w:rPr>
            </w:pPr>
          </w:p>
        </w:tc>
        <w:tc>
          <w:tcPr>
            <w:tcW w:w="1440" w:type="dxa"/>
            <w:gridSpan w:val="2"/>
            <w:vAlign w:val="center"/>
          </w:tcPr>
          <w:p w:rsidR="009D2948" w:rsidRPr="009D2948" w:rsidRDefault="009D2948" w:rsidP="007A1A92">
            <w:pPr>
              <w:spacing w:before="20" w:after="20"/>
              <w:rPr>
                <w:noProof/>
                <w:sz w:val="18"/>
              </w:rPr>
            </w:pPr>
            <w:r w:rsidRPr="009D2948">
              <w:rPr>
                <w:noProof/>
                <w:sz w:val="18"/>
              </w:rPr>
              <w:t>Plăți</w:t>
            </w:r>
          </w:p>
        </w:tc>
        <w:tc>
          <w:tcPr>
            <w:tcW w:w="630" w:type="dxa"/>
            <w:vAlign w:val="center"/>
          </w:tcPr>
          <w:p w:rsidR="009D2948" w:rsidRPr="009D2948" w:rsidRDefault="009D2948" w:rsidP="007A1A92">
            <w:pPr>
              <w:spacing w:before="20" w:after="20"/>
              <w:jc w:val="center"/>
              <w:rPr>
                <w:noProof/>
                <w:sz w:val="14"/>
              </w:rPr>
            </w:pPr>
            <w:r w:rsidRPr="009D2948">
              <w:rPr>
                <w:noProof/>
                <w:sz w:val="14"/>
              </w:rPr>
              <w:t>(2a)</w:t>
            </w:r>
          </w:p>
        </w:tc>
        <w:tc>
          <w:tcPr>
            <w:tcW w:w="1134" w:type="dxa"/>
            <w:vAlign w:val="center"/>
          </w:tcPr>
          <w:p w:rsidR="009D2948" w:rsidRPr="009D2948" w:rsidRDefault="009D2948" w:rsidP="007A1A92">
            <w:pPr>
              <w:spacing w:before="20" w:after="20"/>
              <w:jc w:val="right"/>
              <w:rPr>
                <w:noProof/>
                <w:sz w:val="20"/>
                <w:highlight w:val="yellow"/>
              </w:rPr>
            </w:pPr>
          </w:p>
        </w:tc>
        <w:tc>
          <w:tcPr>
            <w:tcW w:w="1134" w:type="dxa"/>
            <w:vAlign w:val="center"/>
          </w:tcPr>
          <w:p w:rsidR="009D2948" w:rsidRPr="009D2948" w:rsidRDefault="009D2948" w:rsidP="007A1A92">
            <w:pPr>
              <w:spacing w:before="20" w:after="20"/>
              <w:jc w:val="right"/>
              <w:rPr>
                <w:noProof/>
                <w:sz w:val="20"/>
                <w:highlight w:val="yellow"/>
              </w:rPr>
            </w:pPr>
          </w:p>
        </w:tc>
        <w:tc>
          <w:tcPr>
            <w:tcW w:w="1276" w:type="dxa"/>
            <w:vAlign w:val="center"/>
          </w:tcPr>
          <w:p w:rsidR="009D2948" w:rsidRPr="009D2948" w:rsidRDefault="009D2948" w:rsidP="007A1A92">
            <w:pPr>
              <w:spacing w:before="20" w:after="20"/>
              <w:jc w:val="right"/>
              <w:rPr>
                <w:noProof/>
                <w:sz w:val="20"/>
                <w:highlight w:val="yellow"/>
              </w:rPr>
            </w:pPr>
          </w:p>
        </w:tc>
        <w:tc>
          <w:tcPr>
            <w:tcW w:w="992" w:type="dxa"/>
            <w:vAlign w:val="center"/>
          </w:tcPr>
          <w:p w:rsidR="009D2948" w:rsidRPr="009D2948" w:rsidRDefault="009D2948" w:rsidP="007A1A92">
            <w:pPr>
              <w:spacing w:before="20" w:after="20"/>
              <w:jc w:val="right"/>
              <w:rPr>
                <w:noProof/>
                <w:sz w:val="20"/>
              </w:rPr>
            </w:pPr>
          </w:p>
        </w:tc>
        <w:tc>
          <w:tcPr>
            <w:tcW w:w="993" w:type="dxa"/>
            <w:vAlign w:val="center"/>
          </w:tcPr>
          <w:p w:rsidR="009D2948" w:rsidRPr="009D2948" w:rsidRDefault="009D2948" w:rsidP="007A1A92">
            <w:pPr>
              <w:spacing w:before="20" w:after="20"/>
              <w:jc w:val="right"/>
              <w:rPr>
                <w:noProof/>
                <w:sz w:val="20"/>
              </w:rPr>
            </w:pPr>
          </w:p>
        </w:tc>
        <w:tc>
          <w:tcPr>
            <w:tcW w:w="567" w:type="dxa"/>
            <w:vAlign w:val="center"/>
          </w:tcPr>
          <w:p w:rsidR="009D2948" w:rsidRPr="009D2948" w:rsidRDefault="009D2948" w:rsidP="007A1A92">
            <w:pPr>
              <w:spacing w:before="20" w:after="20"/>
              <w:jc w:val="right"/>
              <w:rPr>
                <w:b/>
                <w:noProof/>
                <w:sz w:val="20"/>
              </w:rPr>
            </w:pPr>
          </w:p>
        </w:tc>
        <w:tc>
          <w:tcPr>
            <w:tcW w:w="1984" w:type="dxa"/>
            <w:vAlign w:val="center"/>
          </w:tcPr>
          <w:p w:rsidR="009D2948" w:rsidRPr="009D2948" w:rsidRDefault="009D2948" w:rsidP="007A1A92">
            <w:pPr>
              <w:spacing w:before="20" w:after="20"/>
              <w:jc w:val="right"/>
              <w:rPr>
                <w:b/>
                <w:noProof/>
                <w:sz w:val="20"/>
              </w:rPr>
            </w:pPr>
          </w:p>
        </w:tc>
      </w:tr>
      <w:tr w:rsidR="009D2948" w:rsidRPr="009D2948" w:rsidTr="007A1A92">
        <w:trPr>
          <w:trHeight w:val="231"/>
        </w:trPr>
        <w:tc>
          <w:tcPr>
            <w:tcW w:w="6030" w:type="dxa"/>
            <w:gridSpan w:val="4"/>
            <w:vAlign w:val="center"/>
          </w:tcPr>
          <w:p w:rsidR="009D2948" w:rsidRPr="009D2948" w:rsidRDefault="009D2948" w:rsidP="007A1A92">
            <w:pPr>
              <w:spacing w:before="20" w:after="20"/>
              <w:rPr>
                <w:noProof/>
              </w:rPr>
            </w:pPr>
            <w:r w:rsidRPr="009D2948">
              <w:rPr>
                <w:noProof/>
                <w:sz w:val="21"/>
              </w:rPr>
              <w:lastRenderedPageBreak/>
              <w:t>Credite cu caracter administrativ finanțate din bugetul unor programe specifice</w:t>
            </w:r>
            <w:r w:rsidRPr="009D2948">
              <w:rPr>
                <w:rStyle w:val="FootnoteReference"/>
                <w:noProof/>
                <w:sz w:val="21"/>
              </w:rPr>
              <w:footnoteReference w:id="66"/>
            </w:r>
            <w:r w:rsidRPr="009D2948">
              <w:rPr>
                <w:noProof/>
                <w:sz w:val="21"/>
              </w:rPr>
              <w:t xml:space="preserve"> </w:t>
            </w:r>
          </w:p>
          <w:p w:rsidR="009D2948" w:rsidRPr="009D2948" w:rsidRDefault="009D2948" w:rsidP="007A1A92">
            <w:pPr>
              <w:spacing w:before="0" w:after="0"/>
              <w:rPr>
                <w:noProof/>
              </w:rPr>
            </w:pPr>
          </w:p>
        </w:tc>
        <w:tc>
          <w:tcPr>
            <w:tcW w:w="1134" w:type="dxa"/>
            <w:vAlign w:val="center"/>
          </w:tcPr>
          <w:p w:rsidR="009D2948" w:rsidRPr="009D2948" w:rsidRDefault="009D2948" w:rsidP="007A1A92">
            <w:pPr>
              <w:rPr>
                <w:b/>
                <w:noProof/>
                <w:sz w:val="20"/>
                <w:highlight w:val="yellow"/>
              </w:rPr>
            </w:pPr>
          </w:p>
        </w:tc>
        <w:tc>
          <w:tcPr>
            <w:tcW w:w="1134" w:type="dxa"/>
            <w:vAlign w:val="center"/>
          </w:tcPr>
          <w:p w:rsidR="009D2948" w:rsidRPr="009D2948" w:rsidRDefault="009D2948" w:rsidP="007A1A92">
            <w:pPr>
              <w:rPr>
                <w:b/>
                <w:noProof/>
                <w:sz w:val="20"/>
                <w:highlight w:val="yellow"/>
              </w:rPr>
            </w:pPr>
          </w:p>
        </w:tc>
        <w:tc>
          <w:tcPr>
            <w:tcW w:w="1276" w:type="dxa"/>
            <w:vAlign w:val="center"/>
          </w:tcPr>
          <w:p w:rsidR="009D2948" w:rsidRPr="009D2948" w:rsidRDefault="009D2948" w:rsidP="007A1A92">
            <w:pPr>
              <w:rPr>
                <w:b/>
                <w:noProof/>
                <w:sz w:val="20"/>
                <w:highlight w:val="yellow"/>
              </w:rPr>
            </w:pPr>
          </w:p>
        </w:tc>
        <w:tc>
          <w:tcPr>
            <w:tcW w:w="992" w:type="dxa"/>
            <w:vAlign w:val="center"/>
          </w:tcPr>
          <w:p w:rsidR="009D2948" w:rsidRPr="009D2948" w:rsidRDefault="009D2948" w:rsidP="007A1A92">
            <w:pPr>
              <w:rPr>
                <w:b/>
                <w:noProof/>
                <w:sz w:val="20"/>
              </w:rPr>
            </w:pPr>
          </w:p>
        </w:tc>
        <w:tc>
          <w:tcPr>
            <w:tcW w:w="993" w:type="dxa"/>
            <w:vAlign w:val="center"/>
          </w:tcPr>
          <w:p w:rsidR="009D2948" w:rsidRPr="009D2948" w:rsidRDefault="009D2948" w:rsidP="007A1A92">
            <w:pPr>
              <w:rPr>
                <w:b/>
                <w:noProof/>
                <w:sz w:val="20"/>
              </w:rPr>
            </w:pPr>
          </w:p>
        </w:tc>
        <w:tc>
          <w:tcPr>
            <w:tcW w:w="567" w:type="dxa"/>
            <w:vAlign w:val="center"/>
          </w:tcPr>
          <w:p w:rsidR="009D2948" w:rsidRPr="009D2948" w:rsidRDefault="009D2948" w:rsidP="007A1A92">
            <w:pPr>
              <w:rPr>
                <w:b/>
                <w:noProof/>
                <w:sz w:val="20"/>
              </w:rPr>
            </w:pPr>
          </w:p>
        </w:tc>
        <w:tc>
          <w:tcPr>
            <w:tcW w:w="1984" w:type="dxa"/>
            <w:vAlign w:val="center"/>
          </w:tcPr>
          <w:p w:rsidR="009D2948" w:rsidRPr="009D2948" w:rsidRDefault="009D2948" w:rsidP="007A1A92">
            <w:pPr>
              <w:rPr>
                <w:b/>
                <w:noProof/>
                <w:sz w:val="20"/>
              </w:rPr>
            </w:pPr>
          </w:p>
        </w:tc>
      </w:tr>
      <w:tr w:rsidR="009D2948" w:rsidRPr="009D2948" w:rsidTr="007A1A92">
        <w:trPr>
          <w:trHeight w:val="319"/>
        </w:trPr>
        <w:tc>
          <w:tcPr>
            <w:tcW w:w="3960" w:type="dxa"/>
            <w:vAlign w:val="center"/>
          </w:tcPr>
          <w:p w:rsidR="009D2948" w:rsidRPr="009D2948" w:rsidRDefault="009D2948" w:rsidP="007A1A92">
            <w:pPr>
              <w:spacing w:before="60" w:after="60"/>
              <w:rPr>
                <w:noProof/>
              </w:rPr>
            </w:pPr>
            <w:r w:rsidRPr="009D2948">
              <w:rPr>
                <w:noProof/>
                <w:sz w:val="20"/>
              </w:rPr>
              <w:t>Numărul liniei bugetare</w:t>
            </w:r>
          </w:p>
        </w:tc>
        <w:tc>
          <w:tcPr>
            <w:tcW w:w="1440" w:type="dxa"/>
            <w:gridSpan w:val="2"/>
            <w:vAlign w:val="center"/>
          </w:tcPr>
          <w:p w:rsidR="009D2948" w:rsidRPr="009D2948" w:rsidRDefault="009D2948" w:rsidP="007A1A92">
            <w:pPr>
              <w:spacing w:before="40" w:after="40"/>
              <w:jc w:val="right"/>
              <w:rPr>
                <w:noProof/>
                <w:sz w:val="18"/>
              </w:rPr>
            </w:pPr>
          </w:p>
        </w:tc>
        <w:tc>
          <w:tcPr>
            <w:tcW w:w="630" w:type="dxa"/>
            <w:vAlign w:val="center"/>
          </w:tcPr>
          <w:p w:rsidR="009D2948" w:rsidRPr="009D2948" w:rsidRDefault="009D2948" w:rsidP="007A1A92">
            <w:pPr>
              <w:spacing w:before="40" w:after="40"/>
              <w:jc w:val="center"/>
              <w:rPr>
                <w:noProof/>
                <w:sz w:val="14"/>
              </w:rPr>
            </w:pPr>
            <w:r w:rsidRPr="009D2948">
              <w:rPr>
                <w:noProof/>
                <w:sz w:val="14"/>
              </w:rPr>
              <w:t>(3)</w:t>
            </w:r>
          </w:p>
        </w:tc>
        <w:tc>
          <w:tcPr>
            <w:tcW w:w="1134" w:type="dxa"/>
            <w:vAlign w:val="center"/>
          </w:tcPr>
          <w:p w:rsidR="009D2948" w:rsidRPr="009D2948" w:rsidRDefault="009D2948" w:rsidP="007A1A92">
            <w:pPr>
              <w:spacing w:before="40" w:after="40"/>
              <w:jc w:val="right"/>
              <w:rPr>
                <w:b/>
                <w:noProof/>
                <w:sz w:val="20"/>
                <w:highlight w:val="yellow"/>
              </w:rPr>
            </w:pPr>
          </w:p>
        </w:tc>
        <w:tc>
          <w:tcPr>
            <w:tcW w:w="1134" w:type="dxa"/>
            <w:vAlign w:val="center"/>
          </w:tcPr>
          <w:p w:rsidR="009D2948" w:rsidRPr="009D2948" w:rsidRDefault="009D2948" w:rsidP="007A1A92">
            <w:pPr>
              <w:spacing w:before="40" w:after="40"/>
              <w:jc w:val="right"/>
              <w:rPr>
                <w:b/>
                <w:noProof/>
                <w:sz w:val="20"/>
                <w:highlight w:val="yellow"/>
              </w:rPr>
            </w:pPr>
          </w:p>
        </w:tc>
        <w:tc>
          <w:tcPr>
            <w:tcW w:w="1276" w:type="dxa"/>
            <w:vAlign w:val="center"/>
          </w:tcPr>
          <w:p w:rsidR="009D2948" w:rsidRPr="009D2948" w:rsidRDefault="009D2948" w:rsidP="007A1A92">
            <w:pPr>
              <w:spacing w:before="40" w:after="40"/>
              <w:jc w:val="right"/>
              <w:rPr>
                <w:b/>
                <w:noProof/>
                <w:sz w:val="20"/>
                <w:highlight w:val="yellow"/>
              </w:rPr>
            </w:pPr>
          </w:p>
        </w:tc>
        <w:tc>
          <w:tcPr>
            <w:tcW w:w="992" w:type="dxa"/>
            <w:vAlign w:val="center"/>
          </w:tcPr>
          <w:p w:rsidR="009D2948" w:rsidRPr="009D2948" w:rsidRDefault="009D2948" w:rsidP="007A1A92">
            <w:pPr>
              <w:spacing w:before="40" w:after="40"/>
              <w:jc w:val="right"/>
              <w:rPr>
                <w:b/>
                <w:noProof/>
                <w:sz w:val="20"/>
              </w:rPr>
            </w:pPr>
          </w:p>
        </w:tc>
        <w:tc>
          <w:tcPr>
            <w:tcW w:w="993" w:type="dxa"/>
            <w:vAlign w:val="center"/>
          </w:tcPr>
          <w:p w:rsidR="009D2948" w:rsidRPr="009D2948" w:rsidRDefault="009D2948" w:rsidP="007A1A92">
            <w:pPr>
              <w:spacing w:before="40" w:after="40"/>
              <w:jc w:val="right"/>
              <w:rPr>
                <w:b/>
                <w:noProof/>
                <w:sz w:val="20"/>
              </w:rPr>
            </w:pPr>
          </w:p>
        </w:tc>
        <w:tc>
          <w:tcPr>
            <w:tcW w:w="567" w:type="dxa"/>
            <w:vAlign w:val="center"/>
          </w:tcPr>
          <w:p w:rsidR="009D2948" w:rsidRPr="009D2948" w:rsidRDefault="009D2948" w:rsidP="007A1A92">
            <w:pPr>
              <w:spacing w:before="40" w:after="40"/>
              <w:jc w:val="right"/>
              <w:rPr>
                <w:b/>
                <w:noProof/>
                <w:sz w:val="20"/>
              </w:rPr>
            </w:pPr>
          </w:p>
        </w:tc>
        <w:tc>
          <w:tcPr>
            <w:tcW w:w="1984" w:type="dxa"/>
            <w:vAlign w:val="center"/>
          </w:tcPr>
          <w:p w:rsidR="009D2948" w:rsidRPr="009D2948" w:rsidRDefault="009D2948" w:rsidP="007A1A92">
            <w:pPr>
              <w:spacing w:before="40" w:after="40"/>
              <w:jc w:val="right"/>
              <w:rPr>
                <w:b/>
                <w:noProof/>
                <w:sz w:val="20"/>
              </w:rPr>
            </w:pPr>
          </w:p>
        </w:tc>
      </w:tr>
      <w:tr w:rsidR="009D2948" w:rsidRPr="009D2948" w:rsidTr="007A1A92">
        <w:tc>
          <w:tcPr>
            <w:tcW w:w="3960" w:type="dxa"/>
            <w:vMerge w:val="restart"/>
            <w:vAlign w:val="center"/>
          </w:tcPr>
          <w:p w:rsidR="009D2948" w:rsidRPr="009D2948" w:rsidRDefault="009D2948" w:rsidP="007A1A92">
            <w:pPr>
              <w:jc w:val="center"/>
              <w:rPr>
                <w:b/>
                <w:noProof/>
                <w:sz w:val="22"/>
              </w:rPr>
            </w:pPr>
            <w:r w:rsidRPr="009D2948">
              <w:rPr>
                <w:b/>
                <w:sz w:val="22"/>
              </w:rPr>
              <w:t>TOTAL credite</w:t>
            </w:r>
            <w:r w:rsidRPr="009D2948">
              <w:rPr>
                <w:noProof/>
                <w:sz w:val="22"/>
              </w:rPr>
              <w:br/>
            </w:r>
            <w:r w:rsidRPr="009D2948">
              <w:rPr>
                <w:b/>
                <w:noProof/>
                <w:sz w:val="22"/>
              </w:rPr>
              <w:t xml:space="preserve">pentru DG </w:t>
            </w:r>
            <w:r w:rsidRPr="009D2948">
              <w:rPr>
                <w:noProof/>
                <w:sz w:val="22"/>
              </w:rPr>
              <w:t>FISMA</w:t>
            </w:r>
          </w:p>
        </w:tc>
        <w:tc>
          <w:tcPr>
            <w:tcW w:w="1440" w:type="dxa"/>
            <w:gridSpan w:val="2"/>
            <w:vAlign w:val="center"/>
          </w:tcPr>
          <w:p w:rsidR="009D2948" w:rsidRPr="009D2948" w:rsidRDefault="009D2948" w:rsidP="007A1A92">
            <w:pPr>
              <w:rPr>
                <w:noProof/>
                <w:sz w:val="18"/>
              </w:rPr>
            </w:pPr>
            <w:r w:rsidRPr="009D2948">
              <w:rPr>
                <w:noProof/>
                <w:sz w:val="18"/>
              </w:rPr>
              <w:t>Angajamente</w:t>
            </w:r>
          </w:p>
        </w:tc>
        <w:tc>
          <w:tcPr>
            <w:tcW w:w="630" w:type="dxa"/>
            <w:vAlign w:val="center"/>
          </w:tcPr>
          <w:p w:rsidR="009D2948" w:rsidRPr="009D2948" w:rsidRDefault="009D2948" w:rsidP="007A1A92">
            <w:pPr>
              <w:jc w:val="center"/>
              <w:rPr>
                <w:noProof/>
                <w:sz w:val="14"/>
              </w:rPr>
            </w:pPr>
            <w:r w:rsidRPr="009D2948">
              <w:rPr>
                <w:noProof/>
                <w:sz w:val="14"/>
              </w:rPr>
              <w:t>=1+1a +3</w:t>
            </w:r>
          </w:p>
        </w:tc>
        <w:tc>
          <w:tcPr>
            <w:tcW w:w="1134" w:type="dxa"/>
            <w:vAlign w:val="center"/>
          </w:tcPr>
          <w:p w:rsidR="009D2948" w:rsidRPr="009D2948" w:rsidRDefault="009D2948" w:rsidP="007A1A92">
            <w:pPr>
              <w:spacing w:before="20" w:after="20"/>
              <w:jc w:val="right"/>
              <w:rPr>
                <w:noProof/>
                <w:sz w:val="20"/>
              </w:rPr>
            </w:pPr>
            <w:r w:rsidRPr="009D2948">
              <w:rPr>
                <w:noProof/>
                <w:sz w:val="20"/>
              </w:rPr>
              <w:t>4 310 555</w:t>
            </w:r>
          </w:p>
        </w:tc>
        <w:tc>
          <w:tcPr>
            <w:tcW w:w="1134" w:type="dxa"/>
            <w:vAlign w:val="center"/>
          </w:tcPr>
          <w:p w:rsidR="009D2948" w:rsidRPr="009D2948" w:rsidRDefault="009D2948" w:rsidP="007A1A92">
            <w:pPr>
              <w:spacing w:before="20" w:after="20"/>
              <w:jc w:val="right"/>
              <w:rPr>
                <w:noProof/>
                <w:sz w:val="20"/>
              </w:rPr>
            </w:pPr>
            <w:r w:rsidRPr="009D2948">
              <w:rPr>
                <w:noProof/>
                <w:sz w:val="20"/>
              </w:rPr>
              <w:t>7 788 789</w:t>
            </w:r>
          </w:p>
        </w:tc>
        <w:tc>
          <w:tcPr>
            <w:tcW w:w="1276" w:type="dxa"/>
            <w:vAlign w:val="center"/>
          </w:tcPr>
          <w:p w:rsidR="009D2948" w:rsidRPr="009D2948" w:rsidRDefault="009D2948" w:rsidP="007A1A92">
            <w:pPr>
              <w:spacing w:before="20" w:after="20"/>
              <w:jc w:val="right"/>
              <w:rPr>
                <w:noProof/>
                <w:sz w:val="20"/>
              </w:rPr>
            </w:pPr>
          </w:p>
        </w:tc>
        <w:tc>
          <w:tcPr>
            <w:tcW w:w="992" w:type="dxa"/>
            <w:vAlign w:val="center"/>
          </w:tcPr>
          <w:p w:rsidR="009D2948" w:rsidRPr="009D2948" w:rsidRDefault="009D2948" w:rsidP="007A1A92">
            <w:pPr>
              <w:spacing w:before="20" w:after="20"/>
              <w:jc w:val="right"/>
              <w:rPr>
                <w:noProof/>
                <w:sz w:val="20"/>
              </w:rPr>
            </w:pPr>
          </w:p>
        </w:tc>
        <w:tc>
          <w:tcPr>
            <w:tcW w:w="993" w:type="dxa"/>
            <w:vAlign w:val="center"/>
          </w:tcPr>
          <w:p w:rsidR="009D2948" w:rsidRPr="009D2948" w:rsidRDefault="009D2948" w:rsidP="007A1A92">
            <w:pPr>
              <w:spacing w:before="20" w:after="20"/>
              <w:jc w:val="right"/>
              <w:rPr>
                <w:noProof/>
                <w:sz w:val="20"/>
              </w:rPr>
            </w:pPr>
          </w:p>
        </w:tc>
        <w:tc>
          <w:tcPr>
            <w:tcW w:w="567" w:type="dxa"/>
            <w:vAlign w:val="center"/>
          </w:tcPr>
          <w:p w:rsidR="009D2948" w:rsidRPr="009D2948" w:rsidRDefault="009D2948" w:rsidP="007A1A92">
            <w:pPr>
              <w:spacing w:before="20" w:after="20"/>
              <w:jc w:val="right"/>
              <w:rPr>
                <w:b/>
                <w:noProof/>
                <w:sz w:val="20"/>
              </w:rPr>
            </w:pPr>
          </w:p>
        </w:tc>
        <w:tc>
          <w:tcPr>
            <w:tcW w:w="1984" w:type="dxa"/>
            <w:vAlign w:val="center"/>
          </w:tcPr>
          <w:p w:rsidR="009D2948" w:rsidRPr="009D2948" w:rsidRDefault="009D2948" w:rsidP="007A1A92">
            <w:pPr>
              <w:spacing w:before="20" w:after="20"/>
              <w:jc w:val="right"/>
              <w:rPr>
                <w:b/>
                <w:noProof/>
                <w:sz w:val="20"/>
              </w:rPr>
            </w:pPr>
          </w:p>
        </w:tc>
      </w:tr>
      <w:tr w:rsidR="009D2948" w:rsidRPr="009D2948" w:rsidTr="007A1A92">
        <w:tc>
          <w:tcPr>
            <w:tcW w:w="3960" w:type="dxa"/>
            <w:vMerge/>
          </w:tcPr>
          <w:p w:rsidR="009D2948" w:rsidRPr="009D2948" w:rsidRDefault="009D2948" w:rsidP="007A1A92">
            <w:pPr>
              <w:rPr>
                <w:noProof/>
                <w:sz w:val="20"/>
              </w:rPr>
            </w:pPr>
          </w:p>
        </w:tc>
        <w:tc>
          <w:tcPr>
            <w:tcW w:w="1440" w:type="dxa"/>
            <w:gridSpan w:val="2"/>
            <w:vAlign w:val="center"/>
          </w:tcPr>
          <w:p w:rsidR="009D2948" w:rsidRPr="009D2948" w:rsidRDefault="009D2948" w:rsidP="007A1A92">
            <w:pPr>
              <w:rPr>
                <w:noProof/>
                <w:sz w:val="18"/>
              </w:rPr>
            </w:pPr>
            <w:r w:rsidRPr="009D2948">
              <w:rPr>
                <w:noProof/>
                <w:sz w:val="18"/>
              </w:rPr>
              <w:t>Plăți</w:t>
            </w:r>
          </w:p>
        </w:tc>
        <w:tc>
          <w:tcPr>
            <w:tcW w:w="630" w:type="dxa"/>
            <w:vAlign w:val="center"/>
          </w:tcPr>
          <w:p w:rsidR="009D2948" w:rsidRPr="009D2948" w:rsidRDefault="009D2948" w:rsidP="007A1A92">
            <w:pPr>
              <w:jc w:val="center"/>
              <w:rPr>
                <w:noProof/>
                <w:sz w:val="14"/>
              </w:rPr>
            </w:pPr>
            <w:r w:rsidRPr="009D2948">
              <w:rPr>
                <w:noProof/>
                <w:sz w:val="14"/>
              </w:rPr>
              <w:t>=2+2a</w:t>
            </w:r>
          </w:p>
          <w:p w:rsidR="009D2948" w:rsidRPr="009D2948" w:rsidRDefault="009D2948" w:rsidP="007A1A92">
            <w:pPr>
              <w:jc w:val="center"/>
              <w:rPr>
                <w:noProof/>
                <w:sz w:val="14"/>
              </w:rPr>
            </w:pPr>
            <w:r w:rsidRPr="009D2948">
              <w:rPr>
                <w:noProof/>
                <w:sz w:val="14"/>
              </w:rPr>
              <w:t>+3</w:t>
            </w:r>
          </w:p>
        </w:tc>
        <w:tc>
          <w:tcPr>
            <w:tcW w:w="1134" w:type="dxa"/>
            <w:vAlign w:val="center"/>
          </w:tcPr>
          <w:p w:rsidR="009D2948" w:rsidRPr="009D2948" w:rsidRDefault="009D2948" w:rsidP="007A1A92">
            <w:pPr>
              <w:spacing w:before="20" w:after="20"/>
              <w:jc w:val="right"/>
              <w:rPr>
                <w:noProof/>
                <w:sz w:val="20"/>
              </w:rPr>
            </w:pPr>
            <w:r w:rsidRPr="009D2948">
              <w:rPr>
                <w:noProof/>
                <w:sz w:val="20"/>
              </w:rPr>
              <w:t>4 310 555</w:t>
            </w:r>
          </w:p>
        </w:tc>
        <w:tc>
          <w:tcPr>
            <w:tcW w:w="1134" w:type="dxa"/>
            <w:vAlign w:val="center"/>
          </w:tcPr>
          <w:p w:rsidR="009D2948" w:rsidRPr="009D2948" w:rsidRDefault="009D2948" w:rsidP="007A1A92">
            <w:pPr>
              <w:spacing w:before="20" w:after="20"/>
              <w:jc w:val="right"/>
              <w:rPr>
                <w:noProof/>
                <w:sz w:val="20"/>
              </w:rPr>
            </w:pPr>
            <w:r w:rsidRPr="009D2948">
              <w:rPr>
                <w:noProof/>
                <w:sz w:val="20"/>
              </w:rPr>
              <w:t>7 788 789</w:t>
            </w:r>
          </w:p>
        </w:tc>
        <w:tc>
          <w:tcPr>
            <w:tcW w:w="1276" w:type="dxa"/>
            <w:vAlign w:val="center"/>
          </w:tcPr>
          <w:p w:rsidR="009D2948" w:rsidRPr="009D2948" w:rsidRDefault="009D2948" w:rsidP="007A1A92">
            <w:pPr>
              <w:spacing w:before="20" w:after="20"/>
              <w:jc w:val="right"/>
              <w:rPr>
                <w:noProof/>
                <w:sz w:val="20"/>
              </w:rPr>
            </w:pPr>
          </w:p>
        </w:tc>
        <w:tc>
          <w:tcPr>
            <w:tcW w:w="992" w:type="dxa"/>
            <w:vAlign w:val="center"/>
          </w:tcPr>
          <w:p w:rsidR="009D2948" w:rsidRPr="009D2948" w:rsidRDefault="009D2948" w:rsidP="007A1A92">
            <w:pPr>
              <w:spacing w:before="20" w:after="20"/>
              <w:jc w:val="right"/>
              <w:rPr>
                <w:noProof/>
                <w:sz w:val="20"/>
              </w:rPr>
            </w:pPr>
          </w:p>
        </w:tc>
        <w:tc>
          <w:tcPr>
            <w:tcW w:w="993" w:type="dxa"/>
            <w:vAlign w:val="center"/>
          </w:tcPr>
          <w:p w:rsidR="009D2948" w:rsidRPr="009D2948" w:rsidRDefault="009D2948" w:rsidP="007A1A92">
            <w:pPr>
              <w:spacing w:before="20" w:after="20"/>
              <w:jc w:val="right"/>
              <w:rPr>
                <w:noProof/>
                <w:sz w:val="20"/>
              </w:rPr>
            </w:pPr>
          </w:p>
        </w:tc>
        <w:tc>
          <w:tcPr>
            <w:tcW w:w="567" w:type="dxa"/>
            <w:vAlign w:val="center"/>
          </w:tcPr>
          <w:p w:rsidR="009D2948" w:rsidRPr="009D2948" w:rsidRDefault="009D2948" w:rsidP="007A1A92">
            <w:pPr>
              <w:spacing w:before="20" w:after="20"/>
              <w:jc w:val="right"/>
              <w:rPr>
                <w:b/>
                <w:noProof/>
                <w:sz w:val="20"/>
              </w:rPr>
            </w:pPr>
          </w:p>
        </w:tc>
        <w:tc>
          <w:tcPr>
            <w:tcW w:w="1984" w:type="dxa"/>
            <w:vAlign w:val="center"/>
          </w:tcPr>
          <w:p w:rsidR="009D2948" w:rsidRPr="009D2948" w:rsidRDefault="009D2948" w:rsidP="007A1A92">
            <w:pPr>
              <w:spacing w:before="20" w:after="20"/>
              <w:jc w:val="right"/>
              <w:rPr>
                <w:b/>
                <w:noProof/>
                <w:sz w:val="20"/>
              </w:rPr>
            </w:pPr>
          </w:p>
        </w:tc>
      </w:tr>
    </w:tbl>
    <w:p w:rsidR="009D2948" w:rsidRPr="009D2948" w:rsidRDefault="009D2948" w:rsidP="009D2948">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9D2948" w:rsidRPr="009D2948" w:rsidTr="007A1A92">
        <w:trPr>
          <w:trHeight w:val="277"/>
        </w:trPr>
        <w:tc>
          <w:tcPr>
            <w:tcW w:w="3960" w:type="dxa"/>
            <w:vMerge w:val="restart"/>
            <w:vAlign w:val="center"/>
          </w:tcPr>
          <w:p w:rsidR="009D2948" w:rsidRPr="009D2948" w:rsidRDefault="009D2948" w:rsidP="007A1A92">
            <w:pPr>
              <w:spacing w:before="20" w:after="20"/>
              <w:rPr>
                <w:noProof/>
              </w:rPr>
            </w:pPr>
            <w:r w:rsidRPr="009D2948">
              <w:br w:type="page"/>
            </w:r>
            <w:r w:rsidRPr="009D2948">
              <w:rPr>
                <w:noProof/>
                <w:sz w:val="21"/>
              </w:rPr>
              <w:sym w:font="Wingdings" w:char="F09F"/>
            </w:r>
            <w:r w:rsidRPr="009D2948">
              <w:t xml:space="preserve"> </w:t>
            </w:r>
            <w:r w:rsidRPr="009D2948">
              <w:rPr>
                <w:sz w:val="21"/>
                <w:szCs w:val="21"/>
              </w:rPr>
              <w:t>TOTAL credite operaționale</w:t>
            </w:r>
          </w:p>
        </w:tc>
        <w:tc>
          <w:tcPr>
            <w:tcW w:w="1440" w:type="dxa"/>
            <w:vAlign w:val="center"/>
          </w:tcPr>
          <w:p w:rsidR="009D2948" w:rsidRPr="009D2948" w:rsidRDefault="009D2948" w:rsidP="007A1A92">
            <w:pPr>
              <w:spacing w:beforeLines="20" w:before="48" w:afterLines="20" w:after="48"/>
              <w:rPr>
                <w:noProof/>
                <w:sz w:val="18"/>
              </w:rPr>
            </w:pPr>
            <w:r w:rsidRPr="009D2948">
              <w:rPr>
                <w:noProof/>
                <w:sz w:val="18"/>
              </w:rPr>
              <w:t>Angajamente</w:t>
            </w:r>
          </w:p>
        </w:tc>
        <w:tc>
          <w:tcPr>
            <w:tcW w:w="654" w:type="dxa"/>
            <w:vAlign w:val="center"/>
          </w:tcPr>
          <w:p w:rsidR="009D2948" w:rsidRPr="009D2948" w:rsidRDefault="009D2948" w:rsidP="007A1A92">
            <w:pPr>
              <w:spacing w:beforeLines="20" w:before="48" w:afterLines="20" w:after="48"/>
              <w:jc w:val="center"/>
              <w:rPr>
                <w:noProof/>
                <w:sz w:val="14"/>
              </w:rPr>
            </w:pPr>
            <w:r w:rsidRPr="009D2948">
              <w:rPr>
                <w:noProof/>
                <w:sz w:val="14"/>
              </w:rPr>
              <w:t>(4)</w:t>
            </w: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b/>
                <w:noProof/>
                <w:sz w:val="20"/>
              </w:rPr>
            </w:pPr>
          </w:p>
        </w:tc>
        <w:tc>
          <w:tcPr>
            <w:tcW w:w="1777" w:type="dxa"/>
            <w:vAlign w:val="center"/>
          </w:tcPr>
          <w:p w:rsidR="009D2948" w:rsidRPr="009D2948" w:rsidRDefault="009D2948" w:rsidP="007A1A92">
            <w:pPr>
              <w:spacing w:before="20" w:after="20"/>
              <w:jc w:val="right"/>
              <w:rPr>
                <w:b/>
                <w:noProof/>
                <w:sz w:val="20"/>
              </w:rPr>
            </w:pPr>
          </w:p>
        </w:tc>
      </w:tr>
      <w:tr w:rsidR="009D2948" w:rsidRPr="009D2948" w:rsidTr="007A1A92">
        <w:tc>
          <w:tcPr>
            <w:tcW w:w="3960" w:type="dxa"/>
            <w:vMerge/>
          </w:tcPr>
          <w:p w:rsidR="009D2948" w:rsidRPr="009D2948" w:rsidRDefault="009D2948" w:rsidP="007A1A92">
            <w:pPr>
              <w:jc w:val="center"/>
              <w:rPr>
                <w:noProof/>
                <w:sz w:val="20"/>
              </w:rPr>
            </w:pPr>
          </w:p>
        </w:tc>
        <w:tc>
          <w:tcPr>
            <w:tcW w:w="1440" w:type="dxa"/>
            <w:vAlign w:val="center"/>
          </w:tcPr>
          <w:p w:rsidR="009D2948" w:rsidRPr="009D2948" w:rsidRDefault="009D2948" w:rsidP="007A1A92">
            <w:pPr>
              <w:spacing w:beforeLines="20" w:before="48" w:afterLines="20" w:after="48"/>
              <w:rPr>
                <w:noProof/>
                <w:sz w:val="18"/>
              </w:rPr>
            </w:pPr>
            <w:r w:rsidRPr="009D2948">
              <w:rPr>
                <w:noProof/>
                <w:sz w:val="18"/>
              </w:rPr>
              <w:t>Plăți</w:t>
            </w:r>
          </w:p>
        </w:tc>
        <w:tc>
          <w:tcPr>
            <w:tcW w:w="654" w:type="dxa"/>
            <w:vAlign w:val="center"/>
          </w:tcPr>
          <w:p w:rsidR="009D2948" w:rsidRPr="009D2948" w:rsidRDefault="009D2948" w:rsidP="007A1A92">
            <w:pPr>
              <w:spacing w:beforeLines="20" w:before="48" w:afterLines="20" w:after="48"/>
              <w:jc w:val="center"/>
              <w:rPr>
                <w:noProof/>
                <w:sz w:val="14"/>
              </w:rPr>
            </w:pPr>
            <w:r w:rsidRPr="009D2948">
              <w:rPr>
                <w:noProof/>
                <w:sz w:val="14"/>
              </w:rPr>
              <w:t>(5)</w:t>
            </w: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b/>
                <w:noProof/>
                <w:sz w:val="20"/>
              </w:rPr>
            </w:pPr>
          </w:p>
        </w:tc>
        <w:tc>
          <w:tcPr>
            <w:tcW w:w="1777" w:type="dxa"/>
            <w:vAlign w:val="center"/>
          </w:tcPr>
          <w:p w:rsidR="009D2948" w:rsidRPr="009D2948" w:rsidRDefault="009D2948" w:rsidP="007A1A92">
            <w:pPr>
              <w:spacing w:before="20" w:after="20"/>
              <w:jc w:val="right"/>
              <w:rPr>
                <w:b/>
                <w:noProof/>
                <w:sz w:val="20"/>
              </w:rPr>
            </w:pPr>
          </w:p>
        </w:tc>
      </w:tr>
      <w:tr w:rsidR="009D2948" w:rsidRPr="009D2948" w:rsidTr="007A1A92">
        <w:trPr>
          <w:trHeight w:val="533"/>
        </w:trPr>
        <w:tc>
          <w:tcPr>
            <w:tcW w:w="5400" w:type="dxa"/>
            <w:gridSpan w:val="2"/>
            <w:vAlign w:val="center"/>
          </w:tcPr>
          <w:p w:rsidR="009D2948" w:rsidRPr="009D2948" w:rsidRDefault="009D2948" w:rsidP="007A1A92">
            <w:pPr>
              <w:spacing w:beforeLines="20" w:before="48" w:afterLines="20" w:after="48"/>
              <w:rPr>
                <w:noProof/>
              </w:rPr>
            </w:pPr>
            <w:r w:rsidRPr="009D2948">
              <w:rPr>
                <w:noProof/>
                <w:sz w:val="21"/>
              </w:rPr>
              <w:sym w:font="Wingdings" w:char="F09F"/>
            </w:r>
            <w:r w:rsidRPr="009D2948">
              <w:t xml:space="preserve"> </w:t>
            </w:r>
            <w:r w:rsidRPr="009D2948">
              <w:rPr>
                <w:sz w:val="21"/>
                <w:szCs w:val="21"/>
              </w:rPr>
              <w:t>TOTAL credite cu caracter administrativ finanțate din bugetul anumitor programe</w:t>
            </w:r>
          </w:p>
        </w:tc>
        <w:tc>
          <w:tcPr>
            <w:tcW w:w="654" w:type="dxa"/>
            <w:vAlign w:val="center"/>
          </w:tcPr>
          <w:p w:rsidR="009D2948" w:rsidRPr="009D2948" w:rsidRDefault="009D2948" w:rsidP="007A1A92">
            <w:pPr>
              <w:spacing w:beforeLines="20" w:before="48" w:afterLines="20" w:after="48"/>
              <w:jc w:val="center"/>
              <w:rPr>
                <w:noProof/>
                <w:sz w:val="14"/>
              </w:rPr>
            </w:pPr>
            <w:r w:rsidRPr="009D2948">
              <w:rPr>
                <w:noProof/>
                <w:sz w:val="14"/>
              </w:rPr>
              <w:t>(6)</w:t>
            </w:r>
          </w:p>
        </w:tc>
        <w:tc>
          <w:tcPr>
            <w:tcW w:w="868" w:type="dxa"/>
            <w:vAlign w:val="center"/>
          </w:tcPr>
          <w:p w:rsidR="009D2948" w:rsidRPr="009D2948" w:rsidRDefault="009D2948" w:rsidP="007A1A92">
            <w:pPr>
              <w:spacing w:before="20" w:after="20"/>
              <w:jc w:val="right"/>
              <w:rPr>
                <w:b/>
                <w:noProof/>
                <w:sz w:val="20"/>
              </w:rPr>
            </w:pPr>
          </w:p>
        </w:tc>
        <w:tc>
          <w:tcPr>
            <w:tcW w:w="868" w:type="dxa"/>
            <w:vAlign w:val="center"/>
          </w:tcPr>
          <w:p w:rsidR="009D2948" w:rsidRPr="009D2948" w:rsidRDefault="009D2948" w:rsidP="007A1A92">
            <w:pPr>
              <w:spacing w:before="20" w:after="20"/>
              <w:jc w:val="right"/>
              <w:rPr>
                <w:b/>
                <w:noProof/>
                <w:sz w:val="20"/>
              </w:rPr>
            </w:pPr>
          </w:p>
        </w:tc>
        <w:tc>
          <w:tcPr>
            <w:tcW w:w="868" w:type="dxa"/>
            <w:vAlign w:val="center"/>
          </w:tcPr>
          <w:p w:rsidR="009D2948" w:rsidRPr="009D2948" w:rsidRDefault="009D2948" w:rsidP="007A1A92">
            <w:pPr>
              <w:spacing w:before="20" w:after="20"/>
              <w:jc w:val="right"/>
              <w:rPr>
                <w:b/>
                <w:noProof/>
                <w:sz w:val="20"/>
              </w:rPr>
            </w:pPr>
          </w:p>
        </w:tc>
        <w:tc>
          <w:tcPr>
            <w:tcW w:w="868" w:type="dxa"/>
            <w:vAlign w:val="center"/>
          </w:tcPr>
          <w:p w:rsidR="009D2948" w:rsidRPr="009D2948" w:rsidRDefault="009D2948" w:rsidP="007A1A92">
            <w:pPr>
              <w:spacing w:before="20" w:after="20"/>
              <w:jc w:val="right"/>
              <w:rPr>
                <w:b/>
                <w:noProof/>
                <w:sz w:val="20"/>
              </w:rPr>
            </w:pPr>
          </w:p>
        </w:tc>
        <w:tc>
          <w:tcPr>
            <w:tcW w:w="868" w:type="dxa"/>
            <w:vAlign w:val="center"/>
          </w:tcPr>
          <w:p w:rsidR="009D2948" w:rsidRPr="009D2948" w:rsidRDefault="009D2948" w:rsidP="007A1A92">
            <w:pPr>
              <w:spacing w:before="20" w:after="20"/>
              <w:jc w:val="right"/>
              <w:rPr>
                <w:b/>
                <w:noProof/>
                <w:sz w:val="20"/>
              </w:rPr>
            </w:pPr>
          </w:p>
        </w:tc>
        <w:tc>
          <w:tcPr>
            <w:tcW w:w="868" w:type="dxa"/>
            <w:vAlign w:val="center"/>
          </w:tcPr>
          <w:p w:rsidR="009D2948" w:rsidRPr="009D2948" w:rsidRDefault="009D2948" w:rsidP="007A1A92">
            <w:pPr>
              <w:spacing w:before="20" w:after="20"/>
              <w:jc w:val="right"/>
              <w:rPr>
                <w:b/>
                <w:noProof/>
                <w:sz w:val="20"/>
              </w:rPr>
            </w:pPr>
          </w:p>
        </w:tc>
        <w:tc>
          <w:tcPr>
            <w:tcW w:w="868" w:type="dxa"/>
            <w:vAlign w:val="center"/>
          </w:tcPr>
          <w:p w:rsidR="009D2948" w:rsidRPr="009D2948" w:rsidRDefault="009D2948" w:rsidP="007A1A92">
            <w:pPr>
              <w:spacing w:before="20" w:after="20"/>
              <w:jc w:val="right"/>
              <w:rPr>
                <w:b/>
                <w:noProof/>
                <w:sz w:val="20"/>
              </w:rPr>
            </w:pPr>
          </w:p>
        </w:tc>
        <w:tc>
          <w:tcPr>
            <w:tcW w:w="1777" w:type="dxa"/>
            <w:vAlign w:val="center"/>
          </w:tcPr>
          <w:p w:rsidR="009D2948" w:rsidRPr="009D2948" w:rsidRDefault="009D2948" w:rsidP="007A1A92">
            <w:pPr>
              <w:spacing w:before="20" w:after="20"/>
              <w:jc w:val="right"/>
              <w:rPr>
                <w:b/>
                <w:noProof/>
                <w:sz w:val="20"/>
              </w:rPr>
            </w:pPr>
          </w:p>
        </w:tc>
      </w:tr>
      <w:tr w:rsidR="009D2948" w:rsidRPr="009D2948" w:rsidTr="007A1A92">
        <w:tc>
          <w:tcPr>
            <w:tcW w:w="3960" w:type="dxa"/>
            <w:vMerge w:val="restart"/>
            <w:shd w:val="thinDiagStripe" w:color="C0C0C0" w:fill="auto"/>
            <w:vAlign w:val="center"/>
          </w:tcPr>
          <w:p w:rsidR="009D2948" w:rsidRPr="009D2948" w:rsidRDefault="009D2948" w:rsidP="007A1A92">
            <w:pPr>
              <w:jc w:val="center"/>
              <w:rPr>
                <w:b/>
                <w:noProof/>
              </w:rPr>
            </w:pPr>
            <w:r w:rsidRPr="009D2948">
              <w:rPr>
                <w:b/>
                <w:sz w:val="22"/>
              </w:rPr>
              <w:t>TOTAL credite</w:t>
            </w:r>
            <w:r w:rsidRPr="009D2948">
              <w:rPr>
                <w:noProof/>
                <w:sz w:val="22"/>
              </w:rPr>
              <w:br/>
            </w:r>
            <w:r w:rsidRPr="009D2948">
              <w:rPr>
                <w:b/>
                <w:noProof/>
                <w:sz w:val="22"/>
              </w:rPr>
              <w:t>în cadrul RUBRICII&lt;….&gt;</w:t>
            </w:r>
            <w:r w:rsidRPr="009D2948">
              <w:rPr>
                <w:noProof/>
                <w:sz w:val="22"/>
              </w:rPr>
              <w:br/>
              <w:t>din cadrul financiar multianual</w:t>
            </w:r>
          </w:p>
        </w:tc>
        <w:tc>
          <w:tcPr>
            <w:tcW w:w="1440" w:type="dxa"/>
            <w:vAlign w:val="center"/>
          </w:tcPr>
          <w:p w:rsidR="009D2948" w:rsidRPr="009D2948" w:rsidRDefault="009D2948" w:rsidP="007A1A92">
            <w:pPr>
              <w:rPr>
                <w:noProof/>
                <w:sz w:val="18"/>
              </w:rPr>
            </w:pPr>
            <w:r w:rsidRPr="009D2948">
              <w:rPr>
                <w:noProof/>
                <w:sz w:val="18"/>
              </w:rPr>
              <w:t>Angajamente</w:t>
            </w:r>
          </w:p>
        </w:tc>
        <w:tc>
          <w:tcPr>
            <w:tcW w:w="654" w:type="dxa"/>
            <w:vAlign w:val="center"/>
          </w:tcPr>
          <w:p w:rsidR="009D2948" w:rsidRPr="009D2948" w:rsidRDefault="009D2948" w:rsidP="007A1A92">
            <w:pPr>
              <w:jc w:val="center"/>
              <w:rPr>
                <w:noProof/>
                <w:sz w:val="14"/>
              </w:rPr>
            </w:pPr>
            <w:r w:rsidRPr="009D2948">
              <w:rPr>
                <w:noProof/>
                <w:sz w:val="14"/>
              </w:rPr>
              <w:t>=4+ 6</w:t>
            </w: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b/>
                <w:noProof/>
                <w:sz w:val="20"/>
              </w:rPr>
            </w:pPr>
          </w:p>
        </w:tc>
        <w:tc>
          <w:tcPr>
            <w:tcW w:w="1777" w:type="dxa"/>
            <w:vAlign w:val="center"/>
          </w:tcPr>
          <w:p w:rsidR="009D2948" w:rsidRPr="009D2948" w:rsidRDefault="009D2948" w:rsidP="007A1A92">
            <w:pPr>
              <w:spacing w:before="20" w:after="20"/>
              <w:jc w:val="right"/>
              <w:rPr>
                <w:b/>
                <w:noProof/>
                <w:sz w:val="20"/>
              </w:rPr>
            </w:pPr>
          </w:p>
        </w:tc>
      </w:tr>
      <w:tr w:rsidR="009D2948" w:rsidRPr="009D2948" w:rsidTr="007A1A92">
        <w:tc>
          <w:tcPr>
            <w:tcW w:w="3960" w:type="dxa"/>
            <w:vMerge/>
            <w:shd w:val="thinDiagStripe" w:color="C0C0C0" w:fill="auto"/>
          </w:tcPr>
          <w:p w:rsidR="009D2948" w:rsidRPr="009D2948" w:rsidRDefault="009D2948" w:rsidP="007A1A92">
            <w:pPr>
              <w:rPr>
                <w:noProof/>
                <w:sz w:val="20"/>
              </w:rPr>
            </w:pPr>
          </w:p>
        </w:tc>
        <w:tc>
          <w:tcPr>
            <w:tcW w:w="1440" w:type="dxa"/>
            <w:vAlign w:val="center"/>
          </w:tcPr>
          <w:p w:rsidR="009D2948" w:rsidRPr="009D2948" w:rsidRDefault="009D2948" w:rsidP="007A1A92">
            <w:pPr>
              <w:rPr>
                <w:noProof/>
                <w:sz w:val="18"/>
              </w:rPr>
            </w:pPr>
            <w:r w:rsidRPr="009D2948">
              <w:rPr>
                <w:noProof/>
                <w:sz w:val="18"/>
              </w:rPr>
              <w:t>Plăți</w:t>
            </w:r>
          </w:p>
        </w:tc>
        <w:tc>
          <w:tcPr>
            <w:tcW w:w="654" w:type="dxa"/>
            <w:vAlign w:val="center"/>
          </w:tcPr>
          <w:p w:rsidR="009D2948" w:rsidRPr="009D2948" w:rsidRDefault="009D2948" w:rsidP="007A1A92">
            <w:pPr>
              <w:jc w:val="center"/>
              <w:rPr>
                <w:noProof/>
                <w:sz w:val="14"/>
              </w:rPr>
            </w:pPr>
            <w:r w:rsidRPr="009D2948">
              <w:rPr>
                <w:noProof/>
                <w:sz w:val="14"/>
              </w:rPr>
              <w:t>=5+ 6</w:t>
            </w: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b/>
                <w:noProof/>
                <w:sz w:val="20"/>
              </w:rPr>
            </w:pPr>
          </w:p>
        </w:tc>
        <w:tc>
          <w:tcPr>
            <w:tcW w:w="1777" w:type="dxa"/>
            <w:vAlign w:val="center"/>
          </w:tcPr>
          <w:p w:rsidR="009D2948" w:rsidRPr="009D2948" w:rsidRDefault="009D2948" w:rsidP="007A1A92">
            <w:pPr>
              <w:spacing w:before="20" w:after="20"/>
              <w:jc w:val="right"/>
              <w:rPr>
                <w:b/>
                <w:noProof/>
                <w:sz w:val="20"/>
              </w:rPr>
            </w:pPr>
          </w:p>
        </w:tc>
      </w:tr>
    </w:tbl>
    <w:p w:rsidR="009D2948" w:rsidRPr="009D2948" w:rsidRDefault="009D2948" w:rsidP="009D2948">
      <w:pPr>
        <w:rPr>
          <w:noProof/>
        </w:rPr>
      </w:pPr>
    </w:p>
    <w:p w:rsidR="009D2948" w:rsidRPr="009D2948" w:rsidRDefault="009D2948" w:rsidP="009D2948">
      <w:pPr>
        <w:rPr>
          <w:noProof/>
        </w:rPr>
      </w:pPr>
    </w:p>
    <w:p w:rsidR="009D2948" w:rsidRPr="009D2948" w:rsidRDefault="009D2948" w:rsidP="009D2948">
      <w:pPr>
        <w:rPr>
          <w:noProof/>
        </w:rPr>
      </w:pPr>
      <w:r w:rsidRPr="009D2948">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9D2948" w:rsidRPr="009D2948" w:rsidTr="007A1A92">
        <w:trPr>
          <w:jc w:val="center"/>
        </w:trPr>
        <w:tc>
          <w:tcPr>
            <w:tcW w:w="4744" w:type="dxa"/>
            <w:shd w:val="thinDiagStripe" w:color="C0C0C0" w:fill="auto"/>
            <w:vAlign w:val="center"/>
          </w:tcPr>
          <w:p w:rsidR="009D2948" w:rsidRPr="009D2948" w:rsidRDefault="009D2948" w:rsidP="007A1A92">
            <w:pPr>
              <w:spacing w:before="60" w:after="60"/>
              <w:jc w:val="center"/>
              <w:rPr>
                <w:b/>
                <w:noProof/>
              </w:rPr>
            </w:pPr>
            <w:r w:rsidRPr="009D2948">
              <w:lastRenderedPageBreak/>
              <w:br w:type="page"/>
            </w:r>
            <w:r w:rsidRPr="009D2948">
              <w:rPr>
                <w:b/>
              </w:rPr>
              <w:t>Rubrica din cadrul financiar multianual</w:t>
            </w:r>
            <w:r w:rsidRPr="009D2948">
              <w:rPr>
                <w:b/>
                <w:noProof/>
                <w:sz w:val="22"/>
              </w:rPr>
              <w:t xml:space="preserve"> </w:t>
            </w:r>
          </w:p>
        </w:tc>
        <w:tc>
          <w:tcPr>
            <w:tcW w:w="1080" w:type="dxa"/>
            <w:shd w:val="thinDiagStripe" w:color="C0C0C0" w:fill="auto"/>
            <w:vAlign w:val="center"/>
          </w:tcPr>
          <w:p w:rsidR="009D2948" w:rsidRPr="009D2948" w:rsidRDefault="009D2948" w:rsidP="007A1A92">
            <w:pPr>
              <w:spacing w:before="60" w:after="60"/>
              <w:jc w:val="center"/>
              <w:rPr>
                <w:noProof/>
              </w:rPr>
            </w:pPr>
            <w:r w:rsidRPr="009D2948">
              <w:rPr>
                <w:b/>
                <w:noProof/>
                <w:sz w:val="22"/>
              </w:rPr>
              <w:t>5</w:t>
            </w:r>
          </w:p>
        </w:tc>
        <w:tc>
          <w:tcPr>
            <w:tcW w:w="7817" w:type="dxa"/>
            <w:vAlign w:val="center"/>
          </w:tcPr>
          <w:p w:rsidR="009D2948" w:rsidRPr="009D2948" w:rsidRDefault="009D2948" w:rsidP="007A1A92">
            <w:pPr>
              <w:spacing w:before="60" w:after="60"/>
              <w:rPr>
                <w:noProof/>
              </w:rPr>
            </w:pPr>
            <w:r w:rsidRPr="009D2948">
              <w:rPr>
                <w:noProof/>
                <w:sz w:val="22"/>
              </w:rPr>
              <w:t>„Cheltuieli administrative”</w:t>
            </w:r>
          </w:p>
        </w:tc>
      </w:tr>
    </w:tbl>
    <w:p w:rsidR="009D2948" w:rsidRPr="009D2948" w:rsidRDefault="009D2948" w:rsidP="009D2948">
      <w:pPr>
        <w:jc w:val="right"/>
        <w:rPr>
          <w:noProof/>
          <w:sz w:val="20"/>
        </w:rPr>
      </w:pPr>
      <w:r w:rsidRPr="009D2948">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D2948" w:rsidRPr="009D2948" w:rsidTr="007A1A92">
        <w:tc>
          <w:tcPr>
            <w:tcW w:w="3960" w:type="dxa"/>
            <w:tcBorders>
              <w:top w:val="nil"/>
              <w:left w:val="nil"/>
              <w:right w:val="nil"/>
            </w:tcBorders>
            <w:vAlign w:val="center"/>
          </w:tcPr>
          <w:p w:rsidR="009D2948" w:rsidRPr="009D2948" w:rsidRDefault="009D2948" w:rsidP="007A1A92">
            <w:pPr>
              <w:jc w:val="center"/>
              <w:rPr>
                <w:noProof/>
              </w:rPr>
            </w:pPr>
          </w:p>
        </w:tc>
        <w:tc>
          <w:tcPr>
            <w:tcW w:w="1560" w:type="dxa"/>
            <w:tcBorders>
              <w:top w:val="nil"/>
              <w:left w:val="nil"/>
              <w:right w:val="nil"/>
            </w:tcBorders>
          </w:tcPr>
          <w:p w:rsidR="009D2948" w:rsidRPr="009D2948" w:rsidRDefault="009D2948" w:rsidP="007A1A92">
            <w:pPr>
              <w:rPr>
                <w:noProof/>
                <w:sz w:val="20"/>
              </w:rPr>
            </w:pPr>
          </w:p>
        </w:tc>
        <w:tc>
          <w:tcPr>
            <w:tcW w:w="534" w:type="dxa"/>
            <w:tcBorders>
              <w:top w:val="nil"/>
              <w:left w:val="nil"/>
            </w:tcBorders>
          </w:tcPr>
          <w:p w:rsidR="009D2948" w:rsidRPr="009D2948" w:rsidRDefault="009D2948" w:rsidP="007A1A92">
            <w:pPr>
              <w:jc w:val="center"/>
              <w:rPr>
                <w:noProof/>
                <w:sz w:val="20"/>
              </w:rPr>
            </w:pPr>
          </w:p>
        </w:tc>
        <w:tc>
          <w:tcPr>
            <w:tcW w:w="868" w:type="dxa"/>
            <w:vAlign w:val="center"/>
          </w:tcPr>
          <w:p w:rsidR="009D2948" w:rsidRPr="009D2948" w:rsidRDefault="009D2948" w:rsidP="007A1A92">
            <w:pPr>
              <w:jc w:val="center"/>
              <w:rPr>
                <w:noProof/>
                <w:sz w:val="20"/>
                <w:szCs w:val="20"/>
              </w:rPr>
            </w:pPr>
            <w:r w:rsidRPr="009D2948">
              <w:rPr>
                <w:sz w:val="20"/>
                <w:szCs w:val="20"/>
              </w:rPr>
              <w:t>Anul</w:t>
            </w:r>
            <w:r w:rsidRPr="009D2948">
              <w:rPr>
                <w:noProof/>
                <w:sz w:val="22"/>
              </w:rPr>
              <w:br/>
            </w:r>
            <w:r w:rsidRPr="009D2948">
              <w:rPr>
                <w:b/>
                <w:noProof/>
                <w:sz w:val="20"/>
                <w:szCs w:val="20"/>
              </w:rPr>
              <w:t>N</w:t>
            </w:r>
          </w:p>
        </w:tc>
        <w:tc>
          <w:tcPr>
            <w:tcW w:w="868" w:type="dxa"/>
            <w:vAlign w:val="center"/>
          </w:tcPr>
          <w:p w:rsidR="009D2948" w:rsidRPr="009D2948" w:rsidRDefault="009D2948" w:rsidP="007A1A92">
            <w:pPr>
              <w:jc w:val="center"/>
              <w:rPr>
                <w:noProof/>
                <w:sz w:val="20"/>
                <w:szCs w:val="20"/>
              </w:rPr>
            </w:pPr>
            <w:r w:rsidRPr="009D2948">
              <w:rPr>
                <w:sz w:val="20"/>
                <w:szCs w:val="20"/>
              </w:rPr>
              <w:t>Anul</w:t>
            </w:r>
            <w:r w:rsidRPr="009D2948">
              <w:rPr>
                <w:noProof/>
                <w:sz w:val="22"/>
              </w:rPr>
              <w:br/>
            </w:r>
            <w:r w:rsidRPr="009D2948">
              <w:rPr>
                <w:b/>
                <w:noProof/>
                <w:sz w:val="20"/>
                <w:szCs w:val="20"/>
              </w:rPr>
              <w:t>N+1</w:t>
            </w:r>
          </w:p>
        </w:tc>
        <w:tc>
          <w:tcPr>
            <w:tcW w:w="868" w:type="dxa"/>
            <w:vAlign w:val="center"/>
          </w:tcPr>
          <w:p w:rsidR="009D2948" w:rsidRPr="009D2948" w:rsidRDefault="009D2948" w:rsidP="007A1A92">
            <w:pPr>
              <w:jc w:val="center"/>
              <w:rPr>
                <w:noProof/>
                <w:sz w:val="20"/>
                <w:szCs w:val="20"/>
              </w:rPr>
            </w:pPr>
            <w:r w:rsidRPr="009D2948">
              <w:rPr>
                <w:sz w:val="20"/>
                <w:szCs w:val="20"/>
              </w:rPr>
              <w:t>Anul</w:t>
            </w:r>
            <w:r w:rsidRPr="009D2948">
              <w:rPr>
                <w:noProof/>
                <w:sz w:val="22"/>
              </w:rPr>
              <w:br/>
            </w:r>
            <w:r w:rsidRPr="009D2948">
              <w:rPr>
                <w:b/>
                <w:noProof/>
                <w:sz w:val="20"/>
                <w:szCs w:val="20"/>
              </w:rPr>
              <w:t>N+2</w:t>
            </w:r>
          </w:p>
        </w:tc>
        <w:tc>
          <w:tcPr>
            <w:tcW w:w="868" w:type="dxa"/>
            <w:vAlign w:val="center"/>
          </w:tcPr>
          <w:p w:rsidR="009D2948" w:rsidRPr="009D2948" w:rsidRDefault="009D2948" w:rsidP="007A1A92">
            <w:pPr>
              <w:jc w:val="center"/>
              <w:rPr>
                <w:noProof/>
                <w:sz w:val="20"/>
                <w:szCs w:val="20"/>
              </w:rPr>
            </w:pPr>
            <w:r w:rsidRPr="009D2948">
              <w:rPr>
                <w:sz w:val="20"/>
                <w:szCs w:val="20"/>
              </w:rPr>
              <w:t>Anul</w:t>
            </w:r>
            <w:r w:rsidRPr="009D2948">
              <w:rPr>
                <w:noProof/>
                <w:sz w:val="22"/>
              </w:rPr>
              <w:br/>
            </w:r>
            <w:r w:rsidRPr="009D2948">
              <w:rPr>
                <w:b/>
                <w:noProof/>
                <w:sz w:val="20"/>
                <w:szCs w:val="20"/>
              </w:rPr>
              <w:t>N+3</w:t>
            </w:r>
          </w:p>
        </w:tc>
        <w:tc>
          <w:tcPr>
            <w:tcW w:w="2604" w:type="dxa"/>
            <w:gridSpan w:val="3"/>
            <w:vAlign w:val="center"/>
          </w:tcPr>
          <w:p w:rsidR="009D2948" w:rsidRPr="009D2948" w:rsidRDefault="009D2948" w:rsidP="007A1A92">
            <w:pPr>
              <w:jc w:val="center"/>
              <w:rPr>
                <w:b/>
                <w:noProof/>
                <w:sz w:val="18"/>
              </w:rPr>
            </w:pPr>
            <w:r w:rsidRPr="009D2948">
              <w:rPr>
                <w:noProof/>
                <w:sz w:val="18"/>
              </w:rPr>
              <w:t xml:space="preserve">A se introduce atâția ani câți sunt considerați necesari pentru a reflecta durata impactului (cf. punctul 1.6) </w:t>
            </w:r>
          </w:p>
        </w:tc>
        <w:tc>
          <w:tcPr>
            <w:tcW w:w="1777" w:type="dxa"/>
            <w:vAlign w:val="center"/>
          </w:tcPr>
          <w:p w:rsidR="009D2948" w:rsidRPr="009D2948" w:rsidRDefault="009D2948" w:rsidP="007A1A92">
            <w:pPr>
              <w:jc w:val="center"/>
              <w:rPr>
                <w:b/>
                <w:noProof/>
                <w:sz w:val="20"/>
              </w:rPr>
            </w:pPr>
            <w:r w:rsidRPr="009D2948">
              <w:rPr>
                <w:b/>
                <w:noProof/>
                <w:sz w:val="20"/>
              </w:rPr>
              <w:t>TOTAL</w:t>
            </w:r>
          </w:p>
        </w:tc>
      </w:tr>
      <w:tr w:rsidR="009D2948" w:rsidRPr="009D2948" w:rsidTr="007A1A92">
        <w:trPr>
          <w:gridAfter w:val="10"/>
          <w:wAfter w:w="9947" w:type="dxa"/>
        </w:trPr>
        <w:tc>
          <w:tcPr>
            <w:tcW w:w="3960" w:type="dxa"/>
            <w:vAlign w:val="center"/>
          </w:tcPr>
          <w:p w:rsidR="009D2948" w:rsidRPr="009D2948" w:rsidRDefault="009D2948" w:rsidP="007A1A92">
            <w:pPr>
              <w:spacing w:before="60" w:after="60"/>
              <w:jc w:val="center"/>
              <w:rPr>
                <w:noProof/>
              </w:rPr>
            </w:pPr>
            <w:r w:rsidRPr="009D2948">
              <w:rPr>
                <w:noProof/>
                <w:sz w:val="22"/>
              </w:rPr>
              <w:t>DG: &lt;…….&gt;</w:t>
            </w:r>
          </w:p>
        </w:tc>
      </w:tr>
      <w:tr w:rsidR="009D2948" w:rsidRPr="009D2948" w:rsidTr="007A1A92">
        <w:trPr>
          <w:trHeight w:val="313"/>
        </w:trPr>
        <w:tc>
          <w:tcPr>
            <w:tcW w:w="6054" w:type="dxa"/>
            <w:gridSpan w:val="3"/>
            <w:vAlign w:val="center"/>
          </w:tcPr>
          <w:p w:rsidR="009D2948" w:rsidRPr="009D2948" w:rsidRDefault="009D2948" w:rsidP="007A1A92">
            <w:pPr>
              <w:spacing w:before="20" w:after="20"/>
              <w:rPr>
                <w:noProof/>
              </w:rPr>
            </w:pPr>
            <w:r w:rsidRPr="009D2948">
              <w:rPr>
                <w:noProof/>
                <w:sz w:val="22"/>
              </w:rPr>
              <w:sym w:font="Wingdings" w:char="F09F"/>
            </w:r>
            <w:r w:rsidRPr="009D2948">
              <w:t xml:space="preserve"> </w:t>
            </w:r>
            <w:r w:rsidRPr="009D2948">
              <w:rPr>
                <w:sz w:val="22"/>
              </w:rPr>
              <w:t>Resursele umane</w:t>
            </w: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b/>
                <w:noProof/>
                <w:sz w:val="20"/>
              </w:rPr>
            </w:pPr>
          </w:p>
        </w:tc>
        <w:tc>
          <w:tcPr>
            <w:tcW w:w="1777" w:type="dxa"/>
            <w:vAlign w:val="center"/>
          </w:tcPr>
          <w:p w:rsidR="009D2948" w:rsidRPr="009D2948" w:rsidRDefault="009D2948" w:rsidP="007A1A92">
            <w:pPr>
              <w:spacing w:before="20" w:after="20"/>
              <w:jc w:val="right"/>
              <w:rPr>
                <w:b/>
                <w:noProof/>
                <w:sz w:val="20"/>
              </w:rPr>
            </w:pPr>
          </w:p>
        </w:tc>
      </w:tr>
      <w:tr w:rsidR="009D2948" w:rsidRPr="009D2948" w:rsidTr="007A1A92">
        <w:trPr>
          <w:trHeight w:val="351"/>
        </w:trPr>
        <w:tc>
          <w:tcPr>
            <w:tcW w:w="6054" w:type="dxa"/>
            <w:gridSpan w:val="3"/>
            <w:vAlign w:val="center"/>
          </w:tcPr>
          <w:p w:rsidR="009D2948" w:rsidRPr="009D2948" w:rsidRDefault="009D2948" w:rsidP="007A1A92">
            <w:pPr>
              <w:spacing w:before="20" w:after="20"/>
              <w:rPr>
                <w:noProof/>
                <w:sz w:val="22"/>
              </w:rPr>
            </w:pPr>
            <w:r w:rsidRPr="009D2948">
              <w:rPr>
                <w:noProof/>
                <w:sz w:val="22"/>
              </w:rPr>
              <w:sym w:font="Wingdings" w:char="F09F"/>
            </w:r>
            <w:r w:rsidRPr="009D2948">
              <w:rPr>
                <w:sz w:val="22"/>
              </w:rPr>
              <w:t xml:space="preserve"> Alte cheltuieli administrative</w:t>
            </w:r>
          </w:p>
        </w:tc>
        <w:tc>
          <w:tcPr>
            <w:tcW w:w="868" w:type="dxa"/>
            <w:vAlign w:val="center"/>
          </w:tcPr>
          <w:p w:rsidR="009D2948" w:rsidRPr="009D2948" w:rsidRDefault="009D2948" w:rsidP="007A1A92">
            <w:pPr>
              <w:spacing w:before="20" w:after="20"/>
              <w:jc w:val="right"/>
              <w:rPr>
                <w:b/>
                <w:noProof/>
                <w:sz w:val="20"/>
              </w:rPr>
            </w:pPr>
          </w:p>
        </w:tc>
        <w:tc>
          <w:tcPr>
            <w:tcW w:w="868" w:type="dxa"/>
            <w:vAlign w:val="center"/>
          </w:tcPr>
          <w:p w:rsidR="009D2948" w:rsidRPr="009D2948" w:rsidRDefault="009D2948" w:rsidP="007A1A92">
            <w:pPr>
              <w:spacing w:before="20" w:after="20"/>
              <w:jc w:val="right"/>
              <w:rPr>
                <w:b/>
                <w:noProof/>
                <w:sz w:val="20"/>
              </w:rPr>
            </w:pPr>
          </w:p>
        </w:tc>
        <w:tc>
          <w:tcPr>
            <w:tcW w:w="868" w:type="dxa"/>
            <w:vAlign w:val="center"/>
          </w:tcPr>
          <w:p w:rsidR="009D2948" w:rsidRPr="009D2948" w:rsidRDefault="009D2948" w:rsidP="007A1A92">
            <w:pPr>
              <w:spacing w:before="20" w:after="20"/>
              <w:jc w:val="right"/>
              <w:rPr>
                <w:b/>
                <w:noProof/>
                <w:sz w:val="20"/>
              </w:rPr>
            </w:pPr>
          </w:p>
        </w:tc>
        <w:tc>
          <w:tcPr>
            <w:tcW w:w="868" w:type="dxa"/>
            <w:vAlign w:val="center"/>
          </w:tcPr>
          <w:p w:rsidR="009D2948" w:rsidRPr="009D2948" w:rsidRDefault="009D2948" w:rsidP="007A1A92">
            <w:pPr>
              <w:spacing w:before="20" w:after="20"/>
              <w:jc w:val="right"/>
              <w:rPr>
                <w:b/>
                <w:noProof/>
                <w:sz w:val="20"/>
              </w:rPr>
            </w:pPr>
          </w:p>
        </w:tc>
        <w:tc>
          <w:tcPr>
            <w:tcW w:w="868" w:type="dxa"/>
            <w:vAlign w:val="center"/>
          </w:tcPr>
          <w:p w:rsidR="009D2948" w:rsidRPr="009D2948" w:rsidRDefault="009D2948" w:rsidP="007A1A92">
            <w:pPr>
              <w:spacing w:before="20" w:after="20"/>
              <w:jc w:val="right"/>
              <w:rPr>
                <w:b/>
                <w:noProof/>
                <w:sz w:val="20"/>
              </w:rPr>
            </w:pPr>
          </w:p>
        </w:tc>
        <w:tc>
          <w:tcPr>
            <w:tcW w:w="868" w:type="dxa"/>
            <w:vAlign w:val="center"/>
          </w:tcPr>
          <w:p w:rsidR="009D2948" w:rsidRPr="009D2948" w:rsidRDefault="009D2948" w:rsidP="007A1A92">
            <w:pPr>
              <w:spacing w:before="20" w:after="20"/>
              <w:jc w:val="right"/>
              <w:rPr>
                <w:b/>
                <w:noProof/>
                <w:sz w:val="20"/>
              </w:rPr>
            </w:pPr>
          </w:p>
        </w:tc>
        <w:tc>
          <w:tcPr>
            <w:tcW w:w="868" w:type="dxa"/>
            <w:vAlign w:val="center"/>
          </w:tcPr>
          <w:p w:rsidR="009D2948" w:rsidRPr="009D2948" w:rsidRDefault="009D2948" w:rsidP="007A1A92">
            <w:pPr>
              <w:spacing w:before="20" w:after="20"/>
              <w:jc w:val="right"/>
              <w:rPr>
                <w:b/>
                <w:noProof/>
                <w:sz w:val="20"/>
              </w:rPr>
            </w:pPr>
          </w:p>
        </w:tc>
        <w:tc>
          <w:tcPr>
            <w:tcW w:w="1777" w:type="dxa"/>
            <w:vAlign w:val="center"/>
          </w:tcPr>
          <w:p w:rsidR="009D2948" w:rsidRPr="009D2948" w:rsidRDefault="009D2948" w:rsidP="007A1A92">
            <w:pPr>
              <w:spacing w:before="20" w:after="20"/>
              <w:jc w:val="right"/>
              <w:rPr>
                <w:b/>
                <w:noProof/>
                <w:sz w:val="20"/>
              </w:rPr>
            </w:pPr>
          </w:p>
        </w:tc>
      </w:tr>
      <w:tr w:rsidR="009D2948" w:rsidRPr="009D2948" w:rsidTr="007A1A92">
        <w:tc>
          <w:tcPr>
            <w:tcW w:w="3960" w:type="dxa"/>
            <w:vAlign w:val="center"/>
          </w:tcPr>
          <w:p w:rsidR="009D2948" w:rsidRPr="009D2948" w:rsidRDefault="009D2948" w:rsidP="007A1A92">
            <w:pPr>
              <w:jc w:val="center"/>
              <w:rPr>
                <w:b/>
                <w:noProof/>
              </w:rPr>
            </w:pPr>
            <w:r w:rsidRPr="009D2948">
              <w:rPr>
                <w:b/>
                <w:noProof/>
                <w:sz w:val="22"/>
              </w:rPr>
              <w:t xml:space="preserve">TOTAL DG </w:t>
            </w:r>
            <w:r w:rsidRPr="009D2948">
              <w:rPr>
                <w:noProof/>
                <w:sz w:val="22"/>
              </w:rPr>
              <w:t>&lt;…….&gt;</w:t>
            </w:r>
          </w:p>
        </w:tc>
        <w:tc>
          <w:tcPr>
            <w:tcW w:w="2094" w:type="dxa"/>
            <w:gridSpan w:val="2"/>
            <w:vAlign w:val="center"/>
          </w:tcPr>
          <w:p w:rsidR="009D2948" w:rsidRPr="009D2948" w:rsidRDefault="009D2948" w:rsidP="007A1A92">
            <w:pPr>
              <w:rPr>
                <w:noProof/>
                <w:sz w:val="14"/>
              </w:rPr>
            </w:pPr>
            <w:r w:rsidRPr="009D2948">
              <w:rPr>
                <w:noProof/>
                <w:sz w:val="18"/>
              </w:rPr>
              <w:t xml:space="preserve">Credite </w:t>
            </w:r>
          </w:p>
        </w:tc>
        <w:tc>
          <w:tcPr>
            <w:tcW w:w="868" w:type="dxa"/>
            <w:vAlign w:val="center"/>
          </w:tcPr>
          <w:p w:rsidR="009D2948" w:rsidRPr="009D2948" w:rsidRDefault="009D2948" w:rsidP="007A1A92">
            <w:pPr>
              <w:spacing w:before="60" w:after="6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b/>
                <w:noProof/>
                <w:sz w:val="20"/>
              </w:rPr>
            </w:pPr>
          </w:p>
        </w:tc>
        <w:tc>
          <w:tcPr>
            <w:tcW w:w="1777" w:type="dxa"/>
            <w:vAlign w:val="center"/>
          </w:tcPr>
          <w:p w:rsidR="009D2948" w:rsidRPr="009D2948" w:rsidRDefault="009D2948" w:rsidP="007A1A92">
            <w:pPr>
              <w:spacing w:before="20" w:after="20"/>
              <w:jc w:val="right"/>
              <w:rPr>
                <w:b/>
                <w:noProof/>
                <w:sz w:val="20"/>
              </w:rPr>
            </w:pPr>
          </w:p>
        </w:tc>
      </w:tr>
    </w:tbl>
    <w:p w:rsidR="009D2948" w:rsidRPr="009D2948" w:rsidRDefault="009D2948" w:rsidP="009D2948">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9D2948" w:rsidRPr="009D2948" w:rsidTr="007A1A92">
        <w:tc>
          <w:tcPr>
            <w:tcW w:w="3960" w:type="dxa"/>
            <w:shd w:val="thinDiagStripe" w:color="C0C0C0" w:fill="auto"/>
            <w:vAlign w:val="center"/>
          </w:tcPr>
          <w:p w:rsidR="009D2948" w:rsidRPr="009D2948" w:rsidRDefault="009D2948" w:rsidP="007A1A92">
            <w:pPr>
              <w:jc w:val="center"/>
              <w:rPr>
                <w:b/>
                <w:noProof/>
              </w:rPr>
            </w:pPr>
            <w:r w:rsidRPr="009D2948">
              <w:rPr>
                <w:b/>
                <w:sz w:val="20"/>
                <w:szCs w:val="20"/>
              </w:rPr>
              <w:t>TOTAL credite</w:t>
            </w:r>
            <w:r w:rsidRPr="009D2948">
              <w:rPr>
                <w:noProof/>
                <w:sz w:val="20"/>
                <w:szCs w:val="20"/>
              </w:rPr>
              <w:br/>
            </w:r>
            <w:r w:rsidRPr="009D2948">
              <w:rPr>
                <w:b/>
                <w:noProof/>
                <w:sz w:val="20"/>
                <w:szCs w:val="20"/>
              </w:rPr>
              <w:t>în cadrul RUBRICII 5</w:t>
            </w:r>
            <w:r w:rsidRPr="009D2948">
              <w:rPr>
                <w:noProof/>
                <w:sz w:val="22"/>
              </w:rPr>
              <w:br/>
              <w:t>din cadrul financiar multianual</w:t>
            </w:r>
            <w:r w:rsidRPr="009D2948">
              <w:rPr>
                <w:b/>
                <w:noProof/>
                <w:sz w:val="22"/>
              </w:rPr>
              <w:t xml:space="preserve"> </w:t>
            </w:r>
          </w:p>
        </w:tc>
        <w:tc>
          <w:tcPr>
            <w:tcW w:w="2094" w:type="dxa"/>
            <w:vAlign w:val="center"/>
          </w:tcPr>
          <w:p w:rsidR="009D2948" w:rsidRPr="009D2948" w:rsidRDefault="009D2948" w:rsidP="007A1A92">
            <w:pPr>
              <w:spacing w:before="40" w:after="40"/>
              <w:rPr>
                <w:noProof/>
              </w:rPr>
            </w:pPr>
            <w:r w:rsidRPr="009D2948">
              <w:rPr>
                <w:noProof/>
                <w:sz w:val="18"/>
              </w:rPr>
              <w:t>(Total angajamente = Total plăți)</w:t>
            </w: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noProof/>
                <w:sz w:val="20"/>
              </w:rPr>
            </w:pPr>
          </w:p>
        </w:tc>
        <w:tc>
          <w:tcPr>
            <w:tcW w:w="868" w:type="dxa"/>
            <w:vAlign w:val="center"/>
          </w:tcPr>
          <w:p w:rsidR="009D2948" w:rsidRPr="009D2948" w:rsidRDefault="009D2948" w:rsidP="007A1A92">
            <w:pPr>
              <w:spacing w:before="20" w:after="20"/>
              <w:jc w:val="right"/>
              <w:rPr>
                <w:b/>
                <w:noProof/>
                <w:sz w:val="20"/>
              </w:rPr>
            </w:pPr>
          </w:p>
        </w:tc>
        <w:tc>
          <w:tcPr>
            <w:tcW w:w="1777" w:type="dxa"/>
            <w:vAlign w:val="center"/>
          </w:tcPr>
          <w:p w:rsidR="009D2948" w:rsidRPr="009D2948" w:rsidRDefault="009D2948" w:rsidP="007A1A92">
            <w:pPr>
              <w:spacing w:before="20" w:after="20"/>
              <w:jc w:val="right"/>
              <w:rPr>
                <w:b/>
                <w:noProof/>
                <w:sz w:val="20"/>
              </w:rPr>
            </w:pPr>
          </w:p>
        </w:tc>
      </w:tr>
    </w:tbl>
    <w:p w:rsidR="009D2948" w:rsidRPr="009D2948" w:rsidRDefault="009D2948" w:rsidP="009D2948">
      <w:pPr>
        <w:jc w:val="right"/>
        <w:rPr>
          <w:noProof/>
          <w:sz w:val="20"/>
        </w:rPr>
      </w:pPr>
      <w:r w:rsidRPr="009D2948">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9D2948" w:rsidRPr="009D2948" w:rsidTr="007A1A92">
        <w:tc>
          <w:tcPr>
            <w:tcW w:w="3960" w:type="dxa"/>
            <w:tcBorders>
              <w:top w:val="nil"/>
              <w:left w:val="nil"/>
              <w:right w:val="nil"/>
            </w:tcBorders>
            <w:vAlign w:val="center"/>
          </w:tcPr>
          <w:p w:rsidR="009D2948" w:rsidRPr="009D2948" w:rsidRDefault="009D2948" w:rsidP="007A1A92">
            <w:pPr>
              <w:jc w:val="center"/>
              <w:rPr>
                <w:noProof/>
              </w:rPr>
            </w:pPr>
          </w:p>
        </w:tc>
        <w:tc>
          <w:tcPr>
            <w:tcW w:w="1560" w:type="dxa"/>
            <w:tcBorders>
              <w:top w:val="nil"/>
              <w:left w:val="nil"/>
              <w:right w:val="nil"/>
            </w:tcBorders>
          </w:tcPr>
          <w:p w:rsidR="009D2948" w:rsidRPr="009D2948" w:rsidRDefault="009D2948" w:rsidP="007A1A92">
            <w:pPr>
              <w:rPr>
                <w:noProof/>
                <w:sz w:val="20"/>
              </w:rPr>
            </w:pPr>
          </w:p>
        </w:tc>
        <w:tc>
          <w:tcPr>
            <w:tcW w:w="534" w:type="dxa"/>
            <w:tcBorders>
              <w:top w:val="nil"/>
              <w:left w:val="nil"/>
            </w:tcBorders>
          </w:tcPr>
          <w:p w:rsidR="009D2948" w:rsidRPr="009D2948" w:rsidRDefault="009D2948" w:rsidP="007A1A92">
            <w:pPr>
              <w:jc w:val="center"/>
              <w:rPr>
                <w:noProof/>
                <w:sz w:val="20"/>
              </w:rPr>
            </w:pPr>
          </w:p>
        </w:tc>
        <w:tc>
          <w:tcPr>
            <w:tcW w:w="868" w:type="dxa"/>
            <w:vAlign w:val="center"/>
          </w:tcPr>
          <w:p w:rsidR="009D2948" w:rsidRPr="009D2948" w:rsidRDefault="009D2948" w:rsidP="007A1A92">
            <w:pPr>
              <w:jc w:val="center"/>
              <w:rPr>
                <w:noProof/>
                <w:sz w:val="20"/>
                <w:szCs w:val="20"/>
              </w:rPr>
            </w:pPr>
            <w:r w:rsidRPr="009D2948">
              <w:rPr>
                <w:sz w:val="20"/>
                <w:szCs w:val="20"/>
              </w:rPr>
              <w:t>Anul</w:t>
            </w:r>
            <w:r w:rsidRPr="009D2948">
              <w:rPr>
                <w:noProof/>
                <w:sz w:val="22"/>
              </w:rPr>
              <w:br/>
            </w:r>
            <w:r w:rsidRPr="009D2948">
              <w:rPr>
                <w:b/>
                <w:noProof/>
                <w:sz w:val="20"/>
                <w:szCs w:val="20"/>
              </w:rPr>
              <w:t>N</w:t>
            </w:r>
            <w:r w:rsidRPr="009D2948">
              <w:rPr>
                <w:rStyle w:val="FootnoteReference"/>
                <w:b/>
                <w:noProof/>
                <w:sz w:val="20"/>
                <w:szCs w:val="20"/>
              </w:rPr>
              <w:footnoteReference w:id="67"/>
            </w:r>
          </w:p>
        </w:tc>
        <w:tc>
          <w:tcPr>
            <w:tcW w:w="868" w:type="dxa"/>
            <w:vAlign w:val="center"/>
          </w:tcPr>
          <w:p w:rsidR="009D2948" w:rsidRPr="009D2948" w:rsidRDefault="009D2948" w:rsidP="007A1A92">
            <w:pPr>
              <w:jc w:val="center"/>
              <w:rPr>
                <w:noProof/>
                <w:sz w:val="20"/>
                <w:szCs w:val="20"/>
              </w:rPr>
            </w:pPr>
            <w:r w:rsidRPr="009D2948">
              <w:rPr>
                <w:sz w:val="20"/>
                <w:szCs w:val="20"/>
              </w:rPr>
              <w:t>Anul</w:t>
            </w:r>
            <w:r w:rsidRPr="009D2948">
              <w:rPr>
                <w:noProof/>
                <w:sz w:val="22"/>
              </w:rPr>
              <w:br/>
            </w:r>
            <w:r w:rsidRPr="009D2948">
              <w:rPr>
                <w:b/>
                <w:noProof/>
                <w:sz w:val="20"/>
                <w:szCs w:val="20"/>
              </w:rPr>
              <w:t>N+1</w:t>
            </w:r>
          </w:p>
        </w:tc>
        <w:tc>
          <w:tcPr>
            <w:tcW w:w="868" w:type="dxa"/>
            <w:vAlign w:val="center"/>
          </w:tcPr>
          <w:p w:rsidR="009D2948" w:rsidRPr="009D2948" w:rsidRDefault="009D2948" w:rsidP="007A1A92">
            <w:pPr>
              <w:jc w:val="center"/>
              <w:rPr>
                <w:noProof/>
                <w:sz w:val="20"/>
                <w:szCs w:val="20"/>
              </w:rPr>
            </w:pPr>
            <w:r w:rsidRPr="009D2948">
              <w:rPr>
                <w:sz w:val="20"/>
                <w:szCs w:val="20"/>
              </w:rPr>
              <w:t>Anul</w:t>
            </w:r>
            <w:r w:rsidRPr="009D2948">
              <w:rPr>
                <w:noProof/>
                <w:sz w:val="22"/>
              </w:rPr>
              <w:br/>
            </w:r>
            <w:r w:rsidRPr="009D2948">
              <w:rPr>
                <w:b/>
                <w:noProof/>
                <w:sz w:val="20"/>
                <w:szCs w:val="20"/>
              </w:rPr>
              <w:t>N+2</w:t>
            </w:r>
          </w:p>
        </w:tc>
        <w:tc>
          <w:tcPr>
            <w:tcW w:w="868" w:type="dxa"/>
            <w:vAlign w:val="center"/>
          </w:tcPr>
          <w:p w:rsidR="009D2948" w:rsidRPr="009D2948" w:rsidRDefault="009D2948" w:rsidP="007A1A92">
            <w:pPr>
              <w:jc w:val="center"/>
              <w:rPr>
                <w:noProof/>
                <w:sz w:val="20"/>
                <w:szCs w:val="20"/>
              </w:rPr>
            </w:pPr>
            <w:r w:rsidRPr="009D2948">
              <w:rPr>
                <w:sz w:val="20"/>
                <w:szCs w:val="20"/>
              </w:rPr>
              <w:t>Anul</w:t>
            </w:r>
            <w:r w:rsidRPr="009D2948">
              <w:rPr>
                <w:noProof/>
                <w:sz w:val="22"/>
              </w:rPr>
              <w:br/>
            </w:r>
            <w:r w:rsidRPr="009D2948">
              <w:rPr>
                <w:b/>
                <w:noProof/>
                <w:sz w:val="20"/>
                <w:szCs w:val="20"/>
              </w:rPr>
              <w:t>N+3</w:t>
            </w:r>
          </w:p>
        </w:tc>
        <w:tc>
          <w:tcPr>
            <w:tcW w:w="2604" w:type="dxa"/>
            <w:gridSpan w:val="3"/>
            <w:vAlign w:val="center"/>
          </w:tcPr>
          <w:p w:rsidR="009D2948" w:rsidRPr="009D2948" w:rsidRDefault="009D2948" w:rsidP="007A1A92">
            <w:pPr>
              <w:jc w:val="center"/>
              <w:rPr>
                <w:b/>
                <w:noProof/>
                <w:sz w:val="18"/>
              </w:rPr>
            </w:pPr>
            <w:r w:rsidRPr="009D2948">
              <w:rPr>
                <w:noProof/>
                <w:sz w:val="18"/>
              </w:rPr>
              <w:t>A se introduce atâția ani câți sunt considerați necesari pentru a reflecta durata impactului (cf. punctul 1.6)</w:t>
            </w:r>
          </w:p>
        </w:tc>
        <w:tc>
          <w:tcPr>
            <w:tcW w:w="1777" w:type="dxa"/>
            <w:vAlign w:val="center"/>
          </w:tcPr>
          <w:p w:rsidR="009D2948" w:rsidRPr="009D2948" w:rsidRDefault="009D2948" w:rsidP="007A1A92">
            <w:pPr>
              <w:jc w:val="center"/>
              <w:rPr>
                <w:b/>
                <w:noProof/>
                <w:sz w:val="20"/>
              </w:rPr>
            </w:pPr>
            <w:r w:rsidRPr="009D2948">
              <w:rPr>
                <w:b/>
                <w:noProof/>
                <w:sz w:val="20"/>
              </w:rPr>
              <w:t>TOTAL</w:t>
            </w:r>
          </w:p>
        </w:tc>
      </w:tr>
      <w:tr w:rsidR="009D2948" w:rsidRPr="009D2948" w:rsidTr="007A1A92">
        <w:tc>
          <w:tcPr>
            <w:tcW w:w="3960" w:type="dxa"/>
            <w:vMerge w:val="restart"/>
            <w:shd w:val="clear" w:color="auto" w:fill="C0C0C0"/>
            <w:vAlign w:val="center"/>
          </w:tcPr>
          <w:p w:rsidR="009D2948" w:rsidRPr="009D2948" w:rsidRDefault="009D2948" w:rsidP="007A1A92">
            <w:pPr>
              <w:jc w:val="center"/>
              <w:rPr>
                <w:b/>
                <w:noProof/>
              </w:rPr>
            </w:pPr>
            <w:r w:rsidRPr="009D2948">
              <w:rPr>
                <w:b/>
                <w:sz w:val="22"/>
              </w:rPr>
              <w:t>TOTAL credite</w:t>
            </w:r>
            <w:r w:rsidRPr="009D2948">
              <w:rPr>
                <w:noProof/>
                <w:sz w:val="22"/>
              </w:rPr>
              <w:br/>
            </w:r>
            <w:r w:rsidRPr="009D2948">
              <w:rPr>
                <w:b/>
                <w:noProof/>
                <w:sz w:val="22"/>
              </w:rPr>
              <w:t>în cadrul RUBRICILOR 1-5</w:t>
            </w:r>
            <w:r w:rsidRPr="009D2948">
              <w:rPr>
                <w:noProof/>
                <w:sz w:val="22"/>
              </w:rPr>
              <w:br/>
              <w:t>din cadrul financiar multianual</w:t>
            </w:r>
            <w:r w:rsidRPr="009D2948">
              <w:rPr>
                <w:b/>
                <w:noProof/>
                <w:sz w:val="22"/>
              </w:rPr>
              <w:t xml:space="preserve"> </w:t>
            </w:r>
          </w:p>
        </w:tc>
        <w:tc>
          <w:tcPr>
            <w:tcW w:w="2094" w:type="dxa"/>
            <w:gridSpan w:val="2"/>
            <w:vAlign w:val="center"/>
          </w:tcPr>
          <w:p w:rsidR="009D2948" w:rsidRPr="009D2948" w:rsidRDefault="009D2948" w:rsidP="007A1A92">
            <w:pPr>
              <w:rPr>
                <w:noProof/>
                <w:sz w:val="14"/>
              </w:rPr>
            </w:pPr>
            <w:r w:rsidRPr="009D2948">
              <w:rPr>
                <w:noProof/>
                <w:sz w:val="18"/>
              </w:rPr>
              <w:t>Angajamente</w:t>
            </w:r>
          </w:p>
        </w:tc>
        <w:tc>
          <w:tcPr>
            <w:tcW w:w="868" w:type="dxa"/>
            <w:vAlign w:val="center"/>
          </w:tcPr>
          <w:p w:rsidR="009D2948" w:rsidRPr="009D2948" w:rsidRDefault="009D2948" w:rsidP="007A1A92">
            <w:pPr>
              <w:spacing w:before="60" w:after="60"/>
              <w:jc w:val="right"/>
              <w:rPr>
                <w:noProof/>
                <w:sz w:val="20"/>
                <w:highlight w:val="yellow"/>
              </w:rPr>
            </w:pPr>
          </w:p>
        </w:tc>
        <w:tc>
          <w:tcPr>
            <w:tcW w:w="868" w:type="dxa"/>
            <w:vAlign w:val="center"/>
          </w:tcPr>
          <w:p w:rsidR="009D2948" w:rsidRPr="009D2948" w:rsidRDefault="009D2948" w:rsidP="007A1A92">
            <w:pPr>
              <w:spacing w:before="60" w:after="60"/>
              <w:jc w:val="right"/>
              <w:rPr>
                <w:noProof/>
                <w:sz w:val="20"/>
                <w:highlight w:val="yellow"/>
              </w:rPr>
            </w:pPr>
          </w:p>
        </w:tc>
        <w:tc>
          <w:tcPr>
            <w:tcW w:w="868" w:type="dxa"/>
            <w:vAlign w:val="center"/>
          </w:tcPr>
          <w:p w:rsidR="009D2948" w:rsidRPr="009D2948" w:rsidRDefault="009D2948" w:rsidP="007A1A92">
            <w:pPr>
              <w:spacing w:before="60" w:after="60"/>
              <w:jc w:val="right"/>
              <w:rPr>
                <w:noProof/>
                <w:sz w:val="20"/>
                <w:highlight w:val="yellow"/>
              </w:rPr>
            </w:pPr>
          </w:p>
        </w:tc>
        <w:tc>
          <w:tcPr>
            <w:tcW w:w="868" w:type="dxa"/>
            <w:vAlign w:val="center"/>
          </w:tcPr>
          <w:p w:rsidR="009D2948" w:rsidRPr="009D2948" w:rsidRDefault="009D2948" w:rsidP="007A1A92">
            <w:pPr>
              <w:spacing w:before="60" w:after="60"/>
              <w:jc w:val="right"/>
              <w:rPr>
                <w:noProof/>
                <w:sz w:val="20"/>
              </w:rPr>
            </w:pPr>
          </w:p>
        </w:tc>
        <w:tc>
          <w:tcPr>
            <w:tcW w:w="868" w:type="dxa"/>
            <w:vAlign w:val="center"/>
          </w:tcPr>
          <w:p w:rsidR="009D2948" w:rsidRPr="009D2948" w:rsidRDefault="009D2948" w:rsidP="007A1A92">
            <w:pPr>
              <w:spacing w:before="60" w:after="60"/>
              <w:jc w:val="right"/>
              <w:rPr>
                <w:noProof/>
                <w:sz w:val="20"/>
              </w:rPr>
            </w:pPr>
          </w:p>
        </w:tc>
        <w:tc>
          <w:tcPr>
            <w:tcW w:w="868" w:type="dxa"/>
            <w:vAlign w:val="center"/>
          </w:tcPr>
          <w:p w:rsidR="009D2948" w:rsidRPr="009D2948" w:rsidRDefault="009D2948" w:rsidP="007A1A92">
            <w:pPr>
              <w:spacing w:before="60" w:after="60"/>
              <w:jc w:val="right"/>
              <w:rPr>
                <w:noProof/>
                <w:sz w:val="20"/>
              </w:rPr>
            </w:pPr>
          </w:p>
        </w:tc>
        <w:tc>
          <w:tcPr>
            <w:tcW w:w="868" w:type="dxa"/>
            <w:vAlign w:val="center"/>
          </w:tcPr>
          <w:p w:rsidR="009D2948" w:rsidRPr="009D2948" w:rsidRDefault="009D2948" w:rsidP="007A1A92">
            <w:pPr>
              <w:spacing w:before="60" w:after="60"/>
              <w:jc w:val="right"/>
              <w:rPr>
                <w:b/>
                <w:noProof/>
                <w:sz w:val="20"/>
              </w:rPr>
            </w:pPr>
          </w:p>
        </w:tc>
        <w:tc>
          <w:tcPr>
            <w:tcW w:w="1777" w:type="dxa"/>
            <w:vAlign w:val="center"/>
          </w:tcPr>
          <w:p w:rsidR="009D2948" w:rsidRPr="009D2948" w:rsidRDefault="009D2948" w:rsidP="007A1A92">
            <w:pPr>
              <w:spacing w:before="60" w:after="60"/>
              <w:jc w:val="right"/>
              <w:rPr>
                <w:b/>
                <w:noProof/>
                <w:sz w:val="20"/>
              </w:rPr>
            </w:pPr>
          </w:p>
        </w:tc>
      </w:tr>
      <w:tr w:rsidR="009D2948" w:rsidRPr="009D2948" w:rsidTr="007A1A92">
        <w:tc>
          <w:tcPr>
            <w:tcW w:w="3960" w:type="dxa"/>
            <w:vMerge/>
            <w:shd w:val="clear" w:color="auto" w:fill="C0C0C0"/>
          </w:tcPr>
          <w:p w:rsidR="009D2948" w:rsidRPr="009D2948" w:rsidRDefault="009D2948" w:rsidP="007A1A92">
            <w:pPr>
              <w:rPr>
                <w:noProof/>
                <w:sz w:val="20"/>
              </w:rPr>
            </w:pPr>
          </w:p>
        </w:tc>
        <w:tc>
          <w:tcPr>
            <w:tcW w:w="2094" w:type="dxa"/>
            <w:gridSpan w:val="2"/>
            <w:vAlign w:val="center"/>
          </w:tcPr>
          <w:p w:rsidR="009D2948" w:rsidRPr="009D2948" w:rsidRDefault="009D2948" w:rsidP="007A1A92">
            <w:pPr>
              <w:rPr>
                <w:noProof/>
                <w:sz w:val="14"/>
              </w:rPr>
            </w:pPr>
            <w:r w:rsidRPr="009D2948">
              <w:rPr>
                <w:noProof/>
                <w:sz w:val="18"/>
              </w:rPr>
              <w:t>Plăți</w:t>
            </w:r>
          </w:p>
        </w:tc>
        <w:tc>
          <w:tcPr>
            <w:tcW w:w="868" w:type="dxa"/>
            <w:vAlign w:val="center"/>
          </w:tcPr>
          <w:p w:rsidR="009D2948" w:rsidRPr="009D2948" w:rsidRDefault="009D2948" w:rsidP="007A1A92">
            <w:pPr>
              <w:spacing w:before="60" w:after="60"/>
              <w:jc w:val="right"/>
              <w:rPr>
                <w:noProof/>
                <w:sz w:val="20"/>
                <w:highlight w:val="yellow"/>
              </w:rPr>
            </w:pPr>
          </w:p>
        </w:tc>
        <w:tc>
          <w:tcPr>
            <w:tcW w:w="868" w:type="dxa"/>
            <w:vAlign w:val="center"/>
          </w:tcPr>
          <w:p w:rsidR="009D2948" w:rsidRPr="009D2948" w:rsidRDefault="009D2948" w:rsidP="007A1A92">
            <w:pPr>
              <w:spacing w:before="60" w:after="60"/>
              <w:jc w:val="right"/>
              <w:rPr>
                <w:noProof/>
                <w:sz w:val="20"/>
                <w:highlight w:val="yellow"/>
              </w:rPr>
            </w:pPr>
          </w:p>
        </w:tc>
        <w:tc>
          <w:tcPr>
            <w:tcW w:w="868" w:type="dxa"/>
            <w:vAlign w:val="center"/>
          </w:tcPr>
          <w:p w:rsidR="009D2948" w:rsidRPr="009D2948" w:rsidRDefault="009D2948" w:rsidP="007A1A92">
            <w:pPr>
              <w:spacing w:before="60" w:after="60"/>
              <w:jc w:val="right"/>
              <w:rPr>
                <w:noProof/>
                <w:sz w:val="20"/>
                <w:highlight w:val="yellow"/>
              </w:rPr>
            </w:pPr>
          </w:p>
        </w:tc>
        <w:tc>
          <w:tcPr>
            <w:tcW w:w="868" w:type="dxa"/>
            <w:vAlign w:val="center"/>
          </w:tcPr>
          <w:p w:rsidR="009D2948" w:rsidRPr="009D2948" w:rsidRDefault="009D2948" w:rsidP="007A1A92">
            <w:pPr>
              <w:spacing w:before="60" w:after="60"/>
              <w:jc w:val="right"/>
              <w:rPr>
                <w:noProof/>
                <w:sz w:val="20"/>
              </w:rPr>
            </w:pPr>
          </w:p>
        </w:tc>
        <w:tc>
          <w:tcPr>
            <w:tcW w:w="868" w:type="dxa"/>
            <w:vAlign w:val="center"/>
          </w:tcPr>
          <w:p w:rsidR="009D2948" w:rsidRPr="009D2948" w:rsidRDefault="009D2948" w:rsidP="007A1A92">
            <w:pPr>
              <w:spacing w:before="60" w:after="60"/>
              <w:jc w:val="right"/>
              <w:rPr>
                <w:noProof/>
                <w:sz w:val="20"/>
              </w:rPr>
            </w:pPr>
          </w:p>
        </w:tc>
        <w:tc>
          <w:tcPr>
            <w:tcW w:w="868" w:type="dxa"/>
            <w:vAlign w:val="center"/>
          </w:tcPr>
          <w:p w:rsidR="009D2948" w:rsidRPr="009D2948" w:rsidRDefault="009D2948" w:rsidP="007A1A92">
            <w:pPr>
              <w:spacing w:before="60" w:after="60"/>
              <w:jc w:val="right"/>
              <w:rPr>
                <w:noProof/>
                <w:sz w:val="20"/>
              </w:rPr>
            </w:pPr>
          </w:p>
        </w:tc>
        <w:tc>
          <w:tcPr>
            <w:tcW w:w="868" w:type="dxa"/>
            <w:vAlign w:val="center"/>
          </w:tcPr>
          <w:p w:rsidR="009D2948" w:rsidRPr="009D2948" w:rsidRDefault="009D2948" w:rsidP="007A1A92">
            <w:pPr>
              <w:spacing w:before="60" w:after="60"/>
              <w:jc w:val="right"/>
              <w:rPr>
                <w:b/>
                <w:noProof/>
                <w:sz w:val="20"/>
              </w:rPr>
            </w:pPr>
          </w:p>
        </w:tc>
        <w:tc>
          <w:tcPr>
            <w:tcW w:w="1777" w:type="dxa"/>
            <w:vAlign w:val="center"/>
          </w:tcPr>
          <w:p w:rsidR="009D2948" w:rsidRPr="009D2948" w:rsidRDefault="009D2948" w:rsidP="007A1A92">
            <w:pPr>
              <w:spacing w:before="60" w:after="60"/>
              <w:jc w:val="right"/>
              <w:rPr>
                <w:b/>
                <w:noProof/>
                <w:sz w:val="20"/>
              </w:rPr>
            </w:pPr>
          </w:p>
        </w:tc>
      </w:tr>
    </w:tbl>
    <w:p w:rsidR="009D2948" w:rsidRPr="009D2948" w:rsidRDefault="009D2948" w:rsidP="009D2948">
      <w:pPr>
        <w:rPr>
          <w:noProof/>
        </w:rPr>
        <w:sectPr w:rsidR="009D2948" w:rsidRPr="009D2948" w:rsidSect="006B1E4D">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rsidR="009D2948" w:rsidRPr="009D2948" w:rsidRDefault="009D2948" w:rsidP="009D2948">
      <w:pPr>
        <w:pStyle w:val="ManualHeading3"/>
        <w:rPr>
          <w:bCs/>
          <w:noProof/>
          <w:szCs w:val="24"/>
        </w:rPr>
      </w:pPr>
      <w:r w:rsidRPr="009D2948">
        <w:lastRenderedPageBreak/>
        <w:t>3.2.2.</w:t>
      </w:r>
      <w:r w:rsidRPr="009D2948">
        <w:tab/>
        <w:t xml:space="preserve">Impactul estimat asupra creditelor operaționale </w:t>
      </w:r>
    </w:p>
    <w:p w:rsidR="009D2948" w:rsidRPr="009D2948" w:rsidRDefault="009D2948" w:rsidP="009D2948">
      <w:pPr>
        <w:pStyle w:val="ListDash1"/>
        <w:rPr>
          <w:noProof/>
        </w:rPr>
      </w:pPr>
      <w:r w:rsidRPr="009D2948">
        <w:rPr>
          <w:noProof/>
        </w:rPr>
        <w:sym w:font="Wingdings" w:char="F0A8"/>
      </w:r>
      <w:r w:rsidRPr="009D2948">
        <w:tab/>
        <w:t xml:space="preserve">Propunerea/inițiativa nu implică utilizarea de credite operaționale </w:t>
      </w:r>
    </w:p>
    <w:p w:rsidR="009D2948" w:rsidRPr="009D2948" w:rsidRDefault="009D2948" w:rsidP="009D2948">
      <w:pPr>
        <w:pStyle w:val="ListDash1"/>
        <w:rPr>
          <w:noProof/>
        </w:rPr>
      </w:pPr>
      <w:r w:rsidRPr="009D2948">
        <w:rPr>
          <w:noProof/>
        </w:rPr>
        <w:sym w:font="Wingdings" w:char="F0A8"/>
      </w:r>
      <w:r w:rsidRPr="009D2948">
        <w:tab/>
        <w:t>Propunerea/inițiativa implică utilizarea de credite operaționale, conform explicațiilor de mai jos:</w:t>
      </w:r>
    </w:p>
    <w:p w:rsidR="009D2948" w:rsidRPr="009D2948" w:rsidRDefault="009D2948" w:rsidP="009D2948">
      <w:pPr>
        <w:jc w:val="right"/>
        <w:rPr>
          <w:noProof/>
          <w:sz w:val="20"/>
        </w:rPr>
      </w:pPr>
      <w:r w:rsidRPr="009D2948">
        <w:rPr>
          <w:noProof/>
          <w:sz w:val="20"/>
        </w:rPr>
        <w:t>Credite de angajament în milioane EUR (cu trei zecimale)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9D2948" w:rsidRPr="009D2948" w:rsidTr="007A1A92">
        <w:trPr>
          <w:jc w:val="center"/>
        </w:trPr>
        <w:tc>
          <w:tcPr>
            <w:tcW w:w="1423" w:type="dxa"/>
            <w:vMerge w:val="restart"/>
            <w:vAlign w:val="center"/>
          </w:tcPr>
          <w:p w:rsidR="009D2948" w:rsidRPr="009D2948" w:rsidRDefault="009D2948" w:rsidP="007A1A92">
            <w:pPr>
              <w:ind w:right="-29"/>
              <w:jc w:val="center"/>
              <w:rPr>
                <w:b/>
                <w:noProof/>
                <w:sz w:val="18"/>
                <w:szCs w:val="18"/>
              </w:rPr>
            </w:pPr>
            <w:r w:rsidRPr="009D2948">
              <w:rPr>
                <w:b/>
                <w:noProof/>
                <w:sz w:val="18"/>
              </w:rPr>
              <w:t xml:space="preserve">A se indica obiectivele și realizările </w:t>
            </w:r>
          </w:p>
          <w:p w:rsidR="009D2948" w:rsidRPr="009D2948" w:rsidRDefault="009D2948" w:rsidP="007A1A92">
            <w:pPr>
              <w:ind w:right="-29"/>
              <w:jc w:val="center"/>
              <w:rPr>
                <w:b/>
                <w:noProof/>
                <w:sz w:val="18"/>
                <w:szCs w:val="18"/>
              </w:rPr>
            </w:pPr>
          </w:p>
          <w:p w:rsidR="009D2948" w:rsidRPr="009D2948" w:rsidRDefault="009D2948" w:rsidP="007A1A92">
            <w:pPr>
              <w:ind w:right="-29"/>
              <w:jc w:val="center"/>
              <w:rPr>
                <w:noProof/>
                <w:sz w:val="18"/>
                <w:szCs w:val="18"/>
              </w:rPr>
            </w:pPr>
            <w:r w:rsidRPr="009D2948">
              <w:rPr>
                <w:noProof/>
                <w:sz w:val="18"/>
              </w:rPr>
              <w:sym w:font="Wingdings" w:char="F0F2"/>
            </w:r>
          </w:p>
        </w:tc>
        <w:tc>
          <w:tcPr>
            <w:tcW w:w="720" w:type="dxa"/>
            <w:vAlign w:val="center"/>
          </w:tcPr>
          <w:p w:rsidR="009D2948" w:rsidRPr="009D2948" w:rsidRDefault="009D2948" w:rsidP="007A1A92">
            <w:pPr>
              <w:ind w:right="-29"/>
              <w:jc w:val="center"/>
              <w:rPr>
                <w:noProof/>
                <w:sz w:val="18"/>
                <w:szCs w:val="18"/>
              </w:rPr>
            </w:pPr>
          </w:p>
        </w:tc>
        <w:tc>
          <w:tcPr>
            <w:tcW w:w="701" w:type="dxa"/>
            <w:vAlign w:val="center"/>
          </w:tcPr>
          <w:p w:rsidR="009D2948" w:rsidRPr="009D2948" w:rsidRDefault="009D2948" w:rsidP="007A1A92">
            <w:pPr>
              <w:ind w:right="-29"/>
              <w:jc w:val="center"/>
              <w:rPr>
                <w:noProof/>
                <w:sz w:val="18"/>
                <w:szCs w:val="18"/>
              </w:rPr>
            </w:pPr>
          </w:p>
        </w:tc>
        <w:tc>
          <w:tcPr>
            <w:tcW w:w="1224" w:type="dxa"/>
            <w:gridSpan w:val="2"/>
            <w:tcBorders>
              <w:left w:val="nil"/>
            </w:tcBorders>
            <w:vAlign w:val="center"/>
          </w:tcPr>
          <w:p w:rsidR="009D2948" w:rsidRPr="009D2948" w:rsidRDefault="009D2948" w:rsidP="007A1A92">
            <w:pPr>
              <w:ind w:right="-29"/>
              <w:jc w:val="center"/>
              <w:rPr>
                <w:noProof/>
                <w:sz w:val="18"/>
                <w:szCs w:val="18"/>
              </w:rPr>
            </w:pPr>
            <w:r w:rsidRPr="009D2948">
              <w:rPr>
                <w:sz w:val="18"/>
                <w:szCs w:val="18"/>
              </w:rPr>
              <w:t>Anul</w:t>
            </w:r>
            <w:r w:rsidRPr="009D2948">
              <w:rPr>
                <w:noProof/>
                <w:sz w:val="22"/>
              </w:rPr>
              <w:br/>
            </w:r>
            <w:r w:rsidRPr="009D2948">
              <w:rPr>
                <w:b/>
                <w:noProof/>
                <w:sz w:val="18"/>
                <w:szCs w:val="18"/>
              </w:rPr>
              <w:t>N</w:t>
            </w:r>
          </w:p>
        </w:tc>
        <w:tc>
          <w:tcPr>
            <w:tcW w:w="1260" w:type="dxa"/>
            <w:gridSpan w:val="2"/>
            <w:vAlign w:val="center"/>
          </w:tcPr>
          <w:p w:rsidR="009D2948" w:rsidRPr="009D2948" w:rsidRDefault="009D2948" w:rsidP="007A1A92">
            <w:pPr>
              <w:ind w:right="-29"/>
              <w:jc w:val="center"/>
              <w:rPr>
                <w:noProof/>
                <w:sz w:val="18"/>
                <w:szCs w:val="18"/>
              </w:rPr>
            </w:pPr>
            <w:r w:rsidRPr="009D2948">
              <w:rPr>
                <w:sz w:val="18"/>
                <w:szCs w:val="18"/>
              </w:rPr>
              <w:t>Anul</w:t>
            </w:r>
            <w:r w:rsidRPr="009D2948">
              <w:rPr>
                <w:noProof/>
                <w:sz w:val="22"/>
              </w:rPr>
              <w:br/>
            </w:r>
            <w:r w:rsidRPr="009D2948">
              <w:rPr>
                <w:b/>
                <w:noProof/>
                <w:sz w:val="18"/>
                <w:szCs w:val="18"/>
              </w:rPr>
              <w:t>N+1</w:t>
            </w:r>
          </w:p>
        </w:tc>
        <w:tc>
          <w:tcPr>
            <w:tcW w:w="1440" w:type="dxa"/>
            <w:gridSpan w:val="2"/>
            <w:vAlign w:val="center"/>
          </w:tcPr>
          <w:p w:rsidR="009D2948" w:rsidRPr="009D2948" w:rsidRDefault="009D2948" w:rsidP="007A1A92">
            <w:pPr>
              <w:ind w:right="-29"/>
              <w:jc w:val="center"/>
              <w:rPr>
                <w:noProof/>
                <w:sz w:val="18"/>
                <w:szCs w:val="18"/>
              </w:rPr>
            </w:pPr>
            <w:r w:rsidRPr="009D2948">
              <w:rPr>
                <w:sz w:val="18"/>
                <w:szCs w:val="18"/>
              </w:rPr>
              <w:t>Anul</w:t>
            </w:r>
            <w:r w:rsidRPr="009D2948">
              <w:rPr>
                <w:noProof/>
                <w:sz w:val="22"/>
              </w:rPr>
              <w:br/>
            </w:r>
            <w:r w:rsidRPr="009D2948">
              <w:rPr>
                <w:b/>
                <w:noProof/>
                <w:sz w:val="18"/>
                <w:szCs w:val="18"/>
              </w:rPr>
              <w:t>N+2</w:t>
            </w:r>
          </w:p>
        </w:tc>
        <w:tc>
          <w:tcPr>
            <w:tcW w:w="1620" w:type="dxa"/>
            <w:gridSpan w:val="3"/>
            <w:vAlign w:val="center"/>
          </w:tcPr>
          <w:p w:rsidR="009D2948" w:rsidRPr="009D2948" w:rsidRDefault="009D2948" w:rsidP="007A1A92">
            <w:pPr>
              <w:ind w:right="-29"/>
              <w:jc w:val="center"/>
              <w:rPr>
                <w:noProof/>
                <w:sz w:val="18"/>
                <w:szCs w:val="18"/>
              </w:rPr>
            </w:pPr>
            <w:r w:rsidRPr="009D2948">
              <w:rPr>
                <w:sz w:val="18"/>
                <w:szCs w:val="18"/>
              </w:rPr>
              <w:t>Anul</w:t>
            </w:r>
            <w:r w:rsidRPr="009D2948">
              <w:rPr>
                <w:noProof/>
                <w:sz w:val="22"/>
              </w:rPr>
              <w:br/>
            </w:r>
            <w:r w:rsidRPr="009D2948">
              <w:rPr>
                <w:b/>
                <w:noProof/>
                <w:sz w:val="18"/>
                <w:szCs w:val="18"/>
              </w:rPr>
              <w:t>N+3</w:t>
            </w:r>
          </w:p>
        </w:tc>
        <w:tc>
          <w:tcPr>
            <w:tcW w:w="3600" w:type="dxa"/>
            <w:gridSpan w:val="6"/>
            <w:vAlign w:val="center"/>
          </w:tcPr>
          <w:p w:rsidR="009D2948" w:rsidRPr="009D2948" w:rsidRDefault="009D2948" w:rsidP="007A1A92">
            <w:pPr>
              <w:jc w:val="center"/>
              <w:rPr>
                <w:noProof/>
                <w:sz w:val="18"/>
                <w:szCs w:val="18"/>
              </w:rPr>
            </w:pPr>
            <w:r w:rsidRPr="009D2948">
              <w:rPr>
                <w:noProof/>
                <w:sz w:val="18"/>
              </w:rPr>
              <w:t>A se introduce atâția ani câți sunt considerați necesari pentru a reflecta durata impactului (cf. punctul 1.6)</w:t>
            </w:r>
          </w:p>
        </w:tc>
        <w:tc>
          <w:tcPr>
            <w:tcW w:w="1620" w:type="dxa"/>
            <w:gridSpan w:val="2"/>
            <w:tcBorders>
              <w:left w:val="nil"/>
              <w:bottom w:val="nil"/>
            </w:tcBorders>
            <w:vAlign w:val="center"/>
          </w:tcPr>
          <w:p w:rsidR="009D2948" w:rsidRPr="009D2948" w:rsidRDefault="009D2948" w:rsidP="007A1A92">
            <w:pPr>
              <w:ind w:right="-29"/>
              <w:jc w:val="center"/>
              <w:rPr>
                <w:noProof/>
                <w:sz w:val="18"/>
                <w:szCs w:val="18"/>
              </w:rPr>
            </w:pPr>
            <w:r w:rsidRPr="009D2948">
              <w:rPr>
                <w:b/>
                <w:noProof/>
                <w:sz w:val="18"/>
              </w:rPr>
              <w:t>TOTAL</w:t>
            </w:r>
          </w:p>
        </w:tc>
      </w:tr>
      <w:tr w:rsidR="009D2948" w:rsidRPr="009D2948" w:rsidTr="007A1A92">
        <w:trPr>
          <w:jc w:val="center"/>
        </w:trPr>
        <w:tc>
          <w:tcPr>
            <w:tcW w:w="1423" w:type="dxa"/>
            <w:vMerge/>
            <w:vAlign w:val="center"/>
          </w:tcPr>
          <w:p w:rsidR="009D2948" w:rsidRPr="009D2948" w:rsidRDefault="009D2948" w:rsidP="007A1A92">
            <w:pPr>
              <w:ind w:right="-29"/>
              <w:jc w:val="center"/>
              <w:rPr>
                <w:noProof/>
                <w:sz w:val="18"/>
                <w:szCs w:val="18"/>
              </w:rPr>
            </w:pPr>
          </w:p>
        </w:tc>
        <w:tc>
          <w:tcPr>
            <w:tcW w:w="12185" w:type="dxa"/>
            <w:gridSpan w:val="19"/>
            <w:vAlign w:val="center"/>
          </w:tcPr>
          <w:p w:rsidR="009D2948" w:rsidRPr="009D2948" w:rsidRDefault="009D2948" w:rsidP="007A1A92">
            <w:pPr>
              <w:spacing w:before="60" w:after="60"/>
              <w:ind w:right="-29"/>
              <w:jc w:val="center"/>
              <w:rPr>
                <w:noProof/>
                <w:sz w:val="18"/>
                <w:szCs w:val="18"/>
              </w:rPr>
            </w:pPr>
            <w:r w:rsidRPr="009D2948">
              <w:rPr>
                <w:b/>
                <w:noProof/>
                <w:sz w:val="18"/>
              </w:rPr>
              <w:t>REALIZĂRI</w:t>
            </w:r>
          </w:p>
        </w:tc>
      </w:tr>
      <w:tr w:rsidR="009D2948" w:rsidRPr="009D2948" w:rsidTr="007A1A92">
        <w:trPr>
          <w:cantSplit/>
          <w:trHeight w:val="1134"/>
          <w:jc w:val="center"/>
        </w:trPr>
        <w:tc>
          <w:tcPr>
            <w:tcW w:w="1423" w:type="dxa"/>
            <w:vMerge/>
            <w:vAlign w:val="center"/>
          </w:tcPr>
          <w:p w:rsidR="009D2948" w:rsidRPr="009D2948" w:rsidRDefault="009D2948" w:rsidP="007A1A92">
            <w:pPr>
              <w:rPr>
                <w:noProof/>
                <w:sz w:val="18"/>
                <w:szCs w:val="18"/>
              </w:rPr>
            </w:pPr>
          </w:p>
        </w:tc>
        <w:tc>
          <w:tcPr>
            <w:tcW w:w="720" w:type="dxa"/>
            <w:vAlign w:val="center"/>
          </w:tcPr>
          <w:p w:rsidR="009D2948" w:rsidRPr="009D2948" w:rsidRDefault="009D2948" w:rsidP="007A1A92">
            <w:pPr>
              <w:jc w:val="center"/>
              <w:rPr>
                <w:noProof/>
                <w:sz w:val="18"/>
                <w:szCs w:val="18"/>
              </w:rPr>
            </w:pPr>
            <w:r w:rsidRPr="009D2948">
              <w:rPr>
                <w:noProof/>
                <w:sz w:val="18"/>
              </w:rPr>
              <w:t>Tip</w:t>
            </w:r>
            <w:r w:rsidRPr="009D2948">
              <w:rPr>
                <w:rStyle w:val="FootnoteReference"/>
                <w:noProof/>
                <w:sz w:val="18"/>
              </w:rPr>
              <w:footnoteReference w:id="68"/>
            </w:r>
          </w:p>
          <w:p w:rsidR="009D2948" w:rsidRPr="009D2948" w:rsidRDefault="009D2948" w:rsidP="007A1A92">
            <w:pPr>
              <w:spacing w:before="0" w:after="0"/>
              <w:jc w:val="center"/>
              <w:rPr>
                <w:noProof/>
                <w:sz w:val="18"/>
                <w:szCs w:val="18"/>
              </w:rPr>
            </w:pPr>
          </w:p>
        </w:tc>
        <w:tc>
          <w:tcPr>
            <w:tcW w:w="701" w:type="dxa"/>
            <w:vAlign w:val="center"/>
          </w:tcPr>
          <w:p w:rsidR="009D2948" w:rsidRPr="009D2948" w:rsidRDefault="009D2948" w:rsidP="007A1A92">
            <w:pPr>
              <w:jc w:val="center"/>
              <w:rPr>
                <w:noProof/>
                <w:sz w:val="18"/>
                <w:szCs w:val="18"/>
              </w:rPr>
            </w:pPr>
            <w:r w:rsidRPr="009D2948">
              <w:rPr>
                <w:noProof/>
                <w:sz w:val="18"/>
              </w:rPr>
              <w:t>Costuri medii</w:t>
            </w:r>
          </w:p>
        </w:tc>
        <w:tc>
          <w:tcPr>
            <w:tcW w:w="504" w:type="dxa"/>
            <w:tcBorders>
              <w:left w:val="nil"/>
              <w:right w:val="dashSmallGap" w:sz="4" w:space="0" w:color="auto"/>
            </w:tcBorders>
            <w:shd w:val="pct10" w:color="auto" w:fill="auto"/>
            <w:textDirection w:val="btLr"/>
            <w:vAlign w:val="center"/>
          </w:tcPr>
          <w:p w:rsidR="009D2948" w:rsidRPr="009D2948" w:rsidRDefault="009D2948" w:rsidP="007A1A92">
            <w:pPr>
              <w:ind w:left="113" w:right="113"/>
              <w:jc w:val="center"/>
              <w:rPr>
                <w:noProof/>
                <w:sz w:val="18"/>
                <w:szCs w:val="18"/>
              </w:rPr>
            </w:pPr>
            <w:r w:rsidRPr="009D2948">
              <w:rPr>
                <w:noProof/>
                <w:sz w:val="18"/>
              </w:rPr>
              <w:t>Nr.</w:t>
            </w:r>
          </w:p>
        </w:tc>
        <w:tc>
          <w:tcPr>
            <w:tcW w:w="720" w:type="dxa"/>
            <w:tcBorders>
              <w:left w:val="dashSmallGap" w:sz="4" w:space="0" w:color="auto"/>
            </w:tcBorders>
            <w:shd w:val="pct10" w:color="auto" w:fill="auto"/>
            <w:vAlign w:val="center"/>
          </w:tcPr>
          <w:p w:rsidR="009D2948" w:rsidRPr="009D2948" w:rsidRDefault="009D2948" w:rsidP="007A1A92">
            <w:pPr>
              <w:jc w:val="center"/>
              <w:rPr>
                <w:noProof/>
                <w:sz w:val="18"/>
                <w:szCs w:val="18"/>
              </w:rPr>
            </w:pPr>
            <w:r w:rsidRPr="009D2948">
              <w:rPr>
                <w:noProof/>
                <w:sz w:val="18"/>
              </w:rPr>
              <w:t>Costuri</w:t>
            </w:r>
          </w:p>
        </w:tc>
        <w:tc>
          <w:tcPr>
            <w:tcW w:w="540" w:type="dxa"/>
            <w:tcBorders>
              <w:right w:val="dashSmallGap" w:sz="4" w:space="0" w:color="auto"/>
            </w:tcBorders>
            <w:shd w:val="pct10" w:color="auto" w:fill="auto"/>
            <w:textDirection w:val="btLr"/>
            <w:vAlign w:val="center"/>
          </w:tcPr>
          <w:p w:rsidR="009D2948" w:rsidRPr="009D2948" w:rsidRDefault="009D2948" w:rsidP="007A1A92">
            <w:pPr>
              <w:ind w:left="113" w:right="113"/>
              <w:jc w:val="center"/>
              <w:rPr>
                <w:noProof/>
                <w:sz w:val="18"/>
                <w:szCs w:val="18"/>
              </w:rPr>
            </w:pPr>
            <w:r w:rsidRPr="009D2948">
              <w:rPr>
                <w:noProof/>
                <w:sz w:val="18"/>
              </w:rPr>
              <w:t>Nr.</w:t>
            </w:r>
          </w:p>
        </w:tc>
        <w:tc>
          <w:tcPr>
            <w:tcW w:w="720" w:type="dxa"/>
            <w:tcBorders>
              <w:left w:val="dashSmallGap" w:sz="4" w:space="0" w:color="auto"/>
            </w:tcBorders>
            <w:shd w:val="pct10" w:color="auto" w:fill="auto"/>
            <w:vAlign w:val="center"/>
          </w:tcPr>
          <w:p w:rsidR="009D2948" w:rsidRPr="009D2948" w:rsidRDefault="009D2948" w:rsidP="007A1A92">
            <w:pPr>
              <w:jc w:val="center"/>
              <w:rPr>
                <w:noProof/>
                <w:sz w:val="18"/>
                <w:szCs w:val="18"/>
              </w:rPr>
            </w:pPr>
            <w:r w:rsidRPr="009D2948">
              <w:rPr>
                <w:noProof/>
                <w:sz w:val="18"/>
              </w:rPr>
              <w:t>Costuri</w:t>
            </w:r>
          </w:p>
        </w:tc>
        <w:tc>
          <w:tcPr>
            <w:tcW w:w="720" w:type="dxa"/>
            <w:tcBorders>
              <w:right w:val="dashSmallGap" w:sz="4" w:space="0" w:color="auto"/>
            </w:tcBorders>
            <w:shd w:val="pct10" w:color="auto" w:fill="auto"/>
            <w:textDirection w:val="btLr"/>
            <w:vAlign w:val="center"/>
          </w:tcPr>
          <w:p w:rsidR="009D2948" w:rsidRPr="009D2948" w:rsidRDefault="009D2948" w:rsidP="007A1A92">
            <w:pPr>
              <w:ind w:left="113" w:right="113"/>
              <w:jc w:val="center"/>
              <w:rPr>
                <w:noProof/>
                <w:sz w:val="18"/>
                <w:szCs w:val="18"/>
              </w:rPr>
            </w:pPr>
            <w:r w:rsidRPr="009D2948">
              <w:rPr>
                <w:noProof/>
                <w:sz w:val="18"/>
              </w:rPr>
              <w:t>Nr.</w:t>
            </w:r>
          </w:p>
        </w:tc>
        <w:tc>
          <w:tcPr>
            <w:tcW w:w="720" w:type="dxa"/>
            <w:tcBorders>
              <w:left w:val="dashSmallGap" w:sz="4" w:space="0" w:color="auto"/>
            </w:tcBorders>
            <w:shd w:val="pct10" w:color="auto" w:fill="auto"/>
            <w:vAlign w:val="center"/>
          </w:tcPr>
          <w:p w:rsidR="009D2948" w:rsidRPr="009D2948" w:rsidRDefault="009D2948" w:rsidP="007A1A92">
            <w:pPr>
              <w:jc w:val="center"/>
              <w:rPr>
                <w:noProof/>
                <w:sz w:val="18"/>
                <w:szCs w:val="18"/>
              </w:rPr>
            </w:pPr>
            <w:r w:rsidRPr="009D2948">
              <w:rPr>
                <w:noProof/>
                <w:sz w:val="18"/>
              </w:rPr>
              <w:t>Costuri</w:t>
            </w:r>
          </w:p>
        </w:tc>
        <w:tc>
          <w:tcPr>
            <w:tcW w:w="900" w:type="dxa"/>
            <w:tcBorders>
              <w:right w:val="dashSmallGap" w:sz="4" w:space="0" w:color="auto"/>
            </w:tcBorders>
            <w:shd w:val="pct10" w:color="auto" w:fill="auto"/>
            <w:textDirection w:val="btLr"/>
            <w:vAlign w:val="center"/>
          </w:tcPr>
          <w:p w:rsidR="009D2948" w:rsidRPr="009D2948" w:rsidRDefault="009D2948" w:rsidP="007A1A92">
            <w:pPr>
              <w:ind w:left="113" w:right="113"/>
              <w:jc w:val="center"/>
              <w:rPr>
                <w:noProof/>
                <w:sz w:val="18"/>
                <w:szCs w:val="18"/>
              </w:rPr>
            </w:pPr>
            <w:r w:rsidRPr="009D2948">
              <w:rPr>
                <w:noProof/>
                <w:sz w:val="18"/>
              </w:rPr>
              <w:t>Nr.</w:t>
            </w:r>
          </w:p>
        </w:tc>
        <w:tc>
          <w:tcPr>
            <w:tcW w:w="720" w:type="dxa"/>
            <w:gridSpan w:val="2"/>
            <w:tcBorders>
              <w:left w:val="dashSmallGap" w:sz="4" w:space="0" w:color="auto"/>
            </w:tcBorders>
            <w:shd w:val="pct10" w:color="auto" w:fill="auto"/>
            <w:vAlign w:val="center"/>
          </w:tcPr>
          <w:p w:rsidR="009D2948" w:rsidRPr="009D2948" w:rsidRDefault="009D2948" w:rsidP="007A1A92">
            <w:pPr>
              <w:jc w:val="center"/>
              <w:rPr>
                <w:noProof/>
                <w:sz w:val="18"/>
                <w:szCs w:val="18"/>
              </w:rPr>
            </w:pPr>
            <w:r w:rsidRPr="009D2948">
              <w:rPr>
                <w:noProof/>
                <w:sz w:val="18"/>
              </w:rPr>
              <w:t>Costuri</w:t>
            </w:r>
          </w:p>
        </w:tc>
        <w:tc>
          <w:tcPr>
            <w:tcW w:w="540" w:type="dxa"/>
            <w:tcBorders>
              <w:right w:val="dashSmallGap" w:sz="4" w:space="0" w:color="auto"/>
            </w:tcBorders>
            <w:shd w:val="pct10" w:color="auto" w:fill="auto"/>
            <w:textDirection w:val="btLr"/>
            <w:vAlign w:val="center"/>
          </w:tcPr>
          <w:p w:rsidR="009D2948" w:rsidRPr="009D2948" w:rsidRDefault="009D2948" w:rsidP="007A1A92">
            <w:pPr>
              <w:ind w:left="113" w:right="113"/>
              <w:jc w:val="center"/>
              <w:rPr>
                <w:noProof/>
                <w:sz w:val="18"/>
                <w:szCs w:val="18"/>
              </w:rPr>
            </w:pPr>
            <w:r w:rsidRPr="009D2948">
              <w:rPr>
                <w:noProof/>
                <w:sz w:val="18"/>
              </w:rPr>
              <w:t>Nr.</w:t>
            </w:r>
          </w:p>
        </w:tc>
        <w:tc>
          <w:tcPr>
            <w:tcW w:w="648" w:type="dxa"/>
            <w:tcBorders>
              <w:left w:val="dashSmallGap" w:sz="4" w:space="0" w:color="auto"/>
            </w:tcBorders>
            <w:shd w:val="pct10" w:color="auto" w:fill="auto"/>
            <w:vAlign w:val="center"/>
          </w:tcPr>
          <w:p w:rsidR="009D2948" w:rsidRPr="009D2948" w:rsidRDefault="009D2948" w:rsidP="007A1A92">
            <w:pPr>
              <w:jc w:val="center"/>
              <w:rPr>
                <w:noProof/>
                <w:sz w:val="18"/>
                <w:szCs w:val="18"/>
              </w:rPr>
            </w:pPr>
            <w:r w:rsidRPr="009D2948">
              <w:rPr>
                <w:noProof/>
                <w:sz w:val="18"/>
              </w:rPr>
              <w:t>Costuri</w:t>
            </w:r>
          </w:p>
        </w:tc>
        <w:tc>
          <w:tcPr>
            <w:tcW w:w="432" w:type="dxa"/>
            <w:tcBorders>
              <w:right w:val="dashSmallGap" w:sz="4" w:space="0" w:color="auto"/>
            </w:tcBorders>
            <w:shd w:val="pct10" w:color="auto" w:fill="auto"/>
            <w:textDirection w:val="btLr"/>
            <w:vAlign w:val="center"/>
          </w:tcPr>
          <w:p w:rsidR="009D2948" w:rsidRPr="009D2948" w:rsidRDefault="009D2948" w:rsidP="007A1A92">
            <w:pPr>
              <w:ind w:left="113" w:right="113"/>
              <w:jc w:val="center"/>
              <w:rPr>
                <w:noProof/>
                <w:sz w:val="18"/>
                <w:szCs w:val="18"/>
              </w:rPr>
            </w:pPr>
            <w:r w:rsidRPr="009D2948">
              <w:rPr>
                <w:noProof/>
                <w:sz w:val="18"/>
              </w:rPr>
              <w:t>Nr.</w:t>
            </w:r>
          </w:p>
        </w:tc>
        <w:tc>
          <w:tcPr>
            <w:tcW w:w="720" w:type="dxa"/>
            <w:tcBorders>
              <w:left w:val="dashSmallGap" w:sz="4" w:space="0" w:color="auto"/>
            </w:tcBorders>
            <w:shd w:val="pct10" w:color="auto" w:fill="auto"/>
            <w:vAlign w:val="center"/>
          </w:tcPr>
          <w:p w:rsidR="009D2948" w:rsidRPr="009D2948" w:rsidRDefault="009D2948" w:rsidP="007A1A92">
            <w:pPr>
              <w:jc w:val="center"/>
              <w:rPr>
                <w:noProof/>
                <w:sz w:val="18"/>
                <w:szCs w:val="18"/>
              </w:rPr>
            </w:pPr>
            <w:r w:rsidRPr="009D2948">
              <w:rPr>
                <w:noProof/>
                <w:sz w:val="18"/>
              </w:rPr>
              <w:t>Costuri</w:t>
            </w:r>
          </w:p>
        </w:tc>
        <w:tc>
          <w:tcPr>
            <w:tcW w:w="540" w:type="dxa"/>
            <w:tcBorders>
              <w:right w:val="dashSmallGap" w:sz="4" w:space="0" w:color="auto"/>
            </w:tcBorders>
            <w:shd w:val="pct10" w:color="auto" w:fill="auto"/>
            <w:textDirection w:val="btLr"/>
            <w:vAlign w:val="center"/>
          </w:tcPr>
          <w:p w:rsidR="009D2948" w:rsidRPr="009D2948" w:rsidRDefault="009D2948" w:rsidP="007A1A92">
            <w:pPr>
              <w:ind w:left="113" w:right="113"/>
              <w:jc w:val="center"/>
              <w:rPr>
                <w:noProof/>
                <w:sz w:val="18"/>
                <w:szCs w:val="18"/>
              </w:rPr>
            </w:pPr>
            <w:r w:rsidRPr="009D2948">
              <w:rPr>
                <w:noProof/>
                <w:sz w:val="18"/>
              </w:rPr>
              <w:t>Nr.</w:t>
            </w:r>
          </w:p>
        </w:tc>
        <w:tc>
          <w:tcPr>
            <w:tcW w:w="720" w:type="dxa"/>
            <w:tcBorders>
              <w:left w:val="dashSmallGap" w:sz="4" w:space="0" w:color="auto"/>
            </w:tcBorders>
            <w:shd w:val="pct10" w:color="auto" w:fill="auto"/>
            <w:vAlign w:val="center"/>
          </w:tcPr>
          <w:p w:rsidR="009D2948" w:rsidRPr="009D2948" w:rsidRDefault="009D2948" w:rsidP="007A1A92">
            <w:pPr>
              <w:jc w:val="center"/>
              <w:rPr>
                <w:noProof/>
                <w:sz w:val="18"/>
                <w:szCs w:val="18"/>
              </w:rPr>
            </w:pPr>
            <w:r w:rsidRPr="009D2948">
              <w:rPr>
                <w:noProof/>
                <w:sz w:val="18"/>
              </w:rPr>
              <w:t>Costuri</w:t>
            </w:r>
          </w:p>
        </w:tc>
        <w:tc>
          <w:tcPr>
            <w:tcW w:w="720" w:type="dxa"/>
            <w:tcBorders>
              <w:right w:val="dashSmallGap" w:sz="4" w:space="0" w:color="auto"/>
            </w:tcBorders>
            <w:shd w:val="pct10" w:color="auto" w:fill="auto"/>
            <w:vAlign w:val="center"/>
          </w:tcPr>
          <w:p w:rsidR="009D2948" w:rsidRPr="009D2948" w:rsidRDefault="009D2948" w:rsidP="007A1A92">
            <w:pPr>
              <w:jc w:val="center"/>
              <w:rPr>
                <w:noProof/>
                <w:sz w:val="18"/>
                <w:szCs w:val="18"/>
              </w:rPr>
            </w:pPr>
            <w:r w:rsidRPr="009D2948">
              <w:rPr>
                <w:noProof/>
                <w:sz w:val="18"/>
              </w:rPr>
              <w:t>Nr. total</w:t>
            </w:r>
          </w:p>
        </w:tc>
        <w:tc>
          <w:tcPr>
            <w:tcW w:w="900" w:type="dxa"/>
            <w:tcBorders>
              <w:left w:val="dashSmallGap" w:sz="4" w:space="0" w:color="auto"/>
            </w:tcBorders>
            <w:shd w:val="pct10" w:color="auto" w:fill="auto"/>
            <w:vAlign w:val="center"/>
          </w:tcPr>
          <w:p w:rsidR="009D2948" w:rsidRPr="009D2948" w:rsidRDefault="009D2948" w:rsidP="007A1A92">
            <w:pPr>
              <w:jc w:val="center"/>
              <w:rPr>
                <w:noProof/>
                <w:sz w:val="18"/>
                <w:szCs w:val="18"/>
              </w:rPr>
            </w:pPr>
            <w:r w:rsidRPr="009D2948">
              <w:rPr>
                <w:noProof/>
                <w:sz w:val="18"/>
              </w:rPr>
              <w:t>Costuri totale</w:t>
            </w:r>
          </w:p>
        </w:tc>
      </w:tr>
      <w:tr w:rsidR="009D2948" w:rsidRPr="009D2948" w:rsidTr="007A1A92">
        <w:trPr>
          <w:jc w:val="center"/>
        </w:trPr>
        <w:tc>
          <w:tcPr>
            <w:tcW w:w="2844" w:type="dxa"/>
            <w:gridSpan w:val="3"/>
            <w:vAlign w:val="center"/>
          </w:tcPr>
          <w:p w:rsidR="009D2948" w:rsidRPr="009D2948" w:rsidRDefault="009D2948" w:rsidP="007A1A92">
            <w:pPr>
              <w:spacing w:before="60" w:after="60"/>
              <w:ind w:right="-29"/>
              <w:jc w:val="center"/>
              <w:rPr>
                <w:noProof/>
                <w:sz w:val="18"/>
                <w:szCs w:val="18"/>
              </w:rPr>
            </w:pPr>
            <w:r w:rsidRPr="009D2948">
              <w:rPr>
                <w:noProof/>
                <w:sz w:val="18"/>
              </w:rPr>
              <w:t>OBIECTIVUL SPECIFIC NR. 1</w:t>
            </w:r>
            <w:r w:rsidRPr="009D2948">
              <w:rPr>
                <w:rStyle w:val="FootnoteReference"/>
                <w:noProof/>
                <w:sz w:val="18"/>
              </w:rPr>
              <w:footnoteReference w:id="69"/>
            </w:r>
            <w:r w:rsidRPr="009D2948">
              <w:rPr>
                <w:noProof/>
                <w:sz w:val="18"/>
              </w:rPr>
              <w:t>…</w:t>
            </w:r>
          </w:p>
        </w:tc>
        <w:tc>
          <w:tcPr>
            <w:tcW w:w="504"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72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54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72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72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72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90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720" w:type="dxa"/>
            <w:gridSpan w:val="2"/>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54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648"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432"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72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54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72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72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90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r>
      <w:tr w:rsidR="009D2948" w:rsidRPr="009D2948" w:rsidTr="007A1A92">
        <w:trPr>
          <w:trHeight w:hRule="exact" w:val="369"/>
          <w:jc w:val="center"/>
        </w:trPr>
        <w:tc>
          <w:tcPr>
            <w:tcW w:w="1423" w:type="dxa"/>
          </w:tcPr>
          <w:p w:rsidR="009D2948" w:rsidRPr="009D2948" w:rsidRDefault="009D2948" w:rsidP="007A1A92">
            <w:pPr>
              <w:ind w:right="-29"/>
              <w:jc w:val="center"/>
              <w:rPr>
                <w:noProof/>
                <w:sz w:val="18"/>
                <w:szCs w:val="18"/>
              </w:rPr>
            </w:pPr>
            <w:r w:rsidRPr="009D2948">
              <w:rPr>
                <w:noProof/>
                <w:sz w:val="18"/>
              </w:rPr>
              <w:t>- Realizare</w:t>
            </w:r>
          </w:p>
        </w:tc>
        <w:tc>
          <w:tcPr>
            <w:tcW w:w="720" w:type="dxa"/>
          </w:tcPr>
          <w:p w:rsidR="009D2948" w:rsidRPr="009D2948" w:rsidRDefault="009D2948" w:rsidP="007A1A92">
            <w:pPr>
              <w:ind w:right="-29"/>
              <w:jc w:val="center"/>
              <w:rPr>
                <w:noProof/>
                <w:sz w:val="18"/>
                <w:szCs w:val="18"/>
              </w:rPr>
            </w:pPr>
          </w:p>
        </w:tc>
        <w:tc>
          <w:tcPr>
            <w:tcW w:w="701" w:type="dxa"/>
          </w:tcPr>
          <w:p w:rsidR="009D2948" w:rsidRPr="009D2948" w:rsidRDefault="009D2948" w:rsidP="007A1A92">
            <w:pPr>
              <w:ind w:right="-29"/>
              <w:jc w:val="center"/>
              <w:rPr>
                <w:noProof/>
                <w:sz w:val="18"/>
                <w:szCs w:val="18"/>
              </w:rPr>
            </w:pPr>
          </w:p>
        </w:tc>
        <w:tc>
          <w:tcPr>
            <w:tcW w:w="504" w:type="dxa"/>
            <w:tcBorders>
              <w:right w:val="dashSmallGap" w:sz="4" w:space="0" w:color="auto"/>
            </w:tcBorders>
          </w:tcPr>
          <w:p w:rsidR="009D2948" w:rsidRPr="009D2948" w:rsidRDefault="009D2948" w:rsidP="007A1A92">
            <w:pPr>
              <w:ind w:right="-29"/>
              <w:jc w:val="center"/>
              <w:rPr>
                <w:noProof/>
                <w:sz w:val="18"/>
                <w:szCs w:val="18"/>
              </w:rPr>
            </w:pPr>
          </w:p>
        </w:tc>
        <w:tc>
          <w:tcPr>
            <w:tcW w:w="720" w:type="dxa"/>
            <w:tcBorders>
              <w:left w:val="dashSmallGap" w:sz="4" w:space="0" w:color="auto"/>
            </w:tcBorders>
          </w:tcPr>
          <w:p w:rsidR="009D2948" w:rsidRPr="009D2948" w:rsidRDefault="009D2948" w:rsidP="007A1A92">
            <w:pPr>
              <w:ind w:right="-29"/>
              <w:jc w:val="center"/>
              <w:rPr>
                <w:noProof/>
                <w:sz w:val="18"/>
                <w:szCs w:val="18"/>
              </w:rPr>
            </w:pPr>
          </w:p>
        </w:tc>
        <w:tc>
          <w:tcPr>
            <w:tcW w:w="540" w:type="dxa"/>
            <w:tcBorders>
              <w:right w:val="dashSmallGap" w:sz="4" w:space="0" w:color="auto"/>
            </w:tcBorders>
          </w:tcPr>
          <w:p w:rsidR="009D2948" w:rsidRPr="009D2948" w:rsidRDefault="009D2948" w:rsidP="007A1A92">
            <w:pPr>
              <w:ind w:right="-29"/>
              <w:jc w:val="center"/>
              <w:rPr>
                <w:noProof/>
                <w:sz w:val="18"/>
                <w:szCs w:val="18"/>
              </w:rPr>
            </w:pPr>
          </w:p>
        </w:tc>
        <w:tc>
          <w:tcPr>
            <w:tcW w:w="720" w:type="dxa"/>
            <w:tcBorders>
              <w:left w:val="dashSmallGap" w:sz="4" w:space="0" w:color="auto"/>
            </w:tcBorders>
          </w:tcPr>
          <w:p w:rsidR="009D2948" w:rsidRPr="009D2948" w:rsidRDefault="009D2948" w:rsidP="007A1A92">
            <w:pPr>
              <w:ind w:right="-29"/>
              <w:jc w:val="center"/>
              <w:rPr>
                <w:noProof/>
                <w:sz w:val="18"/>
                <w:szCs w:val="18"/>
              </w:rPr>
            </w:pPr>
          </w:p>
        </w:tc>
        <w:tc>
          <w:tcPr>
            <w:tcW w:w="720" w:type="dxa"/>
            <w:tcBorders>
              <w:right w:val="dashSmallGap" w:sz="4" w:space="0" w:color="auto"/>
            </w:tcBorders>
          </w:tcPr>
          <w:p w:rsidR="009D2948" w:rsidRPr="009D2948" w:rsidRDefault="009D2948" w:rsidP="007A1A92">
            <w:pPr>
              <w:ind w:right="-29"/>
              <w:jc w:val="center"/>
              <w:rPr>
                <w:noProof/>
                <w:sz w:val="18"/>
                <w:szCs w:val="18"/>
              </w:rPr>
            </w:pPr>
          </w:p>
        </w:tc>
        <w:tc>
          <w:tcPr>
            <w:tcW w:w="720" w:type="dxa"/>
            <w:tcBorders>
              <w:left w:val="dashSmallGap" w:sz="4" w:space="0" w:color="auto"/>
            </w:tcBorders>
          </w:tcPr>
          <w:p w:rsidR="009D2948" w:rsidRPr="009D2948" w:rsidRDefault="009D2948" w:rsidP="007A1A92">
            <w:pPr>
              <w:ind w:right="-29"/>
              <w:jc w:val="center"/>
              <w:rPr>
                <w:noProof/>
                <w:sz w:val="18"/>
                <w:szCs w:val="18"/>
              </w:rPr>
            </w:pPr>
          </w:p>
        </w:tc>
        <w:tc>
          <w:tcPr>
            <w:tcW w:w="900" w:type="dxa"/>
            <w:tcBorders>
              <w:right w:val="dashSmallGap" w:sz="4" w:space="0" w:color="auto"/>
            </w:tcBorders>
          </w:tcPr>
          <w:p w:rsidR="009D2948" w:rsidRPr="009D2948" w:rsidRDefault="009D2948" w:rsidP="007A1A92">
            <w:pPr>
              <w:ind w:right="-29"/>
              <w:jc w:val="center"/>
              <w:rPr>
                <w:noProof/>
                <w:sz w:val="18"/>
                <w:szCs w:val="18"/>
              </w:rPr>
            </w:pPr>
          </w:p>
        </w:tc>
        <w:tc>
          <w:tcPr>
            <w:tcW w:w="720" w:type="dxa"/>
            <w:gridSpan w:val="2"/>
            <w:tcBorders>
              <w:left w:val="dashSmallGap" w:sz="4" w:space="0" w:color="auto"/>
            </w:tcBorders>
          </w:tcPr>
          <w:p w:rsidR="009D2948" w:rsidRPr="009D2948" w:rsidRDefault="009D2948" w:rsidP="007A1A92">
            <w:pPr>
              <w:ind w:right="-29"/>
              <w:jc w:val="center"/>
              <w:rPr>
                <w:noProof/>
                <w:sz w:val="18"/>
                <w:szCs w:val="18"/>
              </w:rPr>
            </w:pPr>
          </w:p>
        </w:tc>
        <w:tc>
          <w:tcPr>
            <w:tcW w:w="540" w:type="dxa"/>
            <w:tcBorders>
              <w:right w:val="dashSmallGap" w:sz="4" w:space="0" w:color="auto"/>
            </w:tcBorders>
          </w:tcPr>
          <w:p w:rsidR="009D2948" w:rsidRPr="009D2948" w:rsidRDefault="009D2948" w:rsidP="007A1A92">
            <w:pPr>
              <w:ind w:right="-29"/>
              <w:jc w:val="center"/>
              <w:rPr>
                <w:noProof/>
                <w:sz w:val="18"/>
                <w:szCs w:val="18"/>
              </w:rPr>
            </w:pPr>
          </w:p>
        </w:tc>
        <w:tc>
          <w:tcPr>
            <w:tcW w:w="648" w:type="dxa"/>
            <w:tcBorders>
              <w:left w:val="dashSmallGap" w:sz="4" w:space="0" w:color="auto"/>
            </w:tcBorders>
          </w:tcPr>
          <w:p w:rsidR="009D2948" w:rsidRPr="009D2948" w:rsidRDefault="009D2948" w:rsidP="007A1A92">
            <w:pPr>
              <w:ind w:right="-29"/>
              <w:jc w:val="center"/>
              <w:rPr>
                <w:noProof/>
                <w:sz w:val="18"/>
                <w:szCs w:val="18"/>
              </w:rPr>
            </w:pPr>
          </w:p>
        </w:tc>
        <w:tc>
          <w:tcPr>
            <w:tcW w:w="432" w:type="dxa"/>
            <w:tcBorders>
              <w:right w:val="dashSmallGap" w:sz="4" w:space="0" w:color="auto"/>
            </w:tcBorders>
          </w:tcPr>
          <w:p w:rsidR="009D2948" w:rsidRPr="009D2948" w:rsidRDefault="009D2948" w:rsidP="007A1A92">
            <w:pPr>
              <w:ind w:right="-29"/>
              <w:jc w:val="center"/>
              <w:rPr>
                <w:noProof/>
                <w:sz w:val="18"/>
                <w:szCs w:val="18"/>
              </w:rPr>
            </w:pPr>
          </w:p>
        </w:tc>
        <w:tc>
          <w:tcPr>
            <w:tcW w:w="720" w:type="dxa"/>
            <w:tcBorders>
              <w:left w:val="dashSmallGap" w:sz="4" w:space="0" w:color="auto"/>
            </w:tcBorders>
          </w:tcPr>
          <w:p w:rsidR="009D2948" w:rsidRPr="009D2948" w:rsidRDefault="009D2948" w:rsidP="007A1A92">
            <w:pPr>
              <w:ind w:right="-29"/>
              <w:jc w:val="center"/>
              <w:rPr>
                <w:noProof/>
                <w:sz w:val="18"/>
                <w:szCs w:val="18"/>
              </w:rPr>
            </w:pPr>
          </w:p>
        </w:tc>
        <w:tc>
          <w:tcPr>
            <w:tcW w:w="540" w:type="dxa"/>
            <w:tcBorders>
              <w:right w:val="dashSmallGap" w:sz="4" w:space="0" w:color="auto"/>
            </w:tcBorders>
          </w:tcPr>
          <w:p w:rsidR="009D2948" w:rsidRPr="009D2948" w:rsidRDefault="009D2948" w:rsidP="007A1A92">
            <w:pPr>
              <w:ind w:right="-29"/>
              <w:jc w:val="center"/>
              <w:rPr>
                <w:noProof/>
                <w:sz w:val="18"/>
                <w:szCs w:val="18"/>
              </w:rPr>
            </w:pPr>
          </w:p>
        </w:tc>
        <w:tc>
          <w:tcPr>
            <w:tcW w:w="720" w:type="dxa"/>
            <w:tcBorders>
              <w:left w:val="dashSmallGap" w:sz="4" w:space="0" w:color="auto"/>
            </w:tcBorders>
          </w:tcPr>
          <w:p w:rsidR="009D2948" w:rsidRPr="009D2948" w:rsidRDefault="009D2948" w:rsidP="007A1A92">
            <w:pPr>
              <w:ind w:right="-29"/>
              <w:jc w:val="center"/>
              <w:rPr>
                <w:noProof/>
                <w:sz w:val="18"/>
                <w:szCs w:val="18"/>
              </w:rPr>
            </w:pPr>
          </w:p>
        </w:tc>
        <w:tc>
          <w:tcPr>
            <w:tcW w:w="720" w:type="dxa"/>
          </w:tcPr>
          <w:p w:rsidR="009D2948" w:rsidRPr="009D2948" w:rsidRDefault="009D2948" w:rsidP="007A1A92">
            <w:pPr>
              <w:ind w:right="-29"/>
              <w:jc w:val="center"/>
              <w:rPr>
                <w:noProof/>
                <w:sz w:val="18"/>
                <w:szCs w:val="18"/>
              </w:rPr>
            </w:pPr>
          </w:p>
        </w:tc>
        <w:tc>
          <w:tcPr>
            <w:tcW w:w="900" w:type="dxa"/>
          </w:tcPr>
          <w:p w:rsidR="009D2948" w:rsidRPr="009D2948" w:rsidRDefault="009D2948" w:rsidP="007A1A92">
            <w:pPr>
              <w:ind w:right="-29"/>
              <w:jc w:val="center"/>
              <w:rPr>
                <w:noProof/>
                <w:sz w:val="18"/>
                <w:szCs w:val="18"/>
              </w:rPr>
            </w:pPr>
          </w:p>
        </w:tc>
      </w:tr>
      <w:tr w:rsidR="009D2948" w:rsidRPr="009D2948" w:rsidTr="007A1A92">
        <w:trPr>
          <w:trHeight w:hRule="exact" w:val="369"/>
          <w:jc w:val="center"/>
        </w:trPr>
        <w:tc>
          <w:tcPr>
            <w:tcW w:w="1423" w:type="dxa"/>
          </w:tcPr>
          <w:p w:rsidR="009D2948" w:rsidRPr="009D2948" w:rsidRDefault="009D2948" w:rsidP="007A1A92">
            <w:pPr>
              <w:ind w:right="-29"/>
              <w:jc w:val="center"/>
              <w:rPr>
                <w:noProof/>
                <w:sz w:val="18"/>
                <w:szCs w:val="18"/>
              </w:rPr>
            </w:pPr>
            <w:r w:rsidRPr="009D2948">
              <w:rPr>
                <w:noProof/>
                <w:sz w:val="18"/>
              </w:rPr>
              <w:t>- Realizare</w:t>
            </w:r>
          </w:p>
        </w:tc>
        <w:tc>
          <w:tcPr>
            <w:tcW w:w="720" w:type="dxa"/>
          </w:tcPr>
          <w:p w:rsidR="009D2948" w:rsidRPr="009D2948" w:rsidRDefault="009D2948" w:rsidP="007A1A92">
            <w:pPr>
              <w:ind w:right="-29"/>
              <w:jc w:val="center"/>
              <w:rPr>
                <w:noProof/>
                <w:sz w:val="18"/>
                <w:szCs w:val="18"/>
              </w:rPr>
            </w:pPr>
          </w:p>
        </w:tc>
        <w:tc>
          <w:tcPr>
            <w:tcW w:w="701" w:type="dxa"/>
          </w:tcPr>
          <w:p w:rsidR="009D2948" w:rsidRPr="009D2948" w:rsidRDefault="009D2948" w:rsidP="007A1A92">
            <w:pPr>
              <w:ind w:right="-29"/>
              <w:jc w:val="center"/>
              <w:rPr>
                <w:noProof/>
                <w:sz w:val="18"/>
                <w:szCs w:val="18"/>
              </w:rPr>
            </w:pPr>
          </w:p>
        </w:tc>
        <w:tc>
          <w:tcPr>
            <w:tcW w:w="504" w:type="dxa"/>
            <w:tcBorders>
              <w:right w:val="dashSmallGap" w:sz="4" w:space="0" w:color="auto"/>
            </w:tcBorders>
          </w:tcPr>
          <w:p w:rsidR="009D2948" w:rsidRPr="009D2948" w:rsidRDefault="009D2948" w:rsidP="007A1A92">
            <w:pPr>
              <w:ind w:right="-29"/>
              <w:jc w:val="center"/>
              <w:rPr>
                <w:noProof/>
                <w:sz w:val="18"/>
                <w:szCs w:val="18"/>
              </w:rPr>
            </w:pPr>
          </w:p>
        </w:tc>
        <w:tc>
          <w:tcPr>
            <w:tcW w:w="720" w:type="dxa"/>
            <w:tcBorders>
              <w:left w:val="dashSmallGap" w:sz="4" w:space="0" w:color="auto"/>
            </w:tcBorders>
          </w:tcPr>
          <w:p w:rsidR="009D2948" w:rsidRPr="009D2948" w:rsidRDefault="009D2948" w:rsidP="007A1A92">
            <w:pPr>
              <w:ind w:right="-29"/>
              <w:jc w:val="center"/>
              <w:rPr>
                <w:noProof/>
                <w:sz w:val="18"/>
                <w:szCs w:val="18"/>
              </w:rPr>
            </w:pPr>
          </w:p>
        </w:tc>
        <w:tc>
          <w:tcPr>
            <w:tcW w:w="540" w:type="dxa"/>
            <w:tcBorders>
              <w:right w:val="dashSmallGap" w:sz="4" w:space="0" w:color="auto"/>
            </w:tcBorders>
          </w:tcPr>
          <w:p w:rsidR="009D2948" w:rsidRPr="009D2948" w:rsidRDefault="009D2948" w:rsidP="007A1A92">
            <w:pPr>
              <w:ind w:right="-29"/>
              <w:jc w:val="center"/>
              <w:rPr>
                <w:noProof/>
                <w:sz w:val="18"/>
                <w:szCs w:val="18"/>
              </w:rPr>
            </w:pPr>
          </w:p>
        </w:tc>
        <w:tc>
          <w:tcPr>
            <w:tcW w:w="720" w:type="dxa"/>
            <w:tcBorders>
              <w:left w:val="dashSmallGap" w:sz="4" w:space="0" w:color="auto"/>
            </w:tcBorders>
          </w:tcPr>
          <w:p w:rsidR="009D2948" w:rsidRPr="009D2948" w:rsidRDefault="009D2948" w:rsidP="007A1A92">
            <w:pPr>
              <w:ind w:right="-29"/>
              <w:jc w:val="center"/>
              <w:rPr>
                <w:noProof/>
                <w:sz w:val="18"/>
                <w:szCs w:val="18"/>
              </w:rPr>
            </w:pPr>
          </w:p>
        </w:tc>
        <w:tc>
          <w:tcPr>
            <w:tcW w:w="720" w:type="dxa"/>
            <w:tcBorders>
              <w:right w:val="dashSmallGap" w:sz="4" w:space="0" w:color="auto"/>
            </w:tcBorders>
          </w:tcPr>
          <w:p w:rsidR="009D2948" w:rsidRPr="009D2948" w:rsidRDefault="009D2948" w:rsidP="007A1A92">
            <w:pPr>
              <w:ind w:right="-29"/>
              <w:jc w:val="center"/>
              <w:rPr>
                <w:noProof/>
                <w:sz w:val="18"/>
                <w:szCs w:val="18"/>
              </w:rPr>
            </w:pPr>
          </w:p>
        </w:tc>
        <w:tc>
          <w:tcPr>
            <w:tcW w:w="720" w:type="dxa"/>
            <w:tcBorders>
              <w:left w:val="dashSmallGap" w:sz="4" w:space="0" w:color="auto"/>
            </w:tcBorders>
          </w:tcPr>
          <w:p w:rsidR="009D2948" w:rsidRPr="009D2948" w:rsidRDefault="009D2948" w:rsidP="007A1A92">
            <w:pPr>
              <w:ind w:right="-29"/>
              <w:jc w:val="center"/>
              <w:rPr>
                <w:noProof/>
                <w:sz w:val="18"/>
                <w:szCs w:val="18"/>
              </w:rPr>
            </w:pPr>
          </w:p>
        </w:tc>
        <w:tc>
          <w:tcPr>
            <w:tcW w:w="900" w:type="dxa"/>
            <w:tcBorders>
              <w:right w:val="dashSmallGap" w:sz="4" w:space="0" w:color="auto"/>
            </w:tcBorders>
          </w:tcPr>
          <w:p w:rsidR="009D2948" w:rsidRPr="009D2948" w:rsidRDefault="009D2948" w:rsidP="007A1A92">
            <w:pPr>
              <w:ind w:right="-29"/>
              <w:jc w:val="center"/>
              <w:rPr>
                <w:noProof/>
                <w:sz w:val="18"/>
                <w:szCs w:val="18"/>
              </w:rPr>
            </w:pPr>
          </w:p>
        </w:tc>
        <w:tc>
          <w:tcPr>
            <w:tcW w:w="720" w:type="dxa"/>
            <w:gridSpan w:val="2"/>
            <w:tcBorders>
              <w:left w:val="dashSmallGap" w:sz="4" w:space="0" w:color="auto"/>
            </w:tcBorders>
          </w:tcPr>
          <w:p w:rsidR="009D2948" w:rsidRPr="009D2948" w:rsidRDefault="009D2948" w:rsidP="007A1A92">
            <w:pPr>
              <w:ind w:right="-29"/>
              <w:jc w:val="center"/>
              <w:rPr>
                <w:noProof/>
                <w:sz w:val="18"/>
                <w:szCs w:val="18"/>
              </w:rPr>
            </w:pPr>
          </w:p>
        </w:tc>
        <w:tc>
          <w:tcPr>
            <w:tcW w:w="540" w:type="dxa"/>
            <w:tcBorders>
              <w:right w:val="dashSmallGap" w:sz="4" w:space="0" w:color="auto"/>
            </w:tcBorders>
          </w:tcPr>
          <w:p w:rsidR="009D2948" w:rsidRPr="009D2948" w:rsidRDefault="009D2948" w:rsidP="007A1A92">
            <w:pPr>
              <w:ind w:right="-29"/>
              <w:jc w:val="center"/>
              <w:rPr>
                <w:noProof/>
                <w:sz w:val="18"/>
                <w:szCs w:val="18"/>
              </w:rPr>
            </w:pPr>
          </w:p>
        </w:tc>
        <w:tc>
          <w:tcPr>
            <w:tcW w:w="648" w:type="dxa"/>
            <w:tcBorders>
              <w:left w:val="dashSmallGap" w:sz="4" w:space="0" w:color="auto"/>
            </w:tcBorders>
          </w:tcPr>
          <w:p w:rsidR="009D2948" w:rsidRPr="009D2948" w:rsidRDefault="009D2948" w:rsidP="007A1A92">
            <w:pPr>
              <w:ind w:right="-29"/>
              <w:jc w:val="center"/>
              <w:rPr>
                <w:noProof/>
                <w:sz w:val="18"/>
                <w:szCs w:val="18"/>
              </w:rPr>
            </w:pPr>
          </w:p>
        </w:tc>
        <w:tc>
          <w:tcPr>
            <w:tcW w:w="432" w:type="dxa"/>
            <w:tcBorders>
              <w:right w:val="dashSmallGap" w:sz="4" w:space="0" w:color="auto"/>
            </w:tcBorders>
          </w:tcPr>
          <w:p w:rsidR="009D2948" w:rsidRPr="009D2948" w:rsidRDefault="009D2948" w:rsidP="007A1A92">
            <w:pPr>
              <w:ind w:right="-29"/>
              <w:jc w:val="center"/>
              <w:rPr>
                <w:noProof/>
                <w:sz w:val="18"/>
                <w:szCs w:val="18"/>
              </w:rPr>
            </w:pPr>
          </w:p>
        </w:tc>
        <w:tc>
          <w:tcPr>
            <w:tcW w:w="720" w:type="dxa"/>
            <w:tcBorders>
              <w:left w:val="dashSmallGap" w:sz="4" w:space="0" w:color="auto"/>
            </w:tcBorders>
          </w:tcPr>
          <w:p w:rsidR="009D2948" w:rsidRPr="009D2948" w:rsidRDefault="009D2948" w:rsidP="007A1A92">
            <w:pPr>
              <w:ind w:right="-29"/>
              <w:jc w:val="center"/>
              <w:rPr>
                <w:noProof/>
                <w:sz w:val="18"/>
                <w:szCs w:val="18"/>
              </w:rPr>
            </w:pPr>
          </w:p>
        </w:tc>
        <w:tc>
          <w:tcPr>
            <w:tcW w:w="540" w:type="dxa"/>
            <w:tcBorders>
              <w:right w:val="dashSmallGap" w:sz="4" w:space="0" w:color="auto"/>
            </w:tcBorders>
          </w:tcPr>
          <w:p w:rsidR="009D2948" w:rsidRPr="009D2948" w:rsidRDefault="009D2948" w:rsidP="007A1A92">
            <w:pPr>
              <w:ind w:right="-29"/>
              <w:jc w:val="center"/>
              <w:rPr>
                <w:noProof/>
                <w:sz w:val="18"/>
                <w:szCs w:val="18"/>
              </w:rPr>
            </w:pPr>
          </w:p>
        </w:tc>
        <w:tc>
          <w:tcPr>
            <w:tcW w:w="720" w:type="dxa"/>
            <w:tcBorders>
              <w:left w:val="dashSmallGap" w:sz="4" w:space="0" w:color="auto"/>
            </w:tcBorders>
          </w:tcPr>
          <w:p w:rsidR="009D2948" w:rsidRPr="009D2948" w:rsidRDefault="009D2948" w:rsidP="007A1A92">
            <w:pPr>
              <w:ind w:right="-29"/>
              <w:jc w:val="center"/>
              <w:rPr>
                <w:noProof/>
                <w:sz w:val="18"/>
                <w:szCs w:val="18"/>
              </w:rPr>
            </w:pPr>
          </w:p>
        </w:tc>
        <w:tc>
          <w:tcPr>
            <w:tcW w:w="720" w:type="dxa"/>
          </w:tcPr>
          <w:p w:rsidR="009D2948" w:rsidRPr="009D2948" w:rsidRDefault="009D2948" w:rsidP="007A1A92">
            <w:pPr>
              <w:ind w:right="-29"/>
              <w:jc w:val="center"/>
              <w:rPr>
                <w:noProof/>
                <w:sz w:val="18"/>
                <w:szCs w:val="18"/>
              </w:rPr>
            </w:pPr>
          </w:p>
        </w:tc>
        <w:tc>
          <w:tcPr>
            <w:tcW w:w="900" w:type="dxa"/>
          </w:tcPr>
          <w:p w:rsidR="009D2948" w:rsidRPr="009D2948" w:rsidRDefault="009D2948" w:rsidP="007A1A92">
            <w:pPr>
              <w:ind w:right="-29"/>
              <w:jc w:val="center"/>
              <w:rPr>
                <w:noProof/>
                <w:sz w:val="18"/>
                <w:szCs w:val="18"/>
              </w:rPr>
            </w:pPr>
          </w:p>
        </w:tc>
      </w:tr>
      <w:tr w:rsidR="009D2948" w:rsidRPr="009D2948" w:rsidTr="007A1A92">
        <w:trPr>
          <w:trHeight w:hRule="exact" w:val="369"/>
          <w:jc w:val="center"/>
        </w:trPr>
        <w:tc>
          <w:tcPr>
            <w:tcW w:w="1423" w:type="dxa"/>
          </w:tcPr>
          <w:p w:rsidR="009D2948" w:rsidRPr="009D2948" w:rsidRDefault="009D2948" w:rsidP="007A1A92">
            <w:pPr>
              <w:ind w:right="-29"/>
              <w:jc w:val="center"/>
              <w:rPr>
                <w:noProof/>
                <w:sz w:val="18"/>
                <w:szCs w:val="18"/>
              </w:rPr>
            </w:pPr>
            <w:r w:rsidRPr="009D2948">
              <w:rPr>
                <w:noProof/>
                <w:sz w:val="18"/>
              </w:rPr>
              <w:t>- Realizare</w:t>
            </w:r>
          </w:p>
        </w:tc>
        <w:tc>
          <w:tcPr>
            <w:tcW w:w="720" w:type="dxa"/>
          </w:tcPr>
          <w:p w:rsidR="009D2948" w:rsidRPr="009D2948" w:rsidRDefault="009D2948" w:rsidP="007A1A92">
            <w:pPr>
              <w:ind w:right="-29"/>
              <w:jc w:val="center"/>
              <w:rPr>
                <w:noProof/>
                <w:sz w:val="18"/>
                <w:szCs w:val="18"/>
              </w:rPr>
            </w:pPr>
          </w:p>
        </w:tc>
        <w:tc>
          <w:tcPr>
            <w:tcW w:w="701" w:type="dxa"/>
          </w:tcPr>
          <w:p w:rsidR="009D2948" w:rsidRPr="009D2948" w:rsidRDefault="009D2948" w:rsidP="007A1A92">
            <w:pPr>
              <w:ind w:right="-29"/>
              <w:jc w:val="center"/>
              <w:rPr>
                <w:noProof/>
                <w:sz w:val="18"/>
                <w:szCs w:val="18"/>
              </w:rPr>
            </w:pPr>
          </w:p>
        </w:tc>
        <w:tc>
          <w:tcPr>
            <w:tcW w:w="504" w:type="dxa"/>
          </w:tcPr>
          <w:p w:rsidR="009D2948" w:rsidRPr="009D2948" w:rsidRDefault="009D2948" w:rsidP="007A1A92">
            <w:pPr>
              <w:ind w:right="-29"/>
              <w:jc w:val="center"/>
              <w:rPr>
                <w:noProof/>
                <w:sz w:val="18"/>
                <w:szCs w:val="18"/>
              </w:rPr>
            </w:pPr>
          </w:p>
        </w:tc>
        <w:tc>
          <w:tcPr>
            <w:tcW w:w="720" w:type="dxa"/>
          </w:tcPr>
          <w:p w:rsidR="009D2948" w:rsidRPr="009D2948" w:rsidRDefault="009D2948" w:rsidP="007A1A92">
            <w:pPr>
              <w:ind w:right="-29"/>
              <w:jc w:val="center"/>
              <w:rPr>
                <w:noProof/>
                <w:sz w:val="18"/>
                <w:szCs w:val="18"/>
              </w:rPr>
            </w:pPr>
          </w:p>
        </w:tc>
        <w:tc>
          <w:tcPr>
            <w:tcW w:w="540" w:type="dxa"/>
          </w:tcPr>
          <w:p w:rsidR="009D2948" w:rsidRPr="009D2948" w:rsidRDefault="009D2948" w:rsidP="007A1A92">
            <w:pPr>
              <w:ind w:right="-29"/>
              <w:jc w:val="center"/>
              <w:rPr>
                <w:noProof/>
                <w:sz w:val="18"/>
                <w:szCs w:val="18"/>
              </w:rPr>
            </w:pPr>
          </w:p>
        </w:tc>
        <w:tc>
          <w:tcPr>
            <w:tcW w:w="720" w:type="dxa"/>
          </w:tcPr>
          <w:p w:rsidR="009D2948" w:rsidRPr="009D2948" w:rsidRDefault="009D2948" w:rsidP="007A1A92">
            <w:pPr>
              <w:ind w:right="-29"/>
              <w:jc w:val="center"/>
              <w:rPr>
                <w:noProof/>
                <w:sz w:val="18"/>
                <w:szCs w:val="18"/>
              </w:rPr>
            </w:pPr>
          </w:p>
        </w:tc>
        <w:tc>
          <w:tcPr>
            <w:tcW w:w="720" w:type="dxa"/>
          </w:tcPr>
          <w:p w:rsidR="009D2948" w:rsidRPr="009D2948" w:rsidRDefault="009D2948" w:rsidP="007A1A92">
            <w:pPr>
              <w:ind w:right="-29"/>
              <w:jc w:val="center"/>
              <w:rPr>
                <w:noProof/>
                <w:sz w:val="18"/>
                <w:szCs w:val="18"/>
              </w:rPr>
            </w:pPr>
          </w:p>
        </w:tc>
        <w:tc>
          <w:tcPr>
            <w:tcW w:w="720" w:type="dxa"/>
          </w:tcPr>
          <w:p w:rsidR="009D2948" w:rsidRPr="009D2948" w:rsidRDefault="009D2948" w:rsidP="007A1A92">
            <w:pPr>
              <w:ind w:right="-29"/>
              <w:jc w:val="center"/>
              <w:rPr>
                <w:noProof/>
                <w:sz w:val="18"/>
                <w:szCs w:val="18"/>
              </w:rPr>
            </w:pPr>
          </w:p>
        </w:tc>
        <w:tc>
          <w:tcPr>
            <w:tcW w:w="900" w:type="dxa"/>
          </w:tcPr>
          <w:p w:rsidR="009D2948" w:rsidRPr="009D2948" w:rsidRDefault="009D2948" w:rsidP="007A1A92">
            <w:pPr>
              <w:ind w:right="-29"/>
              <w:jc w:val="center"/>
              <w:rPr>
                <w:noProof/>
                <w:sz w:val="18"/>
                <w:szCs w:val="18"/>
              </w:rPr>
            </w:pPr>
          </w:p>
        </w:tc>
        <w:tc>
          <w:tcPr>
            <w:tcW w:w="720" w:type="dxa"/>
            <w:gridSpan w:val="2"/>
          </w:tcPr>
          <w:p w:rsidR="009D2948" w:rsidRPr="009D2948" w:rsidRDefault="009D2948" w:rsidP="007A1A92">
            <w:pPr>
              <w:ind w:right="-29"/>
              <w:jc w:val="center"/>
              <w:rPr>
                <w:noProof/>
                <w:sz w:val="18"/>
                <w:szCs w:val="18"/>
              </w:rPr>
            </w:pPr>
          </w:p>
        </w:tc>
        <w:tc>
          <w:tcPr>
            <w:tcW w:w="540" w:type="dxa"/>
          </w:tcPr>
          <w:p w:rsidR="009D2948" w:rsidRPr="009D2948" w:rsidRDefault="009D2948" w:rsidP="007A1A92">
            <w:pPr>
              <w:ind w:right="-29"/>
              <w:jc w:val="center"/>
              <w:rPr>
                <w:noProof/>
                <w:sz w:val="18"/>
                <w:szCs w:val="18"/>
              </w:rPr>
            </w:pPr>
          </w:p>
        </w:tc>
        <w:tc>
          <w:tcPr>
            <w:tcW w:w="648" w:type="dxa"/>
          </w:tcPr>
          <w:p w:rsidR="009D2948" w:rsidRPr="009D2948" w:rsidRDefault="009D2948" w:rsidP="007A1A92">
            <w:pPr>
              <w:ind w:right="-29"/>
              <w:jc w:val="center"/>
              <w:rPr>
                <w:noProof/>
                <w:sz w:val="18"/>
                <w:szCs w:val="18"/>
              </w:rPr>
            </w:pPr>
          </w:p>
        </w:tc>
        <w:tc>
          <w:tcPr>
            <w:tcW w:w="432" w:type="dxa"/>
          </w:tcPr>
          <w:p w:rsidR="009D2948" w:rsidRPr="009D2948" w:rsidRDefault="009D2948" w:rsidP="007A1A92">
            <w:pPr>
              <w:ind w:right="-29"/>
              <w:jc w:val="center"/>
              <w:rPr>
                <w:noProof/>
                <w:sz w:val="18"/>
                <w:szCs w:val="18"/>
              </w:rPr>
            </w:pPr>
          </w:p>
        </w:tc>
        <w:tc>
          <w:tcPr>
            <w:tcW w:w="720" w:type="dxa"/>
          </w:tcPr>
          <w:p w:rsidR="009D2948" w:rsidRPr="009D2948" w:rsidRDefault="009D2948" w:rsidP="007A1A92">
            <w:pPr>
              <w:ind w:right="-29"/>
              <w:jc w:val="center"/>
              <w:rPr>
                <w:noProof/>
                <w:sz w:val="18"/>
                <w:szCs w:val="18"/>
              </w:rPr>
            </w:pPr>
          </w:p>
        </w:tc>
        <w:tc>
          <w:tcPr>
            <w:tcW w:w="540" w:type="dxa"/>
          </w:tcPr>
          <w:p w:rsidR="009D2948" w:rsidRPr="009D2948" w:rsidRDefault="009D2948" w:rsidP="007A1A92">
            <w:pPr>
              <w:ind w:right="-29"/>
              <w:jc w:val="center"/>
              <w:rPr>
                <w:noProof/>
                <w:sz w:val="18"/>
                <w:szCs w:val="18"/>
              </w:rPr>
            </w:pPr>
          </w:p>
        </w:tc>
        <w:tc>
          <w:tcPr>
            <w:tcW w:w="720" w:type="dxa"/>
          </w:tcPr>
          <w:p w:rsidR="009D2948" w:rsidRPr="009D2948" w:rsidRDefault="009D2948" w:rsidP="007A1A92">
            <w:pPr>
              <w:ind w:right="-29"/>
              <w:jc w:val="center"/>
              <w:rPr>
                <w:noProof/>
                <w:sz w:val="18"/>
                <w:szCs w:val="18"/>
              </w:rPr>
            </w:pPr>
          </w:p>
        </w:tc>
        <w:tc>
          <w:tcPr>
            <w:tcW w:w="720" w:type="dxa"/>
          </w:tcPr>
          <w:p w:rsidR="009D2948" w:rsidRPr="009D2948" w:rsidRDefault="009D2948" w:rsidP="007A1A92">
            <w:pPr>
              <w:ind w:right="-29"/>
              <w:jc w:val="center"/>
              <w:rPr>
                <w:noProof/>
                <w:sz w:val="18"/>
                <w:szCs w:val="18"/>
              </w:rPr>
            </w:pPr>
          </w:p>
        </w:tc>
        <w:tc>
          <w:tcPr>
            <w:tcW w:w="900" w:type="dxa"/>
          </w:tcPr>
          <w:p w:rsidR="009D2948" w:rsidRPr="009D2948" w:rsidRDefault="009D2948" w:rsidP="007A1A92">
            <w:pPr>
              <w:ind w:right="-29"/>
              <w:jc w:val="center"/>
              <w:rPr>
                <w:noProof/>
                <w:sz w:val="18"/>
                <w:szCs w:val="18"/>
              </w:rPr>
            </w:pPr>
          </w:p>
        </w:tc>
      </w:tr>
      <w:tr w:rsidR="009D2948" w:rsidRPr="009D2948" w:rsidTr="007A1A92">
        <w:trPr>
          <w:jc w:val="center"/>
        </w:trPr>
        <w:tc>
          <w:tcPr>
            <w:tcW w:w="2844" w:type="dxa"/>
            <w:gridSpan w:val="3"/>
            <w:tcBorders>
              <w:bottom w:val="single" w:sz="12" w:space="0" w:color="auto"/>
            </w:tcBorders>
            <w:vAlign w:val="center"/>
          </w:tcPr>
          <w:p w:rsidR="009D2948" w:rsidRPr="009D2948" w:rsidRDefault="009D2948" w:rsidP="007A1A92">
            <w:pPr>
              <w:ind w:right="-29"/>
              <w:jc w:val="center"/>
              <w:rPr>
                <w:noProof/>
                <w:sz w:val="18"/>
                <w:szCs w:val="18"/>
              </w:rPr>
            </w:pPr>
            <w:r w:rsidRPr="009D2948">
              <w:rPr>
                <w:noProof/>
                <w:sz w:val="18"/>
              </w:rPr>
              <w:t>Subtotal pentru obiectivul specific nr. 1</w:t>
            </w:r>
          </w:p>
        </w:tc>
        <w:tc>
          <w:tcPr>
            <w:tcW w:w="504" w:type="dxa"/>
            <w:tcBorders>
              <w:bottom w:val="single" w:sz="12" w:space="0" w:color="auto"/>
            </w:tcBorders>
          </w:tcPr>
          <w:p w:rsidR="009D2948" w:rsidRPr="009D2948" w:rsidRDefault="009D2948" w:rsidP="007A1A92">
            <w:pPr>
              <w:ind w:right="-29"/>
              <w:jc w:val="center"/>
              <w:rPr>
                <w:noProof/>
                <w:sz w:val="18"/>
                <w:szCs w:val="18"/>
              </w:rPr>
            </w:pPr>
          </w:p>
        </w:tc>
        <w:tc>
          <w:tcPr>
            <w:tcW w:w="720" w:type="dxa"/>
            <w:tcBorders>
              <w:bottom w:val="single" w:sz="12" w:space="0" w:color="auto"/>
            </w:tcBorders>
          </w:tcPr>
          <w:p w:rsidR="009D2948" w:rsidRPr="009D2948" w:rsidRDefault="009D2948" w:rsidP="007A1A92">
            <w:pPr>
              <w:ind w:right="-29"/>
              <w:jc w:val="center"/>
              <w:rPr>
                <w:noProof/>
                <w:sz w:val="18"/>
                <w:szCs w:val="18"/>
              </w:rPr>
            </w:pPr>
          </w:p>
        </w:tc>
        <w:tc>
          <w:tcPr>
            <w:tcW w:w="540" w:type="dxa"/>
            <w:tcBorders>
              <w:bottom w:val="single" w:sz="12" w:space="0" w:color="auto"/>
            </w:tcBorders>
          </w:tcPr>
          <w:p w:rsidR="009D2948" w:rsidRPr="009D2948" w:rsidRDefault="009D2948" w:rsidP="007A1A92">
            <w:pPr>
              <w:ind w:right="-29"/>
              <w:jc w:val="center"/>
              <w:rPr>
                <w:noProof/>
                <w:sz w:val="18"/>
                <w:szCs w:val="18"/>
              </w:rPr>
            </w:pPr>
          </w:p>
        </w:tc>
        <w:tc>
          <w:tcPr>
            <w:tcW w:w="720" w:type="dxa"/>
            <w:tcBorders>
              <w:bottom w:val="single" w:sz="12" w:space="0" w:color="auto"/>
            </w:tcBorders>
          </w:tcPr>
          <w:p w:rsidR="009D2948" w:rsidRPr="009D2948" w:rsidRDefault="009D2948" w:rsidP="007A1A92">
            <w:pPr>
              <w:ind w:right="-29"/>
              <w:jc w:val="center"/>
              <w:rPr>
                <w:noProof/>
                <w:sz w:val="18"/>
                <w:szCs w:val="18"/>
              </w:rPr>
            </w:pPr>
          </w:p>
        </w:tc>
        <w:tc>
          <w:tcPr>
            <w:tcW w:w="720" w:type="dxa"/>
            <w:tcBorders>
              <w:bottom w:val="single" w:sz="12" w:space="0" w:color="auto"/>
            </w:tcBorders>
          </w:tcPr>
          <w:p w:rsidR="009D2948" w:rsidRPr="009D2948" w:rsidRDefault="009D2948" w:rsidP="007A1A92">
            <w:pPr>
              <w:ind w:right="-29"/>
              <w:jc w:val="center"/>
              <w:rPr>
                <w:noProof/>
                <w:sz w:val="18"/>
                <w:szCs w:val="18"/>
              </w:rPr>
            </w:pPr>
          </w:p>
        </w:tc>
        <w:tc>
          <w:tcPr>
            <w:tcW w:w="720" w:type="dxa"/>
            <w:tcBorders>
              <w:bottom w:val="single" w:sz="12" w:space="0" w:color="auto"/>
            </w:tcBorders>
          </w:tcPr>
          <w:p w:rsidR="009D2948" w:rsidRPr="009D2948" w:rsidRDefault="009D2948" w:rsidP="007A1A92">
            <w:pPr>
              <w:ind w:right="-29"/>
              <w:jc w:val="center"/>
              <w:rPr>
                <w:noProof/>
                <w:sz w:val="18"/>
                <w:szCs w:val="18"/>
              </w:rPr>
            </w:pPr>
          </w:p>
        </w:tc>
        <w:tc>
          <w:tcPr>
            <w:tcW w:w="900" w:type="dxa"/>
            <w:tcBorders>
              <w:bottom w:val="single" w:sz="12" w:space="0" w:color="auto"/>
            </w:tcBorders>
          </w:tcPr>
          <w:p w:rsidR="009D2948" w:rsidRPr="009D2948" w:rsidRDefault="009D2948" w:rsidP="007A1A92">
            <w:pPr>
              <w:ind w:right="-29"/>
              <w:jc w:val="center"/>
              <w:rPr>
                <w:noProof/>
                <w:sz w:val="18"/>
                <w:szCs w:val="18"/>
              </w:rPr>
            </w:pPr>
          </w:p>
        </w:tc>
        <w:tc>
          <w:tcPr>
            <w:tcW w:w="720" w:type="dxa"/>
            <w:gridSpan w:val="2"/>
            <w:tcBorders>
              <w:bottom w:val="single" w:sz="12" w:space="0" w:color="auto"/>
            </w:tcBorders>
          </w:tcPr>
          <w:p w:rsidR="009D2948" w:rsidRPr="009D2948" w:rsidRDefault="009D2948" w:rsidP="007A1A92">
            <w:pPr>
              <w:ind w:right="-29"/>
              <w:jc w:val="center"/>
              <w:rPr>
                <w:noProof/>
                <w:sz w:val="18"/>
                <w:szCs w:val="18"/>
              </w:rPr>
            </w:pPr>
          </w:p>
        </w:tc>
        <w:tc>
          <w:tcPr>
            <w:tcW w:w="540" w:type="dxa"/>
            <w:tcBorders>
              <w:bottom w:val="single" w:sz="12" w:space="0" w:color="auto"/>
            </w:tcBorders>
          </w:tcPr>
          <w:p w:rsidR="009D2948" w:rsidRPr="009D2948" w:rsidRDefault="009D2948" w:rsidP="007A1A92">
            <w:pPr>
              <w:ind w:right="-29"/>
              <w:jc w:val="center"/>
              <w:rPr>
                <w:noProof/>
                <w:sz w:val="18"/>
                <w:szCs w:val="18"/>
              </w:rPr>
            </w:pPr>
          </w:p>
        </w:tc>
        <w:tc>
          <w:tcPr>
            <w:tcW w:w="648" w:type="dxa"/>
            <w:tcBorders>
              <w:bottom w:val="single" w:sz="12" w:space="0" w:color="auto"/>
            </w:tcBorders>
          </w:tcPr>
          <w:p w:rsidR="009D2948" w:rsidRPr="009D2948" w:rsidRDefault="009D2948" w:rsidP="007A1A92">
            <w:pPr>
              <w:ind w:right="-29"/>
              <w:jc w:val="center"/>
              <w:rPr>
                <w:noProof/>
                <w:sz w:val="18"/>
                <w:szCs w:val="18"/>
              </w:rPr>
            </w:pPr>
          </w:p>
        </w:tc>
        <w:tc>
          <w:tcPr>
            <w:tcW w:w="432" w:type="dxa"/>
            <w:tcBorders>
              <w:bottom w:val="single" w:sz="12" w:space="0" w:color="auto"/>
            </w:tcBorders>
          </w:tcPr>
          <w:p w:rsidR="009D2948" w:rsidRPr="009D2948" w:rsidRDefault="009D2948" w:rsidP="007A1A92">
            <w:pPr>
              <w:ind w:right="-29"/>
              <w:jc w:val="center"/>
              <w:rPr>
                <w:noProof/>
                <w:sz w:val="18"/>
                <w:szCs w:val="18"/>
              </w:rPr>
            </w:pPr>
          </w:p>
        </w:tc>
        <w:tc>
          <w:tcPr>
            <w:tcW w:w="720" w:type="dxa"/>
            <w:tcBorders>
              <w:bottom w:val="single" w:sz="12" w:space="0" w:color="auto"/>
            </w:tcBorders>
          </w:tcPr>
          <w:p w:rsidR="009D2948" w:rsidRPr="009D2948" w:rsidRDefault="009D2948" w:rsidP="007A1A92">
            <w:pPr>
              <w:ind w:right="-29"/>
              <w:jc w:val="center"/>
              <w:rPr>
                <w:noProof/>
                <w:sz w:val="18"/>
                <w:szCs w:val="18"/>
              </w:rPr>
            </w:pPr>
          </w:p>
        </w:tc>
        <w:tc>
          <w:tcPr>
            <w:tcW w:w="540" w:type="dxa"/>
            <w:tcBorders>
              <w:bottom w:val="single" w:sz="12" w:space="0" w:color="auto"/>
            </w:tcBorders>
          </w:tcPr>
          <w:p w:rsidR="009D2948" w:rsidRPr="009D2948" w:rsidRDefault="009D2948" w:rsidP="007A1A92">
            <w:pPr>
              <w:ind w:right="-29"/>
              <w:jc w:val="center"/>
              <w:rPr>
                <w:noProof/>
                <w:sz w:val="18"/>
                <w:szCs w:val="18"/>
              </w:rPr>
            </w:pPr>
          </w:p>
        </w:tc>
        <w:tc>
          <w:tcPr>
            <w:tcW w:w="720" w:type="dxa"/>
            <w:tcBorders>
              <w:bottom w:val="single" w:sz="12" w:space="0" w:color="auto"/>
            </w:tcBorders>
          </w:tcPr>
          <w:p w:rsidR="009D2948" w:rsidRPr="009D2948" w:rsidRDefault="009D2948" w:rsidP="007A1A92">
            <w:pPr>
              <w:ind w:right="-29"/>
              <w:jc w:val="center"/>
              <w:rPr>
                <w:noProof/>
                <w:sz w:val="18"/>
                <w:szCs w:val="18"/>
              </w:rPr>
            </w:pPr>
          </w:p>
        </w:tc>
        <w:tc>
          <w:tcPr>
            <w:tcW w:w="720" w:type="dxa"/>
            <w:tcBorders>
              <w:bottom w:val="single" w:sz="12" w:space="0" w:color="auto"/>
            </w:tcBorders>
          </w:tcPr>
          <w:p w:rsidR="009D2948" w:rsidRPr="009D2948" w:rsidRDefault="009D2948" w:rsidP="007A1A92">
            <w:pPr>
              <w:ind w:right="-29"/>
              <w:jc w:val="center"/>
              <w:rPr>
                <w:noProof/>
                <w:sz w:val="18"/>
                <w:szCs w:val="18"/>
              </w:rPr>
            </w:pPr>
          </w:p>
        </w:tc>
        <w:tc>
          <w:tcPr>
            <w:tcW w:w="900" w:type="dxa"/>
            <w:tcBorders>
              <w:bottom w:val="single" w:sz="12" w:space="0" w:color="auto"/>
            </w:tcBorders>
          </w:tcPr>
          <w:p w:rsidR="009D2948" w:rsidRPr="009D2948" w:rsidRDefault="009D2948" w:rsidP="007A1A92">
            <w:pPr>
              <w:ind w:right="-29"/>
              <w:jc w:val="center"/>
              <w:rPr>
                <w:noProof/>
                <w:sz w:val="18"/>
                <w:szCs w:val="18"/>
              </w:rPr>
            </w:pPr>
          </w:p>
        </w:tc>
      </w:tr>
      <w:tr w:rsidR="009D2948" w:rsidRPr="009D2948" w:rsidTr="007A1A92">
        <w:trPr>
          <w:jc w:val="center"/>
        </w:trPr>
        <w:tc>
          <w:tcPr>
            <w:tcW w:w="2844" w:type="dxa"/>
            <w:gridSpan w:val="3"/>
            <w:vAlign w:val="center"/>
          </w:tcPr>
          <w:p w:rsidR="009D2948" w:rsidRPr="009D2948" w:rsidRDefault="009D2948" w:rsidP="007A1A92">
            <w:pPr>
              <w:spacing w:before="60" w:after="60"/>
              <w:ind w:right="-29"/>
              <w:jc w:val="center"/>
              <w:rPr>
                <w:noProof/>
                <w:sz w:val="18"/>
                <w:szCs w:val="18"/>
              </w:rPr>
            </w:pPr>
            <w:r w:rsidRPr="009D2948">
              <w:rPr>
                <w:noProof/>
                <w:sz w:val="18"/>
              </w:rPr>
              <w:t>OBIECTIVUL SPECIFIC NR. 2…</w:t>
            </w:r>
          </w:p>
        </w:tc>
        <w:tc>
          <w:tcPr>
            <w:tcW w:w="504"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72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54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72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72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72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90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720" w:type="dxa"/>
            <w:gridSpan w:val="2"/>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54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648"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432"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72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54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72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72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c>
          <w:tcPr>
            <w:tcW w:w="900" w:type="dxa"/>
            <w:tcBorders>
              <w:top w:val="nil"/>
              <w:left w:val="nil"/>
              <w:bottom w:val="nil"/>
              <w:right w:val="nil"/>
            </w:tcBorders>
          </w:tcPr>
          <w:p w:rsidR="009D2948" w:rsidRPr="009D2948" w:rsidRDefault="009D2948" w:rsidP="007A1A92">
            <w:pPr>
              <w:spacing w:before="60" w:after="60"/>
              <w:ind w:right="-29"/>
              <w:jc w:val="center"/>
              <w:rPr>
                <w:noProof/>
                <w:sz w:val="18"/>
                <w:szCs w:val="18"/>
              </w:rPr>
            </w:pPr>
          </w:p>
        </w:tc>
      </w:tr>
      <w:tr w:rsidR="009D2948" w:rsidRPr="009D2948" w:rsidTr="007A1A92">
        <w:trPr>
          <w:trHeight w:hRule="exact" w:val="369"/>
          <w:jc w:val="center"/>
        </w:trPr>
        <w:tc>
          <w:tcPr>
            <w:tcW w:w="1423" w:type="dxa"/>
          </w:tcPr>
          <w:p w:rsidR="009D2948" w:rsidRPr="009D2948" w:rsidRDefault="009D2948" w:rsidP="007A1A92">
            <w:pPr>
              <w:ind w:right="-29"/>
              <w:jc w:val="center"/>
              <w:rPr>
                <w:noProof/>
                <w:sz w:val="18"/>
                <w:szCs w:val="18"/>
              </w:rPr>
            </w:pPr>
            <w:r w:rsidRPr="009D2948">
              <w:rPr>
                <w:noProof/>
                <w:sz w:val="18"/>
              </w:rPr>
              <w:t>- Realizare</w:t>
            </w:r>
          </w:p>
        </w:tc>
        <w:tc>
          <w:tcPr>
            <w:tcW w:w="720" w:type="dxa"/>
          </w:tcPr>
          <w:p w:rsidR="009D2948" w:rsidRPr="009D2948" w:rsidRDefault="009D2948" w:rsidP="007A1A92">
            <w:pPr>
              <w:ind w:right="-29"/>
              <w:jc w:val="center"/>
              <w:rPr>
                <w:noProof/>
                <w:sz w:val="18"/>
                <w:szCs w:val="18"/>
              </w:rPr>
            </w:pPr>
          </w:p>
        </w:tc>
        <w:tc>
          <w:tcPr>
            <w:tcW w:w="701" w:type="dxa"/>
          </w:tcPr>
          <w:p w:rsidR="009D2948" w:rsidRPr="009D2948" w:rsidRDefault="009D2948" w:rsidP="007A1A92">
            <w:pPr>
              <w:ind w:right="-29"/>
              <w:jc w:val="center"/>
              <w:rPr>
                <w:noProof/>
                <w:sz w:val="18"/>
                <w:szCs w:val="18"/>
              </w:rPr>
            </w:pPr>
          </w:p>
        </w:tc>
        <w:tc>
          <w:tcPr>
            <w:tcW w:w="504" w:type="dxa"/>
          </w:tcPr>
          <w:p w:rsidR="009D2948" w:rsidRPr="009D2948" w:rsidRDefault="009D2948" w:rsidP="007A1A92">
            <w:pPr>
              <w:ind w:right="-29"/>
              <w:jc w:val="center"/>
              <w:rPr>
                <w:noProof/>
                <w:sz w:val="18"/>
                <w:szCs w:val="18"/>
              </w:rPr>
            </w:pPr>
          </w:p>
        </w:tc>
        <w:tc>
          <w:tcPr>
            <w:tcW w:w="720" w:type="dxa"/>
          </w:tcPr>
          <w:p w:rsidR="009D2948" w:rsidRPr="009D2948" w:rsidRDefault="009D2948" w:rsidP="007A1A92">
            <w:pPr>
              <w:ind w:right="-29"/>
              <w:jc w:val="center"/>
              <w:rPr>
                <w:noProof/>
                <w:sz w:val="18"/>
                <w:szCs w:val="18"/>
              </w:rPr>
            </w:pPr>
          </w:p>
        </w:tc>
        <w:tc>
          <w:tcPr>
            <w:tcW w:w="540" w:type="dxa"/>
          </w:tcPr>
          <w:p w:rsidR="009D2948" w:rsidRPr="009D2948" w:rsidRDefault="009D2948" w:rsidP="007A1A92">
            <w:pPr>
              <w:ind w:right="-29"/>
              <w:jc w:val="center"/>
              <w:rPr>
                <w:noProof/>
                <w:sz w:val="18"/>
                <w:szCs w:val="18"/>
              </w:rPr>
            </w:pPr>
          </w:p>
        </w:tc>
        <w:tc>
          <w:tcPr>
            <w:tcW w:w="720" w:type="dxa"/>
          </w:tcPr>
          <w:p w:rsidR="009D2948" w:rsidRPr="009D2948" w:rsidRDefault="009D2948" w:rsidP="007A1A92">
            <w:pPr>
              <w:ind w:right="-29"/>
              <w:jc w:val="center"/>
              <w:rPr>
                <w:noProof/>
                <w:sz w:val="18"/>
                <w:szCs w:val="18"/>
              </w:rPr>
            </w:pPr>
          </w:p>
        </w:tc>
        <w:tc>
          <w:tcPr>
            <w:tcW w:w="720" w:type="dxa"/>
          </w:tcPr>
          <w:p w:rsidR="009D2948" w:rsidRPr="009D2948" w:rsidRDefault="009D2948" w:rsidP="007A1A92">
            <w:pPr>
              <w:ind w:right="-29"/>
              <w:jc w:val="center"/>
              <w:rPr>
                <w:noProof/>
                <w:sz w:val="18"/>
                <w:szCs w:val="18"/>
              </w:rPr>
            </w:pPr>
          </w:p>
        </w:tc>
        <w:tc>
          <w:tcPr>
            <w:tcW w:w="720" w:type="dxa"/>
          </w:tcPr>
          <w:p w:rsidR="009D2948" w:rsidRPr="009D2948" w:rsidRDefault="009D2948" w:rsidP="007A1A92">
            <w:pPr>
              <w:ind w:right="-29"/>
              <w:jc w:val="center"/>
              <w:rPr>
                <w:noProof/>
                <w:sz w:val="18"/>
                <w:szCs w:val="18"/>
              </w:rPr>
            </w:pPr>
          </w:p>
        </w:tc>
        <w:tc>
          <w:tcPr>
            <w:tcW w:w="900" w:type="dxa"/>
          </w:tcPr>
          <w:p w:rsidR="009D2948" w:rsidRPr="009D2948" w:rsidRDefault="009D2948" w:rsidP="007A1A92">
            <w:pPr>
              <w:ind w:right="-29"/>
              <w:jc w:val="center"/>
              <w:rPr>
                <w:noProof/>
                <w:sz w:val="18"/>
                <w:szCs w:val="18"/>
              </w:rPr>
            </w:pPr>
          </w:p>
        </w:tc>
        <w:tc>
          <w:tcPr>
            <w:tcW w:w="720" w:type="dxa"/>
            <w:gridSpan w:val="2"/>
          </w:tcPr>
          <w:p w:rsidR="009D2948" w:rsidRPr="009D2948" w:rsidRDefault="009D2948" w:rsidP="007A1A92">
            <w:pPr>
              <w:ind w:right="-29"/>
              <w:jc w:val="center"/>
              <w:rPr>
                <w:noProof/>
                <w:sz w:val="18"/>
                <w:szCs w:val="18"/>
              </w:rPr>
            </w:pPr>
          </w:p>
        </w:tc>
        <w:tc>
          <w:tcPr>
            <w:tcW w:w="540" w:type="dxa"/>
          </w:tcPr>
          <w:p w:rsidR="009D2948" w:rsidRPr="009D2948" w:rsidRDefault="009D2948" w:rsidP="007A1A92">
            <w:pPr>
              <w:ind w:right="-29"/>
              <w:jc w:val="center"/>
              <w:rPr>
                <w:noProof/>
                <w:sz w:val="18"/>
                <w:szCs w:val="18"/>
              </w:rPr>
            </w:pPr>
          </w:p>
        </w:tc>
        <w:tc>
          <w:tcPr>
            <w:tcW w:w="648" w:type="dxa"/>
          </w:tcPr>
          <w:p w:rsidR="009D2948" w:rsidRPr="009D2948" w:rsidRDefault="009D2948" w:rsidP="007A1A92">
            <w:pPr>
              <w:ind w:right="-29"/>
              <w:jc w:val="center"/>
              <w:rPr>
                <w:noProof/>
                <w:sz w:val="18"/>
                <w:szCs w:val="18"/>
              </w:rPr>
            </w:pPr>
          </w:p>
        </w:tc>
        <w:tc>
          <w:tcPr>
            <w:tcW w:w="432" w:type="dxa"/>
          </w:tcPr>
          <w:p w:rsidR="009D2948" w:rsidRPr="009D2948" w:rsidRDefault="009D2948" w:rsidP="007A1A92">
            <w:pPr>
              <w:ind w:right="-29"/>
              <w:jc w:val="center"/>
              <w:rPr>
                <w:noProof/>
                <w:sz w:val="18"/>
                <w:szCs w:val="18"/>
              </w:rPr>
            </w:pPr>
          </w:p>
        </w:tc>
        <w:tc>
          <w:tcPr>
            <w:tcW w:w="720" w:type="dxa"/>
          </w:tcPr>
          <w:p w:rsidR="009D2948" w:rsidRPr="009D2948" w:rsidRDefault="009D2948" w:rsidP="007A1A92">
            <w:pPr>
              <w:ind w:right="-29"/>
              <w:jc w:val="center"/>
              <w:rPr>
                <w:noProof/>
                <w:sz w:val="18"/>
                <w:szCs w:val="18"/>
              </w:rPr>
            </w:pPr>
          </w:p>
        </w:tc>
        <w:tc>
          <w:tcPr>
            <w:tcW w:w="540" w:type="dxa"/>
          </w:tcPr>
          <w:p w:rsidR="009D2948" w:rsidRPr="009D2948" w:rsidRDefault="009D2948" w:rsidP="007A1A92">
            <w:pPr>
              <w:ind w:right="-29"/>
              <w:jc w:val="center"/>
              <w:rPr>
                <w:noProof/>
                <w:sz w:val="18"/>
                <w:szCs w:val="18"/>
              </w:rPr>
            </w:pPr>
          </w:p>
        </w:tc>
        <w:tc>
          <w:tcPr>
            <w:tcW w:w="720" w:type="dxa"/>
          </w:tcPr>
          <w:p w:rsidR="009D2948" w:rsidRPr="009D2948" w:rsidRDefault="009D2948" w:rsidP="007A1A92">
            <w:pPr>
              <w:ind w:right="-29"/>
              <w:jc w:val="center"/>
              <w:rPr>
                <w:noProof/>
                <w:sz w:val="18"/>
                <w:szCs w:val="18"/>
              </w:rPr>
            </w:pPr>
          </w:p>
        </w:tc>
        <w:tc>
          <w:tcPr>
            <w:tcW w:w="720" w:type="dxa"/>
          </w:tcPr>
          <w:p w:rsidR="009D2948" w:rsidRPr="009D2948" w:rsidRDefault="009D2948" w:rsidP="007A1A92">
            <w:pPr>
              <w:ind w:right="-29"/>
              <w:jc w:val="center"/>
              <w:rPr>
                <w:noProof/>
                <w:sz w:val="18"/>
                <w:szCs w:val="18"/>
              </w:rPr>
            </w:pPr>
          </w:p>
        </w:tc>
        <w:tc>
          <w:tcPr>
            <w:tcW w:w="900" w:type="dxa"/>
          </w:tcPr>
          <w:p w:rsidR="009D2948" w:rsidRPr="009D2948" w:rsidRDefault="009D2948" w:rsidP="007A1A92">
            <w:pPr>
              <w:ind w:right="-29"/>
              <w:jc w:val="center"/>
              <w:rPr>
                <w:noProof/>
                <w:sz w:val="18"/>
                <w:szCs w:val="18"/>
              </w:rPr>
            </w:pPr>
          </w:p>
        </w:tc>
      </w:tr>
      <w:tr w:rsidR="009D2948" w:rsidRPr="009D2948" w:rsidTr="007A1A92">
        <w:trPr>
          <w:jc w:val="center"/>
        </w:trPr>
        <w:tc>
          <w:tcPr>
            <w:tcW w:w="2844" w:type="dxa"/>
            <w:gridSpan w:val="3"/>
            <w:tcBorders>
              <w:bottom w:val="single" w:sz="12" w:space="0" w:color="auto"/>
            </w:tcBorders>
            <w:vAlign w:val="center"/>
          </w:tcPr>
          <w:p w:rsidR="009D2948" w:rsidRPr="009D2948" w:rsidRDefault="009D2948" w:rsidP="007A1A92">
            <w:pPr>
              <w:jc w:val="center"/>
              <w:rPr>
                <w:noProof/>
                <w:sz w:val="18"/>
                <w:szCs w:val="18"/>
              </w:rPr>
            </w:pPr>
            <w:r w:rsidRPr="009D2948">
              <w:rPr>
                <w:noProof/>
                <w:sz w:val="18"/>
              </w:rPr>
              <w:t>Subtotal pentru obiectivul specific nr. 2</w:t>
            </w:r>
          </w:p>
        </w:tc>
        <w:tc>
          <w:tcPr>
            <w:tcW w:w="504" w:type="dxa"/>
            <w:tcBorders>
              <w:bottom w:val="single" w:sz="12" w:space="0" w:color="auto"/>
            </w:tcBorders>
          </w:tcPr>
          <w:p w:rsidR="009D2948" w:rsidRPr="009D2948" w:rsidRDefault="009D2948" w:rsidP="007A1A92">
            <w:pPr>
              <w:ind w:right="-29"/>
              <w:jc w:val="center"/>
              <w:rPr>
                <w:noProof/>
                <w:sz w:val="18"/>
                <w:szCs w:val="18"/>
              </w:rPr>
            </w:pPr>
          </w:p>
        </w:tc>
        <w:tc>
          <w:tcPr>
            <w:tcW w:w="720" w:type="dxa"/>
            <w:tcBorders>
              <w:bottom w:val="single" w:sz="12" w:space="0" w:color="auto"/>
            </w:tcBorders>
          </w:tcPr>
          <w:p w:rsidR="009D2948" w:rsidRPr="009D2948" w:rsidRDefault="009D2948" w:rsidP="007A1A92">
            <w:pPr>
              <w:ind w:right="-29"/>
              <w:jc w:val="center"/>
              <w:rPr>
                <w:noProof/>
                <w:sz w:val="18"/>
                <w:szCs w:val="18"/>
              </w:rPr>
            </w:pPr>
          </w:p>
        </w:tc>
        <w:tc>
          <w:tcPr>
            <w:tcW w:w="540" w:type="dxa"/>
            <w:tcBorders>
              <w:bottom w:val="single" w:sz="12" w:space="0" w:color="auto"/>
            </w:tcBorders>
          </w:tcPr>
          <w:p w:rsidR="009D2948" w:rsidRPr="009D2948" w:rsidRDefault="009D2948" w:rsidP="007A1A92">
            <w:pPr>
              <w:ind w:right="-29"/>
              <w:jc w:val="center"/>
              <w:rPr>
                <w:noProof/>
                <w:sz w:val="18"/>
                <w:szCs w:val="18"/>
              </w:rPr>
            </w:pPr>
          </w:p>
        </w:tc>
        <w:tc>
          <w:tcPr>
            <w:tcW w:w="720" w:type="dxa"/>
            <w:tcBorders>
              <w:bottom w:val="single" w:sz="12" w:space="0" w:color="auto"/>
            </w:tcBorders>
          </w:tcPr>
          <w:p w:rsidR="009D2948" w:rsidRPr="009D2948" w:rsidRDefault="009D2948" w:rsidP="007A1A92">
            <w:pPr>
              <w:ind w:right="-29"/>
              <w:jc w:val="center"/>
              <w:rPr>
                <w:noProof/>
                <w:sz w:val="18"/>
                <w:szCs w:val="18"/>
              </w:rPr>
            </w:pPr>
          </w:p>
        </w:tc>
        <w:tc>
          <w:tcPr>
            <w:tcW w:w="720" w:type="dxa"/>
            <w:tcBorders>
              <w:bottom w:val="single" w:sz="12" w:space="0" w:color="auto"/>
            </w:tcBorders>
          </w:tcPr>
          <w:p w:rsidR="009D2948" w:rsidRPr="009D2948" w:rsidRDefault="009D2948" w:rsidP="007A1A92">
            <w:pPr>
              <w:ind w:right="-29"/>
              <w:jc w:val="center"/>
              <w:rPr>
                <w:noProof/>
                <w:sz w:val="18"/>
                <w:szCs w:val="18"/>
              </w:rPr>
            </w:pPr>
          </w:p>
        </w:tc>
        <w:tc>
          <w:tcPr>
            <w:tcW w:w="720" w:type="dxa"/>
            <w:tcBorders>
              <w:bottom w:val="single" w:sz="12" w:space="0" w:color="auto"/>
            </w:tcBorders>
          </w:tcPr>
          <w:p w:rsidR="009D2948" w:rsidRPr="009D2948" w:rsidRDefault="009D2948" w:rsidP="007A1A92">
            <w:pPr>
              <w:ind w:right="-29"/>
              <w:jc w:val="center"/>
              <w:rPr>
                <w:noProof/>
                <w:sz w:val="18"/>
                <w:szCs w:val="18"/>
              </w:rPr>
            </w:pPr>
          </w:p>
        </w:tc>
        <w:tc>
          <w:tcPr>
            <w:tcW w:w="951" w:type="dxa"/>
            <w:gridSpan w:val="2"/>
            <w:tcBorders>
              <w:bottom w:val="single" w:sz="12" w:space="0" w:color="auto"/>
            </w:tcBorders>
          </w:tcPr>
          <w:p w:rsidR="009D2948" w:rsidRPr="009D2948" w:rsidRDefault="009D2948" w:rsidP="007A1A92">
            <w:pPr>
              <w:ind w:right="-29"/>
              <w:jc w:val="center"/>
              <w:rPr>
                <w:noProof/>
                <w:sz w:val="18"/>
                <w:szCs w:val="18"/>
              </w:rPr>
            </w:pPr>
          </w:p>
        </w:tc>
        <w:tc>
          <w:tcPr>
            <w:tcW w:w="669" w:type="dxa"/>
            <w:tcBorders>
              <w:bottom w:val="single" w:sz="12" w:space="0" w:color="auto"/>
            </w:tcBorders>
          </w:tcPr>
          <w:p w:rsidR="009D2948" w:rsidRPr="009D2948" w:rsidRDefault="009D2948" w:rsidP="007A1A92">
            <w:pPr>
              <w:ind w:right="-29"/>
              <w:jc w:val="center"/>
              <w:rPr>
                <w:noProof/>
                <w:sz w:val="18"/>
                <w:szCs w:val="18"/>
              </w:rPr>
            </w:pPr>
          </w:p>
        </w:tc>
        <w:tc>
          <w:tcPr>
            <w:tcW w:w="540" w:type="dxa"/>
            <w:tcBorders>
              <w:bottom w:val="single" w:sz="12" w:space="0" w:color="auto"/>
            </w:tcBorders>
          </w:tcPr>
          <w:p w:rsidR="009D2948" w:rsidRPr="009D2948" w:rsidRDefault="009D2948" w:rsidP="007A1A92">
            <w:pPr>
              <w:ind w:right="-29"/>
              <w:jc w:val="center"/>
              <w:rPr>
                <w:noProof/>
                <w:sz w:val="18"/>
                <w:szCs w:val="18"/>
              </w:rPr>
            </w:pPr>
          </w:p>
        </w:tc>
        <w:tc>
          <w:tcPr>
            <w:tcW w:w="648" w:type="dxa"/>
            <w:tcBorders>
              <w:bottom w:val="single" w:sz="12" w:space="0" w:color="auto"/>
            </w:tcBorders>
          </w:tcPr>
          <w:p w:rsidR="009D2948" w:rsidRPr="009D2948" w:rsidRDefault="009D2948" w:rsidP="007A1A92">
            <w:pPr>
              <w:ind w:right="-29"/>
              <w:jc w:val="center"/>
              <w:rPr>
                <w:noProof/>
                <w:sz w:val="18"/>
                <w:szCs w:val="18"/>
              </w:rPr>
            </w:pPr>
          </w:p>
        </w:tc>
        <w:tc>
          <w:tcPr>
            <w:tcW w:w="432" w:type="dxa"/>
            <w:tcBorders>
              <w:bottom w:val="single" w:sz="12" w:space="0" w:color="auto"/>
            </w:tcBorders>
          </w:tcPr>
          <w:p w:rsidR="009D2948" w:rsidRPr="009D2948" w:rsidRDefault="009D2948" w:rsidP="007A1A92">
            <w:pPr>
              <w:ind w:right="-29"/>
              <w:jc w:val="center"/>
              <w:rPr>
                <w:noProof/>
                <w:sz w:val="18"/>
                <w:szCs w:val="18"/>
              </w:rPr>
            </w:pPr>
          </w:p>
        </w:tc>
        <w:tc>
          <w:tcPr>
            <w:tcW w:w="720" w:type="dxa"/>
            <w:tcBorders>
              <w:bottom w:val="single" w:sz="12" w:space="0" w:color="auto"/>
            </w:tcBorders>
          </w:tcPr>
          <w:p w:rsidR="009D2948" w:rsidRPr="009D2948" w:rsidRDefault="009D2948" w:rsidP="007A1A92">
            <w:pPr>
              <w:ind w:right="-29"/>
              <w:jc w:val="center"/>
              <w:rPr>
                <w:noProof/>
                <w:sz w:val="18"/>
                <w:szCs w:val="18"/>
              </w:rPr>
            </w:pPr>
          </w:p>
        </w:tc>
        <w:tc>
          <w:tcPr>
            <w:tcW w:w="540" w:type="dxa"/>
            <w:tcBorders>
              <w:bottom w:val="single" w:sz="12" w:space="0" w:color="auto"/>
            </w:tcBorders>
          </w:tcPr>
          <w:p w:rsidR="009D2948" w:rsidRPr="009D2948" w:rsidRDefault="009D2948" w:rsidP="007A1A92">
            <w:pPr>
              <w:ind w:right="-29"/>
              <w:jc w:val="center"/>
              <w:rPr>
                <w:noProof/>
                <w:sz w:val="18"/>
                <w:szCs w:val="18"/>
              </w:rPr>
            </w:pPr>
          </w:p>
        </w:tc>
        <w:tc>
          <w:tcPr>
            <w:tcW w:w="720" w:type="dxa"/>
            <w:tcBorders>
              <w:bottom w:val="single" w:sz="12" w:space="0" w:color="auto"/>
            </w:tcBorders>
          </w:tcPr>
          <w:p w:rsidR="009D2948" w:rsidRPr="009D2948" w:rsidRDefault="009D2948" w:rsidP="007A1A92">
            <w:pPr>
              <w:ind w:right="-29"/>
              <w:jc w:val="center"/>
              <w:rPr>
                <w:noProof/>
                <w:sz w:val="18"/>
                <w:szCs w:val="18"/>
              </w:rPr>
            </w:pPr>
          </w:p>
        </w:tc>
        <w:tc>
          <w:tcPr>
            <w:tcW w:w="720" w:type="dxa"/>
            <w:tcBorders>
              <w:bottom w:val="single" w:sz="12" w:space="0" w:color="auto"/>
            </w:tcBorders>
          </w:tcPr>
          <w:p w:rsidR="009D2948" w:rsidRPr="009D2948" w:rsidRDefault="009D2948" w:rsidP="007A1A92">
            <w:pPr>
              <w:ind w:right="-29"/>
              <w:jc w:val="center"/>
              <w:rPr>
                <w:noProof/>
                <w:sz w:val="18"/>
                <w:szCs w:val="18"/>
              </w:rPr>
            </w:pPr>
          </w:p>
        </w:tc>
        <w:tc>
          <w:tcPr>
            <w:tcW w:w="900" w:type="dxa"/>
            <w:tcBorders>
              <w:bottom w:val="single" w:sz="12" w:space="0" w:color="auto"/>
            </w:tcBorders>
          </w:tcPr>
          <w:p w:rsidR="009D2948" w:rsidRPr="009D2948" w:rsidRDefault="009D2948" w:rsidP="007A1A92">
            <w:pPr>
              <w:ind w:right="-29"/>
              <w:jc w:val="center"/>
              <w:rPr>
                <w:noProof/>
                <w:sz w:val="18"/>
                <w:szCs w:val="18"/>
              </w:rPr>
            </w:pPr>
          </w:p>
        </w:tc>
      </w:tr>
      <w:tr w:rsidR="009D2948" w:rsidRPr="009D2948" w:rsidTr="007A1A92">
        <w:trPr>
          <w:jc w:val="center"/>
        </w:trPr>
        <w:tc>
          <w:tcPr>
            <w:tcW w:w="2844" w:type="dxa"/>
            <w:gridSpan w:val="3"/>
            <w:tcBorders>
              <w:top w:val="single" w:sz="12" w:space="0" w:color="auto"/>
              <w:left w:val="single" w:sz="12" w:space="0" w:color="auto"/>
              <w:bottom w:val="single" w:sz="12" w:space="0" w:color="auto"/>
            </w:tcBorders>
            <w:vAlign w:val="center"/>
          </w:tcPr>
          <w:p w:rsidR="009D2948" w:rsidRPr="009D2948" w:rsidRDefault="009D2948" w:rsidP="007A1A92">
            <w:pPr>
              <w:ind w:right="-29"/>
              <w:jc w:val="center"/>
              <w:rPr>
                <w:noProof/>
                <w:sz w:val="18"/>
                <w:szCs w:val="18"/>
              </w:rPr>
            </w:pPr>
            <w:r w:rsidRPr="009D2948">
              <w:rPr>
                <w:b/>
                <w:noProof/>
                <w:sz w:val="18"/>
              </w:rPr>
              <w:t>COSTURI TOTALE</w:t>
            </w:r>
          </w:p>
        </w:tc>
        <w:tc>
          <w:tcPr>
            <w:tcW w:w="504" w:type="dxa"/>
            <w:tcBorders>
              <w:top w:val="single" w:sz="12" w:space="0" w:color="auto"/>
              <w:bottom w:val="single" w:sz="12" w:space="0" w:color="auto"/>
            </w:tcBorders>
          </w:tcPr>
          <w:p w:rsidR="009D2948" w:rsidRPr="009D2948" w:rsidRDefault="009D2948" w:rsidP="007A1A92">
            <w:pPr>
              <w:spacing w:before="180" w:after="180"/>
              <w:ind w:right="-29"/>
              <w:jc w:val="center"/>
              <w:rPr>
                <w:noProof/>
                <w:sz w:val="18"/>
                <w:szCs w:val="18"/>
              </w:rPr>
            </w:pPr>
          </w:p>
        </w:tc>
        <w:tc>
          <w:tcPr>
            <w:tcW w:w="720" w:type="dxa"/>
            <w:tcBorders>
              <w:top w:val="single" w:sz="12" w:space="0" w:color="auto"/>
              <w:bottom w:val="single" w:sz="12" w:space="0" w:color="auto"/>
            </w:tcBorders>
          </w:tcPr>
          <w:p w:rsidR="009D2948" w:rsidRPr="009D2948" w:rsidRDefault="009D2948" w:rsidP="007A1A92">
            <w:pPr>
              <w:spacing w:before="180" w:after="180"/>
              <w:ind w:right="-29"/>
              <w:jc w:val="center"/>
              <w:rPr>
                <w:noProof/>
                <w:sz w:val="18"/>
                <w:szCs w:val="18"/>
              </w:rPr>
            </w:pPr>
          </w:p>
        </w:tc>
        <w:tc>
          <w:tcPr>
            <w:tcW w:w="540" w:type="dxa"/>
            <w:tcBorders>
              <w:top w:val="single" w:sz="12" w:space="0" w:color="auto"/>
              <w:bottom w:val="single" w:sz="12" w:space="0" w:color="auto"/>
            </w:tcBorders>
          </w:tcPr>
          <w:p w:rsidR="009D2948" w:rsidRPr="009D2948" w:rsidRDefault="009D2948" w:rsidP="007A1A92">
            <w:pPr>
              <w:spacing w:before="180" w:after="180"/>
              <w:ind w:right="-29"/>
              <w:jc w:val="center"/>
              <w:rPr>
                <w:noProof/>
                <w:sz w:val="18"/>
                <w:szCs w:val="18"/>
              </w:rPr>
            </w:pPr>
          </w:p>
        </w:tc>
        <w:tc>
          <w:tcPr>
            <w:tcW w:w="720" w:type="dxa"/>
            <w:tcBorders>
              <w:top w:val="single" w:sz="12" w:space="0" w:color="auto"/>
              <w:bottom w:val="single" w:sz="12" w:space="0" w:color="auto"/>
            </w:tcBorders>
          </w:tcPr>
          <w:p w:rsidR="009D2948" w:rsidRPr="009D2948" w:rsidRDefault="009D2948" w:rsidP="007A1A92">
            <w:pPr>
              <w:spacing w:before="180" w:after="180"/>
              <w:ind w:right="-29"/>
              <w:jc w:val="center"/>
              <w:rPr>
                <w:noProof/>
                <w:sz w:val="18"/>
                <w:szCs w:val="18"/>
              </w:rPr>
            </w:pPr>
          </w:p>
        </w:tc>
        <w:tc>
          <w:tcPr>
            <w:tcW w:w="720" w:type="dxa"/>
            <w:tcBorders>
              <w:top w:val="single" w:sz="12" w:space="0" w:color="auto"/>
              <w:bottom w:val="single" w:sz="12" w:space="0" w:color="auto"/>
            </w:tcBorders>
          </w:tcPr>
          <w:p w:rsidR="009D2948" w:rsidRPr="009D2948" w:rsidRDefault="009D2948" w:rsidP="007A1A92">
            <w:pPr>
              <w:spacing w:before="180" w:after="180"/>
              <w:ind w:right="-29"/>
              <w:jc w:val="center"/>
              <w:rPr>
                <w:noProof/>
                <w:sz w:val="18"/>
                <w:szCs w:val="18"/>
              </w:rPr>
            </w:pPr>
          </w:p>
        </w:tc>
        <w:tc>
          <w:tcPr>
            <w:tcW w:w="720" w:type="dxa"/>
            <w:tcBorders>
              <w:top w:val="single" w:sz="12" w:space="0" w:color="auto"/>
              <w:bottom w:val="single" w:sz="12" w:space="0" w:color="auto"/>
            </w:tcBorders>
          </w:tcPr>
          <w:p w:rsidR="009D2948" w:rsidRPr="009D2948" w:rsidRDefault="009D2948" w:rsidP="007A1A92">
            <w:pPr>
              <w:spacing w:before="180" w:after="180"/>
              <w:ind w:right="-29"/>
              <w:jc w:val="center"/>
              <w:rPr>
                <w:noProof/>
                <w:sz w:val="18"/>
                <w:szCs w:val="18"/>
              </w:rPr>
            </w:pPr>
          </w:p>
        </w:tc>
        <w:tc>
          <w:tcPr>
            <w:tcW w:w="900" w:type="dxa"/>
            <w:tcBorders>
              <w:top w:val="single" w:sz="12" w:space="0" w:color="auto"/>
              <w:bottom w:val="single" w:sz="12" w:space="0" w:color="auto"/>
            </w:tcBorders>
          </w:tcPr>
          <w:p w:rsidR="009D2948" w:rsidRPr="009D2948" w:rsidRDefault="009D2948" w:rsidP="007A1A92">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9D2948" w:rsidRPr="009D2948" w:rsidRDefault="009D2948" w:rsidP="007A1A92">
            <w:pPr>
              <w:spacing w:before="180" w:after="180"/>
              <w:ind w:right="-29"/>
              <w:jc w:val="center"/>
              <w:rPr>
                <w:noProof/>
                <w:sz w:val="18"/>
                <w:szCs w:val="18"/>
              </w:rPr>
            </w:pPr>
          </w:p>
        </w:tc>
        <w:tc>
          <w:tcPr>
            <w:tcW w:w="540" w:type="dxa"/>
            <w:tcBorders>
              <w:top w:val="single" w:sz="12" w:space="0" w:color="auto"/>
              <w:bottom w:val="single" w:sz="12" w:space="0" w:color="auto"/>
            </w:tcBorders>
          </w:tcPr>
          <w:p w:rsidR="009D2948" w:rsidRPr="009D2948" w:rsidRDefault="009D2948" w:rsidP="007A1A92">
            <w:pPr>
              <w:spacing w:before="180" w:after="180"/>
              <w:ind w:right="-29"/>
              <w:jc w:val="center"/>
              <w:rPr>
                <w:noProof/>
                <w:sz w:val="18"/>
                <w:szCs w:val="18"/>
              </w:rPr>
            </w:pPr>
          </w:p>
        </w:tc>
        <w:tc>
          <w:tcPr>
            <w:tcW w:w="648" w:type="dxa"/>
            <w:tcBorders>
              <w:top w:val="single" w:sz="12" w:space="0" w:color="auto"/>
              <w:bottom w:val="single" w:sz="12" w:space="0" w:color="auto"/>
            </w:tcBorders>
          </w:tcPr>
          <w:p w:rsidR="009D2948" w:rsidRPr="009D2948" w:rsidRDefault="009D2948" w:rsidP="007A1A92">
            <w:pPr>
              <w:spacing w:before="180" w:after="180"/>
              <w:ind w:right="-29"/>
              <w:jc w:val="center"/>
              <w:rPr>
                <w:noProof/>
                <w:sz w:val="18"/>
                <w:szCs w:val="18"/>
              </w:rPr>
            </w:pPr>
          </w:p>
        </w:tc>
        <w:tc>
          <w:tcPr>
            <w:tcW w:w="432" w:type="dxa"/>
            <w:tcBorders>
              <w:top w:val="single" w:sz="12" w:space="0" w:color="auto"/>
              <w:bottom w:val="single" w:sz="12" w:space="0" w:color="auto"/>
            </w:tcBorders>
          </w:tcPr>
          <w:p w:rsidR="009D2948" w:rsidRPr="009D2948" w:rsidRDefault="009D2948" w:rsidP="007A1A92">
            <w:pPr>
              <w:spacing w:before="180" w:after="180"/>
              <w:ind w:right="-29"/>
              <w:jc w:val="center"/>
              <w:rPr>
                <w:noProof/>
                <w:sz w:val="18"/>
                <w:szCs w:val="18"/>
              </w:rPr>
            </w:pPr>
          </w:p>
        </w:tc>
        <w:tc>
          <w:tcPr>
            <w:tcW w:w="720" w:type="dxa"/>
            <w:tcBorders>
              <w:top w:val="single" w:sz="12" w:space="0" w:color="auto"/>
              <w:bottom w:val="single" w:sz="12" w:space="0" w:color="auto"/>
            </w:tcBorders>
          </w:tcPr>
          <w:p w:rsidR="009D2948" w:rsidRPr="009D2948" w:rsidRDefault="009D2948" w:rsidP="007A1A92">
            <w:pPr>
              <w:spacing w:before="180" w:after="180"/>
              <w:ind w:right="-29"/>
              <w:jc w:val="center"/>
              <w:rPr>
                <w:noProof/>
                <w:sz w:val="18"/>
                <w:szCs w:val="18"/>
              </w:rPr>
            </w:pPr>
          </w:p>
        </w:tc>
        <w:tc>
          <w:tcPr>
            <w:tcW w:w="540" w:type="dxa"/>
            <w:tcBorders>
              <w:top w:val="single" w:sz="12" w:space="0" w:color="auto"/>
              <w:bottom w:val="single" w:sz="12" w:space="0" w:color="auto"/>
            </w:tcBorders>
          </w:tcPr>
          <w:p w:rsidR="009D2948" w:rsidRPr="009D2948" w:rsidRDefault="009D2948" w:rsidP="007A1A92">
            <w:pPr>
              <w:spacing w:before="180" w:after="180"/>
              <w:ind w:right="-29"/>
              <w:jc w:val="center"/>
              <w:rPr>
                <w:noProof/>
                <w:sz w:val="18"/>
                <w:szCs w:val="18"/>
              </w:rPr>
            </w:pPr>
          </w:p>
        </w:tc>
        <w:tc>
          <w:tcPr>
            <w:tcW w:w="720" w:type="dxa"/>
            <w:tcBorders>
              <w:top w:val="single" w:sz="12" w:space="0" w:color="auto"/>
              <w:bottom w:val="single" w:sz="12" w:space="0" w:color="auto"/>
            </w:tcBorders>
          </w:tcPr>
          <w:p w:rsidR="009D2948" w:rsidRPr="009D2948" w:rsidRDefault="009D2948" w:rsidP="007A1A92">
            <w:pPr>
              <w:spacing w:before="180" w:after="180"/>
              <w:ind w:right="-29"/>
              <w:jc w:val="center"/>
              <w:rPr>
                <w:noProof/>
                <w:sz w:val="18"/>
                <w:szCs w:val="18"/>
              </w:rPr>
            </w:pPr>
          </w:p>
        </w:tc>
        <w:tc>
          <w:tcPr>
            <w:tcW w:w="720" w:type="dxa"/>
            <w:tcBorders>
              <w:top w:val="single" w:sz="12" w:space="0" w:color="auto"/>
              <w:bottom w:val="single" w:sz="12" w:space="0" w:color="auto"/>
            </w:tcBorders>
          </w:tcPr>
          <w:p w:rsidR="009D2948" w:rsidRPr="009D2948" w:rsidRDefault="009D2948" w:rsidP="007A1A92">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9D2948" w:rsidRPr="009D2948" w:rsidRDefault="009D2948" w:rsidP="007A1A92">
            <w:pPr>
              <w:spacing w:before="180" w:after="180"/>
              <w:ind w:right="-29"/>
              <w:jc w:val="center"/>
              <w:rPr>
                <w:noProof/>
                <w:sz w:val="18"/>
                <w:szCs w:val="18"/>
              </w:rPr>
            </w:pPr>
          </w:p>
        </w:tc>
      </w:tr>
    </w:tbl>
    <w:p w:rsidR="009D2948" w:rsidRPr="009D2948" w:rsidRDefault="009D2948" w:rsidP="009D2948">
      <w:pPr>
        <w:rPr>
          <w:noProof/>
        </w:rPr>
        <w:sectPr w:rsidR="009D2948" w:rsidRPr="009D2948" w:rsidSect="006B1E4D">
          <w:pgSz w:w="16840" w:h="11907" w:orient="landscape" w:code="9"/>
          <w:pgMar w:top="1134" w:right="1418" w:bottom="567" w:left="1418" w:header="709" w:footer="709" w:gutter="0"/>
          <w:cols w:space="708"/>
          <w:docGrid w:linePitch="360"/>
        </w:sectPr>
      </w:pPr>
    </w:p>
    <w:p w:rsidR="009D2948" w:rsidRPr="009D2948" w:rsidRDefault="009D2948" w:rsidP="009D2948">
      <w:pPr>
        <w:pStyle w:val="ManualHeading3"/>
        <w:rPr>
          <w:bCs/>
          <w:noProof/>
          <w:szCs w:val="24"/>
        </w:rPr>
      </w:pPr>
      <w:r w:rsidRPr="009D2948">
        <w:lastRenderedPageBreak/>
        <w:t>3.2.3.</w:t>
      </w:r>
      <w:r w:rsidRPr="009D2948">
        <w:tab/>
        <w:t>Impactul estimat asupra creditelor cu caracter administrativ</w:t>
      </w:r>
    </w:p>
    <w:p w:rsidR="009D2948" w:rsidRPr="009D2948" w:rsidRDefault="009D2948" w:rsidP="009D2948">
      <w:pPr>
        <w:pStyle w:val="ManualHeading4"/>
        <w:rPr>
          <w:noProof/>
        </w:rPr>
      </w:pPr>
      <w:r w:rsidRPr="009D2948">
        <w:t>3.2.3.1.</w:t>
      </w:r>
      <w:r w:rsidRPr="009D2948">
        <w:tab/>
        <w:t xml:space="preserve">Sinteză </w:t>
      </w:r>
    </w:p>
    <w:p w:rsidR="009D2948" w:rsidRPr="009D2948" w:rsidRDefault="009D2948" w:rsidP="009D2948">
      <w:pPr>
        <w:pStyle w:val="ListDash1"/>
        <w:rPr>
          <w:noProof/>
        </w:rPr>
      </w:pPr>
      <w:r w:rsidRPr="009D2948">
        <w:rPr>
          <w:noProof/>
        </w:rPr>
        <w:sym w:font="Wingdings" w:char="F0FE"/>
      </w:r>
      <w:r w:rsidRPr="009D2948">
        <w:tab/>
        <w:t xml:space="preserve">Propunerea/inițiativa nu implică utilizarea de credite cu caracter administrativ </w:t>
      </w:r>
    </w:p>
    <w:p w:rsidR="009D2948" w:rsidRPr="009D2948" w:rsidRDefault="009D2948" w:rsidP="009D2948">
      <w:pPr>
        <w:pStyle w:val="ListDash1"/>
        <w:rPr>
          <w:noProof/>
        </w:rPr>
      </w:pPr>
      <w:r w:rsidRPr="009D2948">
        <w:rPr>
          <w:noProof/>
        </w:rPr>
        <w:sym w:font="Wingdings" w:char="F0A8"/>
      </w:r>
      <w:r w:rsidRPr="009D2948">
        <w:tab/>
        <w:t>Propunerea/inițiativa implică utilizarea de credite cu caracter administrativ, conform explicațiilor de mai jos:</w:t>
      </w:r>
    </w:p>
    <w:p w:rsidR="009D2948" w:rsidRPr="009D2948" w:rsidRDefault="009D2948" w:rsidP="009D2948">
      <w:pPr>
        <w:rPr>
          <w:noProof/>
          <w:sz w:val="20"/>
        </w:rPr>
      </w:pPr>
      <w:r w:rsidRPr="009D2948">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9D2948" w:rsidRPr="009D2948" w:rsidTr="007A1A92">
        <w:trPr>
          <w:trHeight w:val="585"/>
        </w:trPr>
        <w:tc>
          <w:tcPr>
            <w:tcW w:w="1980" w:type="dxa"/>
          </w:tcPr>
          <w:p w:rsidR="009D2948" w:rsidRPr="009D2948" w:rsidRDefault="009D2948" w:rsidP="007A1A92">
            <w:pPr>
              <w:spacing w:before="60" w:after="60" w:line="200" w:lineRule="exact"/>
              <w:rPr>
                <w:noProof/>
                <w:sz w:val="16"/>
                <w:szCs w:val="16"/>
              </w:rPr>
            </w:pPr>
          </w:p>
        </w:tc>
        <w:tc>
          <w:tcPr>
            <w:tcW w:w="1080" w:type="dxa"/>
            <w:vAlign w:val="center"/>
          </w:tcPr>
          <w:p w:rsidR="009D2948" w:rsidRPr="009D2948" w:rsidRDefault="009D2948" w:rsidP="007A1A92">
            <w:pPr>
              <w:spacing w:before="60" w:after="60" w:line="200" w:lineRule="exact"/>
              <w:jc w:val="center"/>
              <w:rPr>
                <w:noProof/>
                <w:sz w:val="16"/>
                <w:szCs w:val="16"/>
              </w:rPr>
            </w:pPr>
            <w:r w:rsidRPr="009D2948">
              <w:rPr>
                <w:sz w:val="16"/>
                <w:szCs w:val="16"/>
              </w:rPr>
              <w:t>Anul</w:t>
            </w:r>
            <w:r w:rsidRPr="009D2948">
              <w:rPr>
                <w:noProof/>
                <w:sz w:val="22"/>
              </w:rPr>
              <w:t xml:space="preserve"> </w:t>
            </w:r>
            <w:r w:rsidRPr="009D2948">
              <w:rPr>
                <w:noProof/>
                <w:sz w:val="22"/>
              </w:rPr>
              <w:br/>
            </w:r>
            <w:r w:rsidRPr="009D2948">
              <w:rPr>
                <w:b/>
                <w:noProof/>
                <w:sz w:val="16"/>
                <w:szCs w:val="16"/>
              </w:rPr>
              <w:t xml:space="preserve">N </w:t>
            </w:r>
            <w:r w:rsidRPr="009D2948">
              <w:rPr>
                <w:rStyle w:val="FootnoteReference"/>
                <w:b/>
                <w:noProof/>
                <w:sz w:val="16"/>
                <w:szCs w:val="16"/>
              </w:rPr>
              <w:footnoteReference w:id="70"/>
            </w:r>
          </w:p>
        </w:tc>
        <w:tc>
          <w:tcPr>
            <w:tcW w:w="1080" w:type="dxa"/>
            <w:vAlign w:val="center"/>
          </w:tcPr>
          <w:p w:rsidR="009D2948" w:rsidRPr="009D2948" w:rsidRDefault="009D2948" w:rsidP="007A1A92">
            <w:pPr>
              <w:spacing w:before="60" w:after="60" w:line="200" w:lineRule="exact"/>
              <w:jc w:val="center"/>
              <w:rPr>
                <w:noProof/>
                <w:sz w:val="16"/>
                <w:szCs w:val="16"/>
              </w:rPr>
            </w:pPr>
            <w:r w:rsidRPr="009D2948">
              <w:rPr>
                <w:sz w:val="16"/>
                <w:szCs w:val="16"/>
              </w:rPr>
              <w:t>Anul</w:t>
            </w:r>
            <w:r w:rsidRPr="009D2948">
              <w:rPr>
                <w:noProof/>
                <w:sz w:val="22"/>
              </w:rPr>
              <w:t xml:space="preserve"> </w:t>
            </w:r>
            <w:r w:rsidRPr="009D2948">
              <w:rPr>
                <w:noProof/>
                <w:sz w:val="22"/>
              </w:rPr>
              <w:br/>
            </w:r>
            <w:r w:rsidRPr="009D2948">
              <w:rPr>
                <w:b/>
                <w:noProof/>
                <w:sz w:val="16"/>
                <w:szCs w:val="16"/>
              </w:rPr>
              <w:t>N+1</w:t>
            </w:r>
          </w:p>
        </w:tc>
        <w:tc>
          <w:tcPr>
            <w:tcW w:w="1080" w:type="dxa"/>
            <w:vAlign w:val="center"/>
          </w:tcPr>
          <w:p w:rsidR="009D2948" w:rsidRPr="009D2948" w:rsidRDefault="009D2948" w:rsidP="007A1A92">
            <w:pPr>
              <w:spacing w:before="60" w:after="60" w:line="200" w:lineRule="exact"/>
              <w:jc w:val="center"/>
              <w:rPr>
                <w:noProof/>
                <w:sz w:val="16"/>
                <w:szCs w:val="16"/>
              </w:rPr>
            </w:pPr>
            <w:r w:rsidRPr="009D2948">
              <w:rPr>
                <w:sz w:val="16"/>
                <w:szCs w:val="16"/>
              </w:rPr>
              <w:t>Anul</w:t>
            </w:r>
            <w:r w:rsidRPr="009D2948">
              <w:rPr>
                <w:noProof/>
                <w:sz w:val="22"/>
              </w:rPr>
              <w:t xml:space="preserve"> </w:t>
            </w:r>
            <w:r w:rsidRPr="009D2948">
              <w:rPr>
                <w:noProof/>
                <w:sz w:val="22"/>
              </w:rPr>
              <w:br/>
            </w:r>
            <w:r w:rsidRPr="009D2948">
              <w:rPr>
                <w:b/>
                <w:noProof/>
                <w:sz w:val="16"/>
                <w:szCs w:val="16"/>
              </w:rPr>
              <w:t>N+2</w:t>
            </w:r>
          </w:p>
        </w:tc>
        <w:tc>
          <w:tcPr>
            <w:tcW w:w="1080" w:type="dxa"/>
            <w:vAlign w:val="center"/>
          </w:tcPr>
          <w:p w:rsidR="009D2948" w:rsidRPr="009D2948" w:rsidRDefault="009D2948" w:rsidP="007A1A92">
            <w:pPr>
              <w:spacing w:before="60" w:after="60" w:line="200" w:lineRule="exact"/>
              <w:jc w:val="center"/>
              <w:rPr>
                <w:noProof/>
                <w:sz w:val="16"/>
                <w:szCs w:val="16"/>
              </w:rPr>
            </w:pPr>
            <w:r w:rsidRPr="009D2948">
              <w:rPr>
                <w:sz w:val="16"/>
                <w:szCs w:val="16"/>
              </w:rPr>
              <w:t>Anul</w:t>
            </w:r>
            <w:r w:rsidRPr="009D2948">
              <w:rPr>
                <w:noProof/>
                <w:sz w:val="22"/>
              </w:rPr>
              <w:t xml:space="preserve"> </w:t>
            </w:r>
            <w:r w:rsidRPr="009D2948">
              <w:rPr>
                <w:noProof/>
                <w:sz w:val="22"/>
              </w:rPr>
              <w:br/>
            </w:r>
            <w:r w:rsidRPr="009D2948">
              <w:rPr>
                <w:b/>
                <w:noProof/>
                <w:sz w:val="16"/>
                <w:szCs w:val="16"/>
              </w:rPr>
              <w:t>N+3</w:t>
            </w:r>
          </w:p>
        </w:tc>
        <w:tc>
          <w:tcPr>
            <w:tcW w:w="3240" w:type="dxa"/>
            <w:vAlign w:val="center"/>
          </w:tcPr>
          <w:p w:rsidR="009D2948" w:rsidRPr="009D2948" w:rsidRDefault="009D2948" w:rsidP="007A1A92">
            <w:pPr>
              <w:spacing w:line="200" w:lineRule="exact"/>
              <w:jc w:val="center"/>
              <w:rPr>
                <w:b/>
                <w:noProof/>
                <w:sz w:val="16"/>
                <w:szCs w:val="16"/>
              </w:rPr>
            </w:pPr>
            <w:r w:rsidRPr="009D2948">
              <w:rPr>
                <w:noProof/>
                <w:sz w:val="16"/>
              </w:rPr>
              <w:t>A se introduce atâția ani câți sunt considerați necesari pentru a reflecta durata impactului (cf. punctul 1.6)</w:t>
            </w:r>
          </w:p>
        </w:tc>
        <w:tc>
          <w:tcPr>
            <w:tcW w:w="1080" w:type="dxa"/>
            <w:vAlign w:val="center"/>
          </w:tcPr>
          <w:p w:rsidR="009D2948" w:rsidRPr="009D2948" w:rsidRDefault="009D2948" w:rsidP="007A1A92">
            <w:pPr>
              <w:spacing w:before="60" w:after="60" w:line="200" w:lineRule="exact"/>
              <w:jc w:val="center"/>
              <w:rPr>
                <w:b/>
                <w:noProof/>
                <w:sz w:val="16"/>
                <w:szCs w:val="16"/>
              </w:rPr>
            </w:pPr>
            <w:r w:rsidRPr="009D2948">
              <w:rPr>
                <w:b/>
                <w:noProof/>
                <w:sz w:val="16"/>
              </w:rPr>
              <w:t>TOTAL</w:t>
            </w:r>
          </w:p>
        </w:tc>
      </w:tr>
    </w:tbl>
    <w:p w:rsidR="009D2948" w:rsidRPr="009D2948" w:rsidRDefault="009D2948" w:rsidP="009D2948">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D2948" w:rsidRPr="009D2948" w:rsidTr="007A1A92">
        <w:trPr>
          <w:trHeight w:val="585"/>
        </w:trPr>
        <w:tc>
          <w:tcPr>
            <w:tcW w:w="1980" w:type="dxa"/>
            <w:shd w:val="clear" w:color="auto" w:fill="CCCCCC"/>
            <w:vAlign w:val="center"/>
          </w:tcPr>
          <w:p w:rsidR="009D2948" w:rsidRPr="009D2948" w:rsidRDefault="009D2948" w:rsidP="007A1A92">
            <w:pPr>
              <w:spacing w:before="60" w:after="60" w:line="200" w:lineRule="exact"/>
              <w:jc w:val="center"/>
              <w:rPr>
                <w:b/>
                <w:noProof/>
                <w:sz w:val="16"/>
                <w:szCs w:val="16"/>
              </w:rPr>
            </w:pPr>
            <w:r w:rsidRPr="009D2948">
              <w:rPr>
                <w:b/>
                <w:sz w:val="16"/>
                <w:szCs w:val="16"/>
              </w:rPr>
              <w:t>RUBRICA 5</w:t>
            </w:r>
            <w:r w:rsidRPr="009D2948">
              <w:rPr>
                <w:noProof/>
                <w:sz w:val="22"/>
              </w:rPr>
              <w:br/>
            </w:r>
            <w:r w:rsidRPr="009D2948">
              <w:rPr>
                <w:b/>
                <w:noProof/>
                <w:sz w:val="16"/>
                <w:szCs w:val="16"/>
              </w:rPr>
              <w:t>din cadrul financiar multianual</w:t>
            </w: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b/>
                <w:noProof/>
                <w:sz w:val="16"/>
                <w:szCs w:val="16"/>
              </w:rPr>
            </w:pPr>
          </w:p>
        </w:tc>
        <w:tc>
          <w:tcPr>
            <w:tcW w:w="1080" w:type="dxa"/>
            <w:vAlign w:val="center"/>
          </w:tcPr>
          <w:p w:rsidR="009D2948" w:rsidRPr="009D2948" w:rsidRDefault="009D2948" w:rsidP="007A1A92">
            <w:pPr>
              <w:spacing w:before="60" w:after="60" w:line="200" w:lineRule="exact"/>
              <w:jc w:val="right"/>
              <w:rPr>
                <w:b/>
                <w:noProof/>
                <w:sz w:val="16"/>
                <w:szCs w:val="16"/>
              </w:rPr>
            </w:pPr>
          </w:p>
        </w:tc>
      </w:tr>
      <w:tr w:rsidR="009D2948" w:rsidRPr="009D2948" w:rsidTr="007A1A92">
        <w:trPr>
          <w:trHeight w:val="585"/>
        </w:trPr>
        <w:tc>
          <w:tcPr>
            <w:tcW w:w="1980" w:type="dxa"/>
            <w:vAlign w:val="center"/>
          </w:tcPr>
          <w:p w:rsidR="009D2948" w:rsidRPr="009D2948" w:rsidRDefault="009D2948" w:rsidP="007A1A92">
            <w:pPr>
              <w:spacing w:before="60" w:after="60" w:line="200" w:lineRule="exact"/>
              <w:ind w:left="72"/>
              <w:jc w:val="left"/>
              <w:rPr>
                <w:noProof/>
                <w:sz w:val="16"/>
                <w:szCs w:val="16"/>
              </w:rPr>
            </w:pPr>
            <w:r w:rsidRPr="009D2948">
              <w:rPr>
                <w:noProof/>
                <w:sz w:val="16"/>
                <w:szCs w:val="16"/>
              </w:rPr>
              <w:t xml:space="preserve">Resurse umane </w:t>
            </w: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b/>
                <w:noProof/>
                <w:sz w:val="16"/>
                <w:szCs w:val="16"/>
              </w:rPr>
            </w:pPr>
          </w:p>
        </w:tc>
        <w:tc>
          <w:tcPr>
            <w:tcW w:w="1080" w:type="dxa"/>
            <w:vAlign w:val="center"/>
          </w:tcPr>
          <w:p w:rsidR="009D2948" w:rsidRPr="009D2948" w:rsidRDefault="009D2948" w:rsidP="007A1A92">
            <w:pPr>
              <w:spacing w:before="60" w:after="60" w:line="200" w:lineRule="exact"/>
              <w:jc w:val="right"/>
              <w:rPr>
                <w:b/>
                <w:noProof/>
                <w:sz w:val="16"/>
                <w:szCs w:val="16"/>
              </w:rPr>
            </w:pPr>
          </w:p>
        </w:tc>
      </w:tr>
      <w:tr w:rsidR="009D2948" w:rsidRPr="009D2948" w:rsidTr="007A1A92">
        <w:trPr>
          <w:trHeight w:val="585"/>
        </w:trPr>
        <w:tc>
          <w:tcPr>
            <w:tcW w:w="1980" w:type="dxa"/>
            <w:vAlign w:val="center"/>
          </w:tcPr>
          <w:p w:rsidR="009D2948" w:rsidRPr="009D2948" w:rsidRDefault="009D2948" w:rsidP="007A1A92">
            <w:pPr>
              <w:spacing w:before="60" w:after="60" w:line="200" w:lineRule="exact"/>
              <w:ind w:left="72"/>
              <w:jc w:val="left"/>
              <w:rPr>
                <w:noProof/>
                <w:sz w:val="16"/>
                <w:szCs w:val="16"/>
              </w:rPr>
            </w:pPr>
            <w:r w:rsidRPr="009D2948">
              <w:rPr>
                <w:noProof/>
                <w:sz w:val="16"/>
                <w:szCs w:val="16"/>
              </w:rPr>
              <w:t xml:space="preserve">Alte cheltuieli administrative </w:t>
            </w: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b/>
                <w:noProof/>
                <w:sz w:val="16"/>
                <w:szCs w:val="16"/>
              </w:rPr>
            </w:pPr>
          </w:p>
        </w:tc>
        <w:tc>
          <w:tcPr>
            <w:tcW w:w="1080" w:type="dxa"/>
            <w:vAlign w:val="center"/>
          </w:tcPr>
          <w:p w:rsidR="009D2948" w:rsidRPr="009D2948" w:rsidRDefault="009D2948" w:rsidP="007A1A92">
            <w:pPr>
              <w:spacing w:before="60" w:after="60" w:line="200" w:lineRule="exact"/>
              <w:jc w:val="right"/>
              <w:rPr>
                <w:b/>
                <w:noProof/>
                <w:sz w:val="16"/>
                <w:szCs w:val="16"/>
              </w:rPr>
            </w:pPr>
          </w:p>
        </w:tc>
      </w:tr>
      <w:tr w:rsidR="009D2948" w:rsidRPr="009D2948" w:rsidTr="007A1A92">
        <w:trPr>
          <w:trHeight w:val="585"/>
        </w:trPr>
        <w:tc>
          <w:tcPr>
            <w:tcW w:w="1980" w:type="dxa"/>
            <w:shd w:val="clear" w:color="auto" w:fill="CCCCCC"/>
            <w:vAlign w:val="center"/>
          </w:tcPr>
          <w:p w:rsidR="009D2948" w:rsidRPr="009D2948" w:rsidRDefault="009D2948" w:rsidP="007A1A92">
            <w:pPr>
              <w:spacing w:before="60" w:after="60" w:line="200" w:lineRule="exact"/>
              <w:jc w:val="center"/>
              <w:rPr>
                <w:b/>
                <w:noProof/>
                <w:sz w:val="16"/>
                <w:szCs w:val="16"/>
              </w:rPr>
            </w:pPr>
            <w:r w:rsidRPr="009D2948">
              <w:rPr>
                <w:b/>
                <w:sz w:val="16"/>
                <w:szCs w:val="16"/>
              </w:rPr>
              <w:t>Subtotal</w:t>
            </w:r>
            <w:r w:rsidRPr="009D2948">
              <w:rPr>
                <w:sz w:val="16"/>
                <w:szCs w:val="16"/>
              </w:rPr>
              <w:t xml:space="preserve"> </w:t>
            </w:r>
            <w:r w:rsidRPr="009D2948">
              <w:rPr>
                <w:b/>
                <w:sz w:val="16"/>
                <w:szCs w:val="16"/>
              </w:rPr>
              <w:t>RUBRICA 5</w:t>
            </w:r>
            <w:r w:rsidRPr="009D2948">
              <w:rPr>
                <w:noProof/>
                <w:sz w:val="22"/>
              </w:rPr>
              <w:br/>
            </w:r>
            <w:r w:rsidRPr="009D2948">
              <w:rPr>
                <w:b/>
                <w:noProof/>
                <w:sz w:val="16"/>
                <w:szCs w:val="16"/>
              </w:rPr>
              <w:t xml:space="preserve">din cadrul financiar multianual </w:t>
            </w: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b/>
                <w:noProof/>
                <w:sz w:val="16"/>
                <w:szCs w:val="16"/>
              </w:rPr>
            </w:pPr>
          </w:p>
        </w:tc>
        <w:tc>
          <w:tcPr>
            <w:tcW w:w="1080" w:type="dxa"/>
            <w:vAlign w:val="center"/>
          </w:tcPr>
          <w:p w:rsidR="009D2948" w:rsidRPr="009D2948" w:rsidRDefault="009D2948" w:rsidP="007A1A92">
            <w:pPr>
              <w:spacing w:before="60" w:after="60" w:line="200" w:lineRule="exact"/>
              <w:jc w:val="right"/>
              <w:rPr>
                <w:b/>
                <w:noProof/>
                <w:sz w:val="16"/>
                <w:szCs w:val="16"/>
              </w:rPr>
            </w:pPr>
          </w:p>
        </w:tc>
      </w:tr>
    </w:tbl>
    <w:p w:rsidR="009D2948" w:rsidRPr="009D2948" w:rsidRDefault="009D2948" w:rsidP="009D2948">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D2948" w:rsidRPr="009D2948" w:rsidTr="007A1A92">
        <w:trPr>
          <w:trHeight w:val="585"/>
        </w:trPr>
        <w:tc>
          <w:tcPr>
            <w:tcW w:w="1980" w:type="dxa"/>
            <w:shd w:val="clear" w:color="auto" w:fill="CCCCCC"/>
            <w:vAlign w:val="center"/>
          </w:tcPr>
          <w:p w:rsidR="009D2948" w:rsidRPr="009D2948" w:rsidRDefault="009D2948" w:rsidP="007A1A92">
            <w:pPr>
              <w:spacing w:before="60" w:after="60" w:line="200" w:lineRule="exact"/>
              <w:jc w:val="center"/>
              <w:rPr>
                <w:noProof/>
                <w:sz w:val="16"/>
                <w:szCs w:val="16"/>
              </w:rPr>
            </w:pPr>
            <w:r w:rsidRPr="009D2948">
              <w:rPr>
                <w:b/>
                <w:sz w:val="16"/>
                <w:szCs w:val="16"/>
              </w:rPr>
              <w:t>În afara</w:t>
            </w:r>
            <w:r w:rsidRPr="009D2948">
              <w:rPr>
                <w:sz w:val="16"/>
                <w:szCs w:val="16"/>
              </w:rPr>
              <w:t xml:space="preserve"> </w:t>
            </w:r>
            <w:r w:rsidRPr="009D2948">
              <w:rPr>
                <w:b/>
                <w:sz w:val="16"/>
                <w:szCs w:val="16"/>
              </w:rPr>
              <w:t>RUBRICII 5</w:t>
            </w:r>
            <w:r w:rsidRPr="009D2948">
              <w:rPr>
                <w:rStyle w:val="FootnoteReference"/>
                <w:b/>
                <w:noProof/>
                <w:sz w:val="16"/>
                <w:szCs w:val="16"/>
              </w:rPr>
              <w:footnoteReference w:id="71"/>
            </w:r>
            <w:r w:rsidRPr="009D2948">
              <w:rPr>
                <w:noProof/>
                <w:sz w:val="22"/>
              </w:rPr>
              <w:br/>
            </w:r>
            <w:r w:rsidRPr="009D2948">
              <w:rPr>
                <w:b/>
                <w:noProof/>
                <w:sz w:val="16"/>
                <w:szCs w:val="16"/>
              </w:rPr>
              <w:t xml:space="preserve">din cadrul financiar multianual </w:t>
            </w:r>
          </w:p>
          <w:p w:rsidR="009D2948" w:rsidRPr="009D2948" w:rsidRDefault="009D2948" w:rsidP="007A1A92">
            <w:pPr>
              <w:spacing w:before="0" w:after="0" w:line="200" w:lineRule="exact"/>
              <w:jc w:val="center"/>
              <w:rPr>
                <w:b/>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b/>
                <w:noProof/>
                <w:sz w:val="16"/>
                <w:szCs w:val="16"/>
              </w:rPr>
            </w:pPr>
          </w:p>
        </w:tc>
        <w:tc>
          <w:tcPr>
            <w:tcW w:w="1080" w:type="dxa"/>
            <w:vAlign w:val="center"/>
          </w:tcPr>
          <w:p w:rsidR="009D2948" w:rsidRPr="009D2948" w:rsidRDefault="009D2948" w:rsidP="007A1A92">
            <w:pPr>
              <w:spacing w:before="60" w:after="60" w:line="200" w:lineRule="exact"/>
              <w:jc w:val="right"/>
              <w:rPr>
                <w:b/>
                <w:noProof/>
                <w:sz w:val="16"/>
                <w:szCs w:val="16"/>
              </w:rPr>
            </w:pPr>
          </w:p>
        </w:tc>
      </w:tr>
      <w:tr w:rsidR="009D2948" w:rsidRPr="009D2948" w:rsidTr="007A1A92">
        <w:trPr>
          <w:trHeight w:val="585"/>
        </w:trPr>
        <w:tc>
          <w:tcPr>
            <w:tcW w:w="1980" w:type="dxa"/>
            <w:vAlign w:val="center"/>
          </w:tcPr>
          <w:p w:rsidR="009D2948" w:rsidRPr="009D2948" w:rsidRDefault="009D2948" w:rsidP="007A1A92">
            <w:pPr>
              <w:spacing w:before="60" w:after="60" w:line="200" w:lineRule="exact"/>
              <w:ind w:left="72"/>
              <w:jc w:val="left"/>
              <w:rPr>
                <w:noProof/>
                <w:sz w:val="16"/>
                <w:szCs w:val="16"/>
              </w:rPr>
            </w:pPr>
            <w:r w:rsidRPr="009D2948">
              <w:rPr>
                <w:noProof/>
                <w:sz w:val="16"/>
                <w:szCs w:val="16"/>
              </w:rPr>
              <w:t xml:space="preserve">Resurse umane </w:t>
            </w: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b/>
                <w:noProof/>
                <w:sz w:val="16"/>
                <w:szCs w:val="16"/>
              </w:rPr>
            </w:pPr>
          </w:p>
        </w:tc>
        <w:tc>
          <w:tcPr>
            <w:tcW w:w="1080" w:type="dxa"/>
            <w:vAlign w:val="center"/>
          </w:tcPr>
          <w:p w:rsidR="009D2948" w:rsidRPr="009D2948" w:rsidRDefault="009D2948" w:rsidP="007A1A92">
            <w:pPr>
              <w:spacing w:before="60" w:after="60" w:line="200" w:lineRule="exact"/>
              <w:jc w:val="right"/>
              <w:rPr>
                <w:b/>
                <w:noProof/>
                <w:sz w:val="16"/>
                <w:szCs w:val="16"/>
              </w:rPr>
            </w:pPr>
          </w:p>
        </w:tc>
      </w:tr>
      <w:tr w:rsidR="009D2948" w:rsidRPr="009D2948" w:rsidTr="007A1A92">
        <w:trPr>
          <w:trHeight w:val="585"/>
        </w:trPr>
        <w:tc>
          <w:tcPr>
            <w:tcW w:w="1980" w:type="dxa"/>
            <w:vAlign w:val="center"/>
          </w:tcPr>
          <w:p w:rsidR="009D2948" w:rsidRPr="009D2948" w:rsidRDefault="009D2948" w:rsidP="007A1A92">
            <w:pPr>
              <w:spacing w:before="60" w:after="60" w:line="200" w:lineRule="exact"/>
              <w:ind w:left="72"/>
              <w:jc w:val="left"/>
              <w:rPr>
                <w:noProof/>
                <w:sz w:val="16"/>
                <w:szCs w:val="16"/>
              </w:rPr>
            </w:pPr>
            <w:r w:rsidRPr="009D2948">
              <w:rPr>
                <w:sz w:val="16"/>
                <w:szCs w:val="16"/>
              </w:rPr>
              <w:t>Alte cheltuieli cu caracter administrativ</w:t>
            </w: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b/>
                <w:noProof/>
                <w:sz w:val="16"/>
                <w:szCs w:val="16"/>
              </w:rPr>
            </w:pPr>
          </w:p>
        </w:tc>
        <w:tc>
          <w:tcPr>
            <w:tcW w:w="1080" w:type="dxa"/>
            <w:vAlign w:val="center"/>
          </w:tcPr>
          <w:p w:rsidR="009D2948" w:rsidRPr="009D2948" w:rsidRDefault="009D2948" w:rsidP="007A1A92">
            <w:pPr>
              <w:spacing w:before="60" w:after="60" w:line="200" w:lineRule="exact"/>
              <w:jc w:val="right"/>
              <w:rPr>
                <w:b/>
                <w:noProof/>
                <w:sz w:val="16"/>
                <w:szCs w:val="16"/>
              </w:rPr>
            </w:pPr>
          </w:p>
        </w:tc>
      </w:tr>
      <w:tr w:rsidR="009D2948" w:rsidRPr="009D2948" w:rsidTr="007A1A92">
        <w:trPr>
          <w:trHeight w:val="585"/>
        </w:trPr>
        <w:tc>
          <w:tcPr>
            <w:tcW w:w="1980" w:type="dxa"/>
            <w:shd w:val="clear" w:color="auto" w:fill="CCCCCC"/>
            <w:vAlign w:val="center"/>
          </w:tcPr>
          <w:p w:rsidR="009D2948" w:rsidRPr="009D2948" w:rsidRDefault="009D2948" w:rsidP="007A1A92">
            <w:pPr>
              <w:spacing w:before="60" w:after="60" w:line="200" w:lineRule="exact"/>
              <w:jc w:val="center"/>
              <w:rPr>
                <w:b/>
                <w:noProof/>
                <w:sz w:val="16"/>
                <w:szCs w:val="16"/>
              </w:rPr>
            </w:pPr>
            <w:r w:rsidRPr="009D2948">
              <w:rPr>
                <w:b/>
                <w:noProof/>
                <w:sz w:val="16"/>
                <w:szCs w:val="16"/>
              </w:rPr>
              <w:t xml:space="preserve">Subtotal </w:t>
            </w:r>
            <w:r w:rsidRPr="009D2948">
              <w:rPr>
                <w:noProof/>
                <w:sz w:val="16"/>
                <w:szCs w:val="16"/>
              </w:rPr>
              <w:br/>
            </w:r>
            <w:r w:rsidRPr="009D2948">
              <w:rPr>
                <w:b/>
                <w:sz w:val="16"/>
                <w:szCs w:val="16"/>
              </w:rPr>
              <w:t>în afara RUBRICII 5</w:t>
            </w:r>
            <w:r w:rsidRPr="009D2948">
              <w:rPr>
                <w:noProof/>
                <w:sz w:val="22"/>
              </w:rPr>
              <w:br/>
            </w:r>
            <w:r w:rsidRPr="009D2948">
              <w:rPr>
                <w:b/>
                <w:noProof/>
                <w:sz w:val="16"/>
                <w:szCs w:val="16"/>
              </w:rPr>
              <w:t xml:space="preserve">din cadrul financiar multianual </w:t>
            </w: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noProof/>
                <w:sz w:val="16"/>
                <w:szCs w:val="16"/>
              </w:rPr>
            </w:pPr>
          </w:p>
        </w:tc>
        <w:tc>
          <w:tcPr>
            <w:tcW w:w="1080" w:type="dxa"/>
            <w:vAlign w:val="center"/>
          </w:tcPr>
          <w:p w:rsidR="009D2948" w:rsidRPr="009D2948" w:rsidRDefault="009D2948" w:rsidP="007A1A92">
            <w:pPr>
              <w:spacing w:before="60" w:after="60" w:line="200" w:lineRule="exact"/>
              <w:jc w:val="right"/>
              <w:rPr>
                <w:b/>
                <w:noProof/>
                <w:sz w:val="16"/>
                <w:szCs w:val="16"/>
              </w:rPr>
            </w:pPr>
          </w:p>
        </w:tc>
        <w:tc>
          <w:tcPr>
            <w:tcW w:w="1080" w:type="dxa"/>
            <w:vAlign w:val="center"/>
          </w:tcPr>
          <w:p w:rsidR="009D2948" w:rsidRPr="009D2948" w:rsidRDefault="009D2948" w:rsidP="007A1A92">
            <w:pPr>
              <w:spacing w:before="60" w:after="60" w:line="200" w:lineRule="exact"/>
              <w:jc w:val="right"/>
              <w:rPr>
                <w:b/>
                <w:noProof/>
                <w:sz w:val="16"/>
                <w:szCs w:val="16"/>
              </w:rPr>
            </w:pPr>
          </w:p>
        </w:tc>
      </w:tr>
    </w:tbl>
    <w:p w:rsidR="009D2948" w:rsidRPr="009D2948" w:rsidRDefault="009D2948" w:rsidP="009D2948">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9D2948" w:rsidRPr="009D2948" w:rsidTr="007A1A92">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9D2948" w:rsidRPr="009D2948" w:rsidRDefault="009D2948" w:rsidP="007A1A92">
            <w:pPr>
              <w:spacing w:before="60" w:after="60" w:line="200" w:lineRule="exact"/>
              <w:jc w:val="center"/>
              <w:rPr>
                <w:noProof/>
                <w:sz w:val="16"/>
                <w:szCs w:val="16"/>
              </w:rPr>
            </w:pPr>
            <w:r w:rsidRPr="009D2948">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9D2948" w:rsidRPr="009D2948" w:rsidRDefault="009D2948" w:rsidP="007A1A92">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D2948" w:rsidRPr="009D2948" w:rsidRDefault="009D2948" w:rsidP="007A1A92">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D2948" w:rsidRPr="009D2948" w:rsidRDefault="009D2948" w:rsidP="007A1A92">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D2948" w:rsidRPr="009D2948" w:rsidRDefault="009D2948" w:rsidP="007A1A92">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D2948" w:rsidRPr="009D2948" w:rsidRDefault="009D2948" w:rsidP="007A1A92">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D2948" w:rsidRPr="009D2948" w:rsidRDefault="009D2948" w:rsidP="007A1A92">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9D2948" w:rsidRPr="009D2948" w:rsidRDefault="009D2948" w:rsidP="007A1A92">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rsidR="009D2948" w:rsidRPr="009D2948" w:rsidRDefault="009D2948" w:rsidP="007A1A92">
            <w:pPr>
              <w:spacing w:before="60" w:after="60" w:line="200" w:lineRule="exact"/>
              <w:jc w:val="right"/>
              <w:rPr>
                <w:b/>
                <w:noProof/>
                <w:sz w:val="16"/>
                <w:szCs w:val="16"/>
              </w:rPr>
            </w:pPr>
          </w:p>
        </w:tc>
      </w:tr>
    </w:tbl>
    <w:p w:rsidR="009D2948" w:rsidRPr="009D2948" w:rsidRDefault="009D2948" w:rsidP="009D2948">
      <w:pPr>
        <w:rPr>
          <w:noProof/>
          <w:sz w:val="18"/>
        </w:rPr>
        <w:sectPr w:rsidR="009D2948" w:rsidRPr="009D2948" w:rsidSect="006B1E4D">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r w:rsidRPr="009D2948">
        <w:rPr>
          <w:noProof/>
          <w:sz w:val="18"/>
        </w:rPr>
        <w:t>Necesarul de credite în materie de resurse umane și de alte cheltuieli de natură administrativă va fi acoperit de creditele DG­ului care sunt deja alocate pentru gestionarea acțiunii și/sau realocate intern în cadrul DG-ului, completate, după caz, prin resurse suplimentare ce ar putea fi alocate DG-ului care gestionează acțiunea în cadrul procedurii de alocare anuală și în lumina constrângerilor bugetare.</w:t>
      </w:r>
    </w:p>
    <w:p w:rsidR="009D2948" w:rsidRPr="009D2948" w:rsidRDefault="009D2948" w:rsidP="009D2948">
      <w:pPr>
        <w:pStyle w:val="ManualHeading4"/>
        <w:rPr>
          <w:bCs/>
          <w:noProof/>
          <w:szCs w:val="24"/>
        </w:rPr>
      </w:pPr>
      <w:r w:rsidRPr="009D2948">
        <w:lastRenderedPageBreak/>
        <w:t>3.2.3.2.</w:t>
      </w:r>
      <w:r w:rsidRPr="009D2948">
        <w:tab/>
        <w:t>Necesarul de resurse umane estimat</w:t>
      </w:r>
    </w:p>
    <w:p w:rsidR="009D2948" w:rsidRPr="009D2948" w:rsidRDefault="009D2948" w:rsidP="009D2948">
      <w:pPr>
        <w:pStyle w:val="ListDash1"/>
        <w:rPr>
          <w:noProof/>
        </w:rPr>
      </w:pPr>
      <w:r w:rsidRPr="009D2948">
        <w:rPr>
          <w:noProof/>
        </w:rPr>
        <w:sym w:font="Wingdings" w:char="F0A8"/>
      </w:r>
      <w:r w:rsidRPr="009D2948">
        <w:tab/>
        <w:t xml:space="preserve">Propunerea/inițiativa nu implică utilizarea de resurse umane. </w:t>
      </w:r>
    </w:p>
    <w:p w:rsidR="009D2948" w:rsidRPr="009D2948" w:rsidRDefault="009D2948" w:rsidP="009D2948">
      <w:pPr>
        <w:pStyle w:val="ListDash1"/>
        <w:rPr>
          <w:noProof/>
        </w:rPr>
      </w:pPr>
      <w:r w:rsidRPr="009D2948">
        <w:t>X</w:t>
      </w:r>
      <w:r w:rsidRPr="009D2948">
        <w:tab/>
        <w:t>Propunerea/inițiativa implică utilizarea de resurse umane, conform explicațiilor de mai jos:</w:t>
      </w:r>
    </w:p>
    <w:p w:rsidR="009D2948" w:rsidRPr="009D2948" w:rsidRDefault="009D2948" w:rsidP="009D2948">
      <w:pPr>
        <w:spacing w:after="60"/>
        <w:jc w:val="right"/>
        <w:rPr>
          <w:i/>
          <w:noProof/>
          <w:sz w:val="20"/>
        </w:rPr>
      </w:pPr>
      <w:r w:rsidRPr="009D2948">
        <w:rPr>
          <w:i/>
          <w:noProof/>
          <w:sz w:val="20"/>
        </w:rPr>
        <w:t>Estimări în echivalent normă întreagă</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748"/>
        <w:gridCol w:w="610"/>
        <w:gridCol w:w="237"/>
        <w:gridCol w:w="237"/>
        <w:gridCol w:w="237"/>
      </w:tblGrid>
      <w:tr w:rsidR="009D2948" w:rsidRPr="009D2948" w:rsidTr="007A1A92">
        <w:trPr>
          <w:gridBefore w:val="1"/>
          <w:wBefore w:w="6" w:type="pct"/>
          <w:trHeight w:val="289"/>
          <w:jc w:val="center"/>
        </w:trPr>
        <w:tc>
          <w:tcPr>
            <w:tcW w:w="1897" w:type="pct"/>
            <w:gridSpan w:val="2"/>
            <w:shd w:val="clear" w:color="auto" w:fill="auto"/>
          </w:tcPr>
          <w:p w:rsidR="009D2948" w:rsidRPr="009D2948" w:rsidRDefault="009D2948" w:rsidP="007A1A92">
            <w:pPr>
              <w:pStyle w:val="Text1"/>
              <w:spacing w:before="40" w:after="40"/>
              <w:ind w:left="0"/>
              <w:jc w:val="center"/>
              <w:rPr>
                <w:i/>
                <w:noProof/>
                <w:sz w:val="16"/>
                <w:szCs w:val="16"/>
              </w:rPr>
            </w:pPr>
          </w:p>
        </w:tc>
        <w:tc>
          <w:tcPr>
            <w:tcW w:w="318" w:type="pct"/>
            <w:shd w:val="clear" w:color="auto" w:fill="auto"/>
            <w:vAlign w:val="center"/>
          </w:tcPr>
          <w:p w:rsidR="009D2948" w:rsidRPr="009D2948" w:rsidRDefault="009D2948" w:rsidP="007A1A92">
            <w:pPr>
              <w:spacing w:before="20" w:after="20"/>
              <w:jc w:val="center"/>
              <w:rPr>
                <w:noProof/>
                <w:sz w:val="16"/>
                <w:szCs w:val="16"/>
              </w:rPr>
            </w:pPr>
            <w:r w:rsidRPr="009D2948">
              <w:rPr>
                <w:sz w:val="16"/>
                <w:szCs w:val="16"/>
              </w:rPr>
              <w:t>Anul</w:t>
            </w:r>
            <w:r w:rsidRPr="009D2948">
              <w:rPr>
                <w:noProof/>
                <w:sz w:val="22"/>
              </w:rPr>
              <w:t xml:space="preserve"> </w:t>
            </w:r>
            <w:r w:rsidRPr="009D2948">
              <w:rPr>
                <w:noProof/>
                <w:sz w:val="22"/>
              </w:rPr>
              <w:br/>
            </w:r>
            <w:r w:rsidRPr="009D2948">
              <w:rPr>
                <w:b/>
                <w:noProof/>
                <w:sz w:val="16"/>
                <w:szCs w:val="16"/>
              </w:rPr>
              <w:t>2018</w:t>
            </w:r>
          </w:p>
        </w:tc>
        <w:tc>
          <w:tcPr>
            <w:tcW w:w="318" w:type="pct"/>
            <w:shd w:val="clear" w:color="auto" w:fill="auto"/>
            <w:vAlign w:val="center"/>
          </w:tcPr>
          <w:p w:rsidR="009D2948" w:rsidRPr="009D2948" w:rsidRDefault="009D2948" w:rsidP="007A1A92">
            <w:pPr>
              <w:spacing w:before="20" w:after="20"/>
              <w:jc w:val="center"/>
              <w:rPr>
                <w:noProof/>
                <w:sz w:val="16"/>
                <w:szCs w:val="16"/>
              </w:rPr>
            </w:pPr>
            <w:r w:rsidRPr="009D2948">
              <w:rPr>
                <w:sz w:val="16"/>
                <w:szCs w:val="16"/>
              </w:rPr>
              <w:t>Anul</w:t>
            </w:r>
            <w:r w:rsidRPr="009D2948">
              <w:rPr>
                <w:noProof/>
                <w:sz w:val="22"/>
              </w:rPr>
              <w:t xml:space="preserve"> </w:t>
            </w:r>
            <w:r w:rsidRPr="009D2948">
              <w:rPr>
                <w:noProof/>
                <w:sz w:val="22"/>
              </w:rPr>
              <w:br/>
            </w:r>
            <w:r w:rsidRPr="009D2948">
              <w:rPr>
                <w:b/>
                <w:noProof/>
                <w:sz w:val="16"/>
                <w:szCs w:val="16"/>
              </w:rPr>
              <w:t>2019</w:t>
            </w:r>
          </w:p>
        </w:tc>
        <w:tc>
          <w:tcPr>
            <w:tcW w:w="1820" w:type="pct"/>
            <w:shd w:val="clear" w:color="auto" w:fill="auto"/>
            <w:vAlign w:val="center"/>
          </w:tcPr>
          <w:p w:rsidR="009D2948" w:rsidRPr="009D2948" w:rsidRDefault="009D2948" w:rsidP="007A1A92">
            <w:pPr>
              <w:spacing w:before="20" w:after="20"/>
              <w:jc w:val="center"/>
              <w:rPr>
                <w:noProof/>
                <w:sz w:val="16"/>
                <w:szCs w:val="16"/>
              </w:rPr>
            </w:pPr>
            <w:r w:rsidRPr="009D2948">
              <w:rPr>
                <w:noProof/>
                <w:sz w:val="16"/>
                <w:szCs w:val="16"/>
              </w:rPr>
              <w:t xml:space="preserve">Anul </w:t>
            </w:r>
            <w:r w:rsidRPr="009D2948">
              <w:rPr>
                <w:noProof/>
                <w:sz w:val="22"/>
              </w:rPr>
              <w:br/>
            </w:r>
            <w:r w:rsidRPr="009D2948">
              <w:rPr>
                <w:b/>
                <w:noProof/>
                <w:sz w:val="16"/>
                <w:szCs w:val="16"/>
              </w:rPr>
              <w:t>2020</w:t>
            </w:r>
          </w:p>
        </w:tc>
        <w:tc>
          <w:tcPr>
            <w:tcW w:w="296" w:type="pct"/>
            <w:shd w:val="clear" w:color="auto" w:fill="auto"/>
            <w:vAlign w:val="center"/>
          </w:tcPr>
          <w:p w:rsidR="009D2948" w:rsidRPr="009D2948" w:rsidRDefault="009D2948" w:rsidP="007A1A92">
            <w:pPr>
              <w:spacing w:before="20" w:after="20"/>
              <w:jc w:val="center"/>
              <w:rPr>
                <w:noProof/>
                <w:sz w:val="16"/>
                <w:szCs w:val="16"/>
              </w:rPr>
            </w:pPr>
            <w:r w:rsidRPr="009D2948">
              <w:rPr>
                <w:noProof/>
                <w:sz w:val="16"/>
                <w:szCs w:val="16"/>
              </w:rPr>
              <w:t xml:space="preserve">Anul </w:t>
            </w:r>
            <w:r w:rsidRPr="009D2948">
              <w:rPr>
                <w:noProof/>
                <w:sz w:val="22"/>
              </w:rPr>
              <w:br/>
            </w:r>
            <w:r w:rsidRPr="009D2948">
              <w:rPr>
                <w:b/>
                <w:noProof/>
                <w:sz w:val="16"/>
                <w:szCs w:val="16"/>
              </w:rPr>
              <w:t>2021</w:t>
            </w:r>
          </w:p>
        </w:tc>
        <w:tc>
          <w:tcPr>
            <w:tcW w:w="345" w:type="pct"/>
            <w:gridSpan w:val="3"/>
            <w:shd w:val="clear" w:color="auto" w:fill="auto"/>
            <w:vAlign w:val="center"/>
          </w:tcPr>
          <w:p w:rsidR="009D2948" w:rsidRPr="009D2948" w:rsidRDefault="009D2948" w:rsidP="007A1A92">
            <w:pPr>
              <w:jc w:val="center"/>
              <w:rPr>
                <w:b/>
                <w:noProof/>
                <w:sz w:val="16"/>
                <w:szCs w:val="16"/>
              </w:rPr>
            </w:pPr>
            <w:r w:rsidRPr="009D2948">
              <w:rPr>
                <w:noProof/>
                <w:sz w:val="16"/>
                <w:szCs w:val="16"/>
              </w:rPr>
              <w:t>A se introduce atâția ani câți sunt considerați necesari pentru a reflecta durata impactului (cf. punctul 1.6)</w:t>
            </w:r>
          </w:p>
        </w:tc>
      </w:tr>
      <w:tr w:rsidR="009D2948" w:rsidRPr="009D2948" w:rsidTr="007A1A92">
        <w:trPr>
          <w:gridBefore w:val="1"/>
          <w:wBefore w:w="6" w:type="pct"/>
          <w:trHeight w:val="289"/>
          <w:jc w:val="center"/>
        </w:trPr>
        <w:tc>
          <w:tcPr>
            <w:tcW w:w="4353" w:type="pct"/>
            <w:gridSpan w:val="5"/>
            <w:shd w:val="clear" w:color="auto" w:fill="auto"/>
          </w:tcPr>
          <w:p w:rsidR="009D2948" w:rsidRPr="009D2948" w:rsidRDefault="009D2948" w:rsidP="007A1A92">
            <w:pPr>
              <w:spacing w:before="20" w:after="20"/>
              <w:rPr>
                <w:noProof/>
                <w:sz w:val="16"/>
                <w:szCs w:val="16"/>
              </w:rPr>
            </w:pPr>
            <w:r w:rsidRPr="009D2948">
              <w:rPr>
                <w:b/>
                <w:noProof/>
                <w:sz w:val="16"/>
                <w:szCs w:val="16"/>
              </w:rPr>
              <w:sym w:font="Wingdings" w:char="F09F"/>
            </w:r>
            <w:r w:rsidRPr="009D2948">
              <w:rPr>
                <w:sz w:val="16"/>
                <w:szCs w:val="16"/>
              </w:rPr>
              <w:tab/>
            </w:r>
            <w:r w:rsidRPr="009D2948">
              <w:rPr>
                <w:b/>
                <w:sz w:val="16"/>
                <w:szCs w:val="16"/>
              </w:rPr>
              <w:t>Posturi din schema de personal (funcționari și agenți temporari)</w:t>
            </w:r>
          </w:p>
        </w:tc>
        <w:tc>
          <w:tcPr>
            <w:tcW w:w="296" w:type="pct"/>
            <w:shd w:val="clear" w:color="auto" w:fill="auto"/>
            <w:vAlign w:val="center"/>
          </w:tcPr>
          <w:p w:rsidR="009D2948" w:rsidRPr="009D2948" w:rsidRDefault="009D2948" w:rsidP="007A1A92">
            <w:pPr>
              <w:spacing w:before="20" w:after="20"/>
              <w:jc w:val="center"/>
              <w:rPr>
                <w:noProof/>
                <w:sz w:val="16"/>
                <w:szCs w:val="16"/>
              </w:rPr>
            </w:pPr>
          </w:p>
        </w:tc>
        <w:tc>
          <w:tcPr>
            <w:tcW w:w="345" w:type="pct"/>
            <w:gridSpan w:val="3"/>
            <w:shd w:val="clear" w:color="auto" w:fill="auto"/>
            <w:vAlign w:val="center"/>
          </w:tcPr>
          <w:p w:rsidR="009D2948" w:rsidRPr="009D2948" w:rsidRDefault="009D2948" w:rsidP="007A1A92">
            <w:pPr>
              <w:jc w:val="center"/>
              <w:rPr>
                <w:noProof/>
                <w:sz w:val="16"/>
                <w:szCs w:val="16"/>
              </w:rPr>
            </w:pPr>
          </w:p>
        </w:tc>
      </w:tr>
      <w:tr w:rsidR="009D2948" w:rsidRPr="009D2948" w:rsidTr="007A1A92">
        <w:trPr>
          <w:gridBefore w:val="1"/>
          <w:wBefore w:w="6" w:type="pct"/>
          <w:trHeight w:val="289"/>
          <w:jc w:val="center"/>
        </w:trPr>
        <w:tc>
          <w:tcPr>
            <w:tcW w:w="1897" w:type="pct"/>
            <w:gridSpan w:val="2"/>
            <w:shd w:val="clear" w:color="auto" w:fill="auto"/>
            <w:vAlign w:val="center"/>
          </w:tcPr>
          <w:p w:rsidR="009D2948" w:rsidRPr="009D2948" w:rsidRDefault="009D2948" w:rsidP="007A1A92">
            <w:pPr>
              <w:pStyle w:val="Text1"/>
              <w:spacing w:beforeLines="20" w:before="48" w:afterLines="20" w:after="48"/>
              <w:ind w:left="134"/>
              <w:jc w:val="left"/>
              <w:rPr>
                <w:b/>
                <w:noProof/>
                <w:sz w:val="16"/>
                <w:szCs w:val="16"/>
              </w:rPr>
            </w:pPr>
            <w:r w:rsidRPr="009D2948">
              <w:rPr>
                <w:noProof/>
                <w:sz w:val="16"/>
              </w:rPr>
              <w:t>XX 01 01 01 (la sediu și în birourile de reprezentare ale Comisiei)</w:t>
            </w: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820"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296"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r>
      <w:tr w:rsidR="009D2948" w:rsidRPr="009D2948" w:rsidTr="007A1A92">
        <w:trPr>
          <w:gridBefore w:val="1"/>
          <w:wBefore w:w="6" w:type="pct"/>
          <w:trHeight w:val="289"/>
          <w:jc w:val="center"/>
        </w:trPr>
        <w:tc>
          <w:tcPr>
            <w:tcW w:w="1897" w:type="pct"/>
            <w:gridSpan w:val="2"/>
            <w:shd w:val="clear" w:color="auto" w:fill="auto"/>
            <w:vAlign w:val="center"/>
          </w:tcPr>
          <w:p w:rsidR="009D2948" w:rsidRPr="009D2948" w:rsidRDefault="009D2948" w:rsidP="007A1A92">
            <w:pPr>
              <w:pStyle w:val="Text1"/>
              <w:spacing w:beforeLines="20" w:before="48" w:afterLines="20" w:after="48"/>
              <w:ind w:left="134"/>
              <w:jc w:val="left"/>
              <w:rPr>
                <w:noProof/>
                <w:sz w:val="16"/>
                <w:szCs w:val="16"/>
              </w:rPr>
            </w:pPr>
            <w:r w:rsidRPr="009D2948">
              <w:rPr>
                <w:noProof/>
                <w:sz w:val="16"/>
              </w:rPr>
              <w:t>XX 01 01 02 (în delegații)</w:t>
            </w: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820"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296"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r>
      <w:tr w:rsidR="009D2948" w:rsidRPr="009D2948" w:rsidTr="007A1A92">
        <w:trPr>
          <w:gridBefore w:val="1"/>
          <w:wBefore w:w="6" w:type="pct"/>
          <w:trHeight w:val="289"/>
          <w:jc w:val="center"/>
        </w:trPr>
        <w:tc>
          <w:tcPr>
            <w:tcW w:w="1897" w:type="pct"/>
            <w:gridSpan w:val="2"/>
            <w:shd w:val="clear" w:color="auto" w:fill="auto"/>
            <w:vAlign w:val="center"/>
          </w:tcPr>
          <w:p w:rsidR="009D2948" w:rsidRPr="009D2948" w:rsidRDefault="009D2948" w:rsidP="007A1A92">
            <w:pPr>
              <w:pStyle w:val="Text1"/>
              <w:spacing w:beforeLines="20" w:before="48" w:afterLines="20" w:after="48"/>
              <w:ind w:left="134"/>
              <w:jc w:val="left"/>
              <w:rPr>
                <w:noProof/>
                <w:sz w:val="16"/>
                <w:szCs w:val="16"/>
              </w:rPr>
            </w:pPr>
            <w:r w:rsidRPr="009D2948">
              <w:rPr>
                <w:noProof/>
                <w:sz w:val="16"/>
              </w:rPr>
              <w:t>XX 01 05 01 (cercetare indirectă)</w:t>
            </w: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820"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296"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r>
      <w:tr w:rsidR="009D2948" w:rsidRPr="009D2948" w:rsidTr="007A1A92">
        <w:trPr>
          <w:gridBefore w:val="1"/>
          <w:wBefore w:w="6" w:type="pct"/>
          <w:trHeight w:val="289"/>
          <w:jc w:val="center"/>
        </w:trPr>
        <w:tc>
          <w:tcPr>
            <w:tcW w:w="1897" w:type="pct"/>
            <w:gridSpan w:val="2"/>
            <w:shd w:val="clear" w:color="auto" w:fill="auto"/>
            <w:vAlign w:val="center"/>
          </w:tcPr>
          <w:p w:rsidR="009D2948" w:rsidRPr="009D2948" w:rsidRDefault="009D2948" w:rsidP="007A1A92">
            <w:pPr>
              <w:pStyle w:val="Text1"/>
              <w:spacing w:beforeLines="20" w:before="48" w:afterLines="20" w:after="48"/>
              <w:ind w:left="134"/>
              <w:jc w:val="left"/>
              <w:rPr>
                <w:noProof/>
                <w:sz w:val="16"/>
                <w:szCs w:val="16"/>
              </w:rPr>
            </w:pPr>
            <w:r w:rsidRPr="009D2948">
              <w:rPr>
                <w:noProof/>
                <w:sz w:val="16"/>
              </w:rPr>
              <w:t>10 01 05 01 (cercetare directă)</w:t>
            </w: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820"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296"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r>
      <w:tr w:rsidR="009D2948" w:rsidRPr="009D2948" w:rsidTr="007A1A92">
        <w:trPr>
          <w:gridAfter w:val="4"/>
          <w:wAfter w:w="641" w:type="pct"/>
          <w:trHeight w:val="248"/>
          <w:jc w:val="center"/>
        </w:trPr>
        <w:tc>
          <w:tcPr>
            <w:tcW w:w="4359" w:type="pct"/>
            <w:gridSpan w:val="6"/>
            <w:shd w:val="clear" w:color="auto" w:fill="auto"/>
            <w:vAlign w:val="center"/>
          </w:tcPr>
          <w:p w:rsidR="009D2948" w:rsidRPr="009D2948" w:rsidRDefault="009D2948" w:rsidP="007A1A92">
            <w:pPr>
              <w:pStyle w:val="Text1"/>
              <w:spacing w:before="60" w:after="60"/>
              <w:ind w:left="0"/>
              <w:jc w:val="left"/>
              <w:rPr>
                <w:b/>
                <w:noProof/>
                <w:sz w:val="16"/>
                <w:szCs w:val="16"/>
              </w:rPr>
            </w:pPr>
            <w:r w:rsidRPr="009D2948">
              <w:rPr>
                <w:b/>
                <w:noProof/>
                <w:sz w:val="16"/>
              </w:rPr>
              <w:sym w:font="Wingdings" w:char="F09F"/>
            </w:r>
            <w:r w:rsidRPr="009D2948">
              <w:tab/>
            </w:r>
            <w:r w:rsidRPr="009D2948">
              <w:rPr>
                <w:b/>
                <w:sz w:val="16"/>
                <w:szCs w:val="16"/>
              </w:rPr>
              <w:t>Personal extern (în echivalent normă întreagă:</w:t>
            </w:r>
            <w:r w:rsidRPr="009D2948">
              <w:rPr>
                <w:b/>
                <w:noProof/>
                <w:sz w:val="16"/>
                <w:szCs w:val="16"/>
              </w:rPr>
              <w:t xml:space="preserve"> ENI</w:t>
            </w:r>
            <w:r w:rsidRPr="009D2948">
              <w:rPr>
                <w:b/>
                <w:noProof/>
                <w:sz w:val="16"/>
              </w:rPr>
              <w:t>)</w:t>
            </w:r>
            <w:r w:rsidRPr="009D2948">
              <w:rPr>
                <w:rStyle w:val="FootnoteReference"/>
                <w:b/>
                <w:noProof/>
                <w:sz w:val="16"/>
              </w:rPr>
              <w:footnoteReference w:id="72"/>
            </w:r>
          </w:p>
          <w:p w:rsidR="009D2948" w:rsidRPr="009D2948" w:rsidRDefault="009D2948" w:rsidP="007A1A92">
            <w:pPr>
              <w:pStyle w:val="Text1"/>
              <w:spacing w:before="0" w:after="0"/>
              <w:ind w:left="0"/>
              <w:jc w:val="left"/>
              <w:rPr>
                <w:noProof/>
                <w:sz w:val="16"/>
                <w:szCs w:val="16"/>
              </w:rPr>
            </w:pPr>
          </w:p>
        </w:tc>
      </w:tr>
      <w:tr w:rsidR="009D2948" w:rsidRPr="009D2948" w:rsidTr="007A1A92">
        <w:trPr>
          <w:gridBefore w:val="1"/>
          <w:wBefore w:w="6" w:type="pct"/>
          <w:trHeight w:val="289"/>
          <w:jc w:val="center"/>
        </w:trPr>
        <w:tc>
          <w:tcPr>
            <w:tcW w:w="1897" w:type="pct"/>
            <w:gridSpan w:val="2"/>
            <w:shd w:val="clear" w:color="auto" w:fill="auto"/>
            <w:vAlign w:val="center"/>
          </w:tcPr>
          <w:p w:rsidR="009D2948" w:rsidRPr="009D2948" w:rsidRDefault="009D2948" w:rsidP="007A1A92">
            <w:pPr>
              <w:pStyle w:val="Text1"/>
              <w:spacing w:beforeLines="20" w:before="48" w:afterLines="20" w:after="48"/>
              <w:ind w:left="136"/>
              <w:jc w:val="left"/>
              <w:rPr>
                <w:b/>
                <w:noProof/>
                <w:sz w:val="16"/>
                <w:szCs w:val="16"/>
              </w:rPr>
            </w:pPr>
            <w:r w:rsidRPr="009D2948">
              <w:rPr>
                <w:noProof/>
                <w:sz w:val="16"/>
              </w:rPr>
              <w:t>XX 01 02 01 (AC, END, INT din „pachetul global”)</w:t>
            </w: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820"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296"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r>
      <w:tr w:rsidR="009D2948" w:rsidRPr="009D2948" w:rsidTr="007A1A92">
        <w:trPr>
          <w:gridBefore w:val="1"/>
          <w:wBefore w:w="6" w:type="pct"/>
          <w:trHeight w:val="289"/>
          <w:jc w:val="center"/>
        </w:trPr>
        <w:tc>
          <w:tcPr>
            <w:tcW w:w="1897" w:type="pct"/>
            <w:gridSpan w:val="2"/>
            <w:shd w:val="clear" w:color="auto" w:fill="auto"/>
            <w:vAlign w:val="center"/>
          </w:tcPr>
          <w:p w:rsidR="009D2948" w:rsidRPr="009D2948" w:rsidRDefault="009D2948" w:rsidP="007A1A92">
            <w:pPr>
              <w:pStyle w:val="Text1"/>
              <w:spacing w:beforeLines="20" w:before="48" w:afterLines="20" w:after="48"/>
              <w:ind w:left="136"/>
              <w:jc w:val="left"/>
              <w:rPr>
                <w:noProof/>
                <w:sz w:val="16"/>
                <w:szCs w:val="16"/>
              </w:rPr>
            </w:pPr>
            <w:r w:rsidRPr="009D2948">
              <w:rPr>
                <w:noProof/>
                <w:sz w:val="16"/>
              </w:rPr>
              <w:t>XX 01 02 02 (AC, AL, END, INT și JED în delegații)</w:t>
            </w: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820"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296"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r>
      <w:tr w:rsidR="009D2948" w:rsidRPr="009D2948" w:rsidTr="007A1A92">
        <w:trPr>
          <w:gridBefore w:val="1"/>
          <w:wBefore w:w="6" w:type="pct"/>
          <w:trHeight w:val="289"/>
          <w:jc w:val="center"/>
        </w:trPr>
        <w:tc>
          <w:tcPr>
            <w:tcW w:w="948" w:type="pct"/>
            <w:vMerge w:val="restart"/>
            <w:shd w:val="clear" w:color="auto" w:fill="auto"/>
            <w:vAlign w:val="center"/>
          </w:tcPr>
          <w:p w:rsidR="009D2948" w:rsidRPr="009D2948" w:rsidRDefault="009D2948" w:rsidP="007A1A92">
            <w:pPr>
              <w:pStyle w:val="Text1"/>
              <w:spacing w:beforeLines="20" w:before="48" w:afterLines="20" w:after="48"/>
              <w:ind w:left="136"/>
              <w:jc w:val="left"/>
              <w:rPr>
                <w:b/>
                <w:noProof/>
                <w:sz w:val="16"/>
                <w:szCs w:val="16"/>
              </w:rPr>
            </w:pPr>
            <w:r w:rsidRPr="009D2948">
              <w:rPr>
                <w:b/>
                <w:noProof/>
                <w:sz w:val="16"/>
              </w:rPr>
              <w:t>XX</w:t>
            </w:r>
            <w:r w:rsidRPr="009D2948">
              <w:rPr>
                <w:noProof/>
                <w:sz w:val="16"/>
              </w:rPr>
              <w:t xml:space="preserve"> 01 04 </w:t>
            </w:r>
            <w:r w:rsidRPr="009D2948">
              <w:rPr>
                <w:b/>
                <w:noProof/>
                <w:sz w:val="16"/>
              </w:rPr>
              <w:t>yy</w:t>
            </w:r>
            <w:r w:rsidRPr="009D2948">
              <w:rPr>
                <w:b/>
                <w:i/>
                <w:noProof/>
                <w:sz w:val="16"/>
              </w:rPr>
              <w:t xml:space="preserve"> </w:t>
            </w:r>
            <w:r w:rsidRPr="009D2948">
              <w:rPr>
                <w:rStyle w:val="FootnoteReference"/>
                <w:b/>
                <w:i/>
                <w:noProof/>
                <w:sz w:val="16"/>
              </w:rPr>
              <w:footnoteReference w:id="73"/>
            </w:r>
          </w:p>
          <w:p w:rsidR="009D2948" w:rsidRPr="009D2948" w:rsidRDefault="009D2948" w:rsidP="007A1A92">
            <w:pPr>
              <w:pStyle w:val="Text1"/>
              <w:spacing w:beforeLines="20" w:before="48" w:afterLines="20" w:after="48"/>
              <w:ind w:left="136"/>
              <w:jc w:val="left"/>
              <w:rPr>
                <w:b/>
                <w:noProof/>
                <w:sz w:val="16"/>
                <w:szCs w:val="16"/>
              </w:rPr>
            </w:pPr>
          </w:p>
        </w:tc>
        <w:tc>
          <w:tcPr>
            <w:tcW w:w="949" w:type="pct"/>
            <w:shd w:val="clear" w:color="auto" w:fill="auto"/>
            <w:vAlign w:val="center"/>
          </w:tcPr>
          <w:p w:rsidR="009D2948" w:rsidRPr="009D2948" w:rsidRDefault="009D2948" w:rsidP="007A1A92">
            <w:pPr>
              <w:pStyle w:val="Text1"/>
              <w:spacing w:beforeLines="20" w:before="48" w:afterLines="20" w:after="48"/>
              <w:ind w:left="136"/>
              <w:jc w:val="left"/>
              <w:rPr>
                <w:b/>
                <w:noProof/>
                <w:sz w:val="16"/>
                <w:szCs w:val="16"/>
              </w:rPr>
            </w:pPr>
            <w:r w:rsidRPr="009D2948">
              <w:rPr>
                <w:noProof/>
                <w:sz w:val="16"/>
              </w:rPr>
              <w:t>- la sediu</w:t>
            </w:r>
          </w:p>
          <w:p w:rsidR="009D2948" w:rsidRPr="009D2948" w:rsidRDefault="009D2948" w:rsidP="007A1A92">
            <w:pPr>
              <w:pStyle w:val="Text1"/>
              <w:spacing w:beforeLines="20" w:before="48" w:afterLines="20" w:after="48"/>
              <w:ind w:left="136"/>
              <w:jc w:val="left"/>
              <w:rPr>
                <w:b/>
                <w:noProof/>
                <w:sz w:val="16"/>
                <w:szCs w:val="16"/>
              </w:rPr>
            </w:pPr>
          </w:p>
        </w:tc>
        <w:tc>
          <w:tcPr>
            <w:tcW w:w="318" w:type="pct"/>
            <w:shd w:val="clear" w:color="auto" w:fill="auto"/>
            <w:vAlign w:val="center"/>
          </w:tcPr>
          <w:p w:rsidR="009D2948" w:rsidRPr="009D2948" w:rsidRDefault="009D2948" w:rsidP="007A1A92">
            <w:pPr>
              <w:pStyle w:val="Text1"/>
              <w:spacing w:beforeLines="20" w:before="48" w:afterLines="20" w:after="48"/>
              <w:ind w:left="0"/>
              <w:rPr>
                <w:noProof/>
                <w:sz w:val="16"/>
                <w:szCs w:val="16"/>
              </w:rPr>
            </w:pP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820"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296"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r>
      <w:tr w:rsidR="009D2948" w:rsidRPr="009D2948" w:rsidTr="007A1A92">
        <w:trPr>
          <w:gridBefore w:val="1"/>
          <w:wBefore w:w="6" w:type="pct"/>
          <w:trHeight w:val="289"/>
          <w:jc w:val="center"/>
        </w:trPr>
        <w:tc>
          <w:tcPr>
            <w:tcW w:w="948" w:type="pct"/>
            <w:vMerge/>
            <w:shd w:val="clear" w:color="auto" w:fill="auto"/>
            <w:vAlign w:val="center"/>
          </w:tcPr>
          <w:p w:rsidR="009D2948" w:rsidRPr="009D2948" w:rsidRDefault="009D2948" w:rsidP="007A1A92">
            <w:pPr>
              <w:pStyle w:val="Text1"/>
              <w:spacing w:beforeLines="20" w:before="48" w:afterLines="20" w:after="48"/>
              <w:ind w:left="136"/>
              <w:jc w:val="left"/>
              <w:rPr>
                <w:b/>
                <w:noProof/>
                <w:sz w:val="16"/>
                <w:szCs w:val="16"/>
              </w:rPr>
            </w:pPr>
          </w:p>
        </w:tc>
        <w:tc>
          <w:tcPr>
            <w:tcW w:w="949" w:type="pct"/>
            <w:shd w:val="clear" w:color="auto" w:fill="auto"/>
            <w:vAlign w:val="center"/>
          </w:tcPr>
          <w:p w:rsidR="009D2948" w:rsidRPr="009D2948" w:rsidRDefault="009D2948" w:rsidP="007A1A92">
            <w:pPr>
              <w:pStyle w:val="Text1"/>
              <w:spacing w:beforeLines="20" w:before="48" w:afterLines="20" w:after="48"/>
              <w:ind w:left="136"/>
              <w:jc w:val="left"/>
              <w:rPr>
                <w:b/>
                <w:noProof/>
                <w:sz w:val="16"/>
                <w:szCs w:val="16"/>
              </w:rPr>
            </w:pPr>
            <w:r w:rsidRPr="009D2948">
              <w:rPr>
                <w:noProof/>
                <w:sz w:val="16"/>
              </w:rPr>
              <w:t xml:space="preserve">- în delegații </w:t>
            </w:r>
          </w:p>
        </w:tc>
        <w:tc>
          <w:tcPr>
            <w:tcW w:w="318" w:type="pct"/>
            <w:shd w:val="clear" w:color="auto" w:fill="auto"/>
            <w:vAlign w:val="center"/>
          </w:tcPr>
          <w:p w:rsidR="009D2948" w:rsidRPr="009D2948" w:rsidRDefault="009D2948" w:rsidP="007A1A92">
            <w:pPr>
              <w:pStyle w:val="Text1"/>
              <w:spacing w:beforeLines="20" w:before="48" w:afterLines="20" w:after="48"/>
              <w:ind w:left="0"/>
              <w:rPr>
                <w:noProof/>
                <w:sz w:val="16"/>
                <w:szCs w:val="16"/>
              </w:rPr>
            </w:pP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820"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296"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r>
      <w:tr w:rsidR="009D2948" w:rsidRPr="009D2948" w:rsidTr="007A1A92">
        <w:trPr>
          <w:gridBefore w:val="1"/>
          <w:wBefore w:w="6" w:type="pct"/>
          <w:trHeight w:val="289"/>
          <w:jc w:val="center"/>
        </w:trPr>
        <w:tc>
          <w:tcPr>
            <w:tcW w:w="1897" w:type="pct"/>
            <w:gridSpan w:val="2"/>
            <w:shd w:val="clear" w:color="auto" w:fill="auto"/>
            <w:vAlign w:val="center"/>
          </w:tcPr>
          <w:p w:rsidR="009D2948" w:rsidRPr="009D2948" w:rsidRDefault="009D2948" w:rsidP="007A1A92">
            <w:pPr>
              <w:pStyle w:val="Text1"/>
              <w:spacing w:beforeLines="20" w:before="48" w:afterLines="20" w:after="48"/>
              <w:ind w:left="136"/>
              <w:jc w:val="left"/>
              <w:rPr>
                <w:noProof/>
                <w:sz w:val="16"/>
                <w:szCs w:val="16"/>
              </w:rPr>
            </w:pPr>
            <w:r w:rsidRPr="009D2948">
              <w:rPr>
                <w:b/>
                <w:sz w:val="16"/>
                <w:szCs w:val="16"/>
              </w:rPr>
              <w:t>XX</w:t>
            </w:r>
            <w:r w:rsidRPr="009D2948">
              <w:rPr>
                <w:sz w:val="16"/>
                <w:szCs w:val="16"/>
              </w:rPr>
              <w:t xml:space="preserve"> 01 05 02 (AC, END, INT - cercetare indirectă)</w:t>
            </w: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820"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296"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r>
      <w:tr w:rsidR="009D2948" w:rsidRPr="009D2948" w:rsidTr="007A1A92">
        <w:trPr>
          <w:gridBefore w:val="1"/>
          <w:wBefore w:w="6" w:type="pct"/>
          <w:trHeight w:val="289"/>
          <w:jc w:val="center"/>
        </w:trPr>
        <w:tc>
          <w:tcPr>
            <w:tcW w:w="1897" w:type="pct"/>
            <w:gridSpan w:val="2"/>
            <w:shd w:val="clear" w:color="auto" w:fill="auto"/>
            <w:vAlign w:val="center"/>
          </w:tcPr>
          <w:p w:rsidR="009D2948" w:rsidRPr="009D2948" w:rsidRDefault="009D2948" w:rsidP="007A1A92">
            <w:pPr>
              <w:pStyle w:val="Text1"/>
              <w:spacing w:beforeLines="20" w:before="48" w:afterLines="20" w:after="48"/>
              <w:ind w:left="136"/>
              <w:jc w:val="left"/>
              <w:rPr>
                <w:noProof/>
                <w:sz w:val="16"/>
                <w:szCs w:val="16"/>
              </w:rPr>
            </w:pPr>
            <w:r w:rsidRPr="009D2948">
              <w:rPr>
                <w:noProof/>
                <w:sz w:val="16"/>
              </w:rPr>
              <w:t>10 01 05 02 (AC, END, INT - cercetare directă)</w:t>
            </w: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318"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820"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296"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shd w:val="clear" w:color="auto" w:fill="auto"/>
            <w:vAlign w:val="center"/>
          </w:tcPr>
          <w:p w:rsidR="009D2948" w:rsidRPr="009D2948" w:rsidRDefault="009D2948" w:rsidP="007A1A92">
            <w:pPr>
              <w:spacing w:beforeLines="20" w:before="48" w:afterLines="20" w:after="48"/>
              <w:jc w:val="center"/>
              <w:rPr>
                <w:noProof/>
                <w:sz w:val="16"/>
                <w:szCs w:val="16"/>
              </w:rPr>
            </w:pPr>
          </w:p>
        </w:tc>
      </w:tr>
      <w:tr w:rsidR="009D2948" w:rsidRPr="009D2948" w:rsidTr="007A1A92">
        <w:trPr>
          <w:gridBefore w:val="1"/>
          <w:wBefore w:w="6" w:type="pct"/>
          <w:trHeight w:val="289"/>
          <w:jc w:val="center"/>
        </w:trPr>
        <w:tc>
          <w:tcPr>
            <w:tcW w:w="1897" w:type="pct"/>
            <w:gridSpan w:val="2"/>
            <w:tcBorders>
              <w:bottom w:val="double" w:sz="4" w:space="0" w:color="auto"/>
            </w:tcBorders>
            <w:shd w:val="clear" w:color="auto" w:fill="auto"/>
            <w:vAlign w:val="center"/>
          </w:tcPr>
          <w:p w:rsidR="009D2948" w:rsidRPr="009D2948" w:rsidRDefault="009D2948" w:rsidP="007A1A92">
            <w:pPr>
              <w:pStyle w:val="Text1"/>
              <w:spacing w:beforeLines="20" w:before="48" w:afterLines="20" w:after="48"/>
              <w:ind w:left="134"/>
              <w:jc w:val="left"/>
              <w:rPr>
                <w:noProof/>
                <w:sz w:val="16"/>
                <w:szCs w:val="16"/>
              </w:rPr>
            </w:pPr>
            <w:r w:rsidRPr="009D2948">
              <w:rPr>
                <w:noProof/>
                <w:sz w:val="16"/>
              </w:rPr>
              <w:t>Alte linii bugetare (a se preciza)</w:t>
            </w:r>
          </w:p>
        </w:tc>
        <w:tc>
          <w:tcPr>
            <w:tcW w:w="318" w:type="pct"/>
            <w:tcBorders>
              <w:bottom w:val="double" w:sz="4" w:space="0" w:color="auto"/>
            </w:tcBorders>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820" w:type="pct"/>
            <w:tcBorders>
              <w:bottom w:val="double" w:sz="4" w:space="0" w:color="auto"/>
            </w:tcBorders>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296" w:type="pct"/>
            <w:tcBorders>
              <w:bottom w:val="double" w:sz="4" w:space="0" w:color="auto"/>
            </w:tcBorders>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D2948" w:rsidRPr="009D2948" w:rsidRDefault="009D2948" w:rsidP="007A1A92">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9D2948" w:rsidRPr="009D2948" w:rsidRDefault="009D2948" w:rsidP="007A1A92">
            <w:pPr>
              <w:spacing w:beforeLines="20" w:before="48" w:afterLines="20" w:after="48"/>
              <w:jc w:val="center"/>
              <w:rPr>
                <w:noProof/>
                <w:sz w:val="16"/>
                <w:szCs w:val="16"/>
              </w:rPr>
            </w:pPr>
          </w:p>
        </w:tc>
      </w:tr>
      <w:tr w:rsidR="009D2948" w:rsidRPr="009D2948" w:rsidTr="007A1A92">
        <w:trPr>
          <w:gridBefore w:val="1"/>
          <w:wBefore w:w="6" w:type="pct"/>
          <w:trHeight w:val="289"/>
          <w:jc w:val="center"/>
        </w:trPr>
        <w:tc>
          <w:tcPr>
            <w:tcW w:w="1897" w:type="pct"/>
            <w:gridSpan w:val="2"/>
            <w:tcBorders>
              <w:top w:val="double" w:sz="4" w:space="0" w:color="auto"/>
            </w:tcBorders>
            <w:shd w:val="clear" w:color="auto" w:fill="auto"/>
            <w:vAlign w:val="center"/>
          </w:tcPr>
          <w:p w:rsidR="009D2948" w:rsidRPr="009D2948" w:rsidRDefault="009D2948" w:rsidP="007A1A92">
            <w:pPr>
              <w:pStyle w:val="Text1"/>
              <w:spacing w:beforeLines="20" w:before="48" w:afterLines="20" w:after="48"/>
              <w:ind w:left="136"/>
              <w:jc w:val="left"/>
              <w:rPr>
                <w:noProof/>
                <w:sz w:val="16"/>
                <w:szCs w:val="16"/>
              </w:rPr>
            </w:pPr>
            <w:r w:rsidRPr="009D2948">
              <w:rPr>
                <w:b/>
                <w:noProof/>
                <w:sz w:val="16"/>
              </w:rPr>
              <w:t>TOTAL</w:t>
            </w:r>
          </w:p>
        </w:tc>
        <w:tc>
          <w:tcPr>
            <w:tcW w:w="318" w:type="pct"/>
            <w:tcBorders>
              <w:top w:val="double" w:sz="4" w:space="0" w:color="auto"/>
            </w:tcBorders>
            <w:shd w:val="clear" w:color="auto" w:fill="auto"/>
            <w:vAlign w:val="center"/>
          </w:tcPr>
          <w:p w:rsidR="009D2948" w:rsidRPr="009D2948" w:rsidRDefault="009D2948" w:rsidP="007A1A92">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9D2948" w:rsidRPr="009D2948" w:rsidRDefault="009D2948" w:rsidP="007A1A92">
            <w:pPr>
              <w:spacing w:beforeLines="20" w:before="48" w:afterLines="20" w:after="48"/>
              <w:jc w:val="center"/>
              <w:rPr>
                <w:b/>
                <w:noProof/>
                <w:sz w:val="16"/>
                <w:szCs w:val="16"/>
              </w:rPr>
            </w:pPr>
          </w:p>
        </w:tc>
        <w:tc>
          <w:tcPr>
            <w:tcW w:w="1820" w:type="pct"/>
            <w:tcBorders>
              <w:top w:val="double" w:sz="4" w:space="0" w:color="auto"/>
            </w:tcBorders>
            <w:shd w:val="clear" w:color="auto" w:fill="auto"/>
            <w:vAlign w:val="center"/>
          </w:tcPr>
          <w:p w:rsidR="009D2948" w:rsidRPr="009D2948" w:rsidRDefault="009D2948" w:rsidP="007A1A92">
            <w:pPr>
              <w:spacing w:beforeLines="20" w:before="48" w:afterLines="20" w:after="48"/>
              <w:jc w:val="center"/>
              <w:rPr>
                <w:b/>
                <w:noProof/>
                <w:sz w:val="16"/>
                <w:szCs w:val="16"/>
              </w:rPr>
            </w:pPr>
          </w:p>
        </w:tc>
        <w:tc>
          <w:tcPr>
            <w:tcW w:w="296" w:type="pct"/>
            <w:tcBorders>
              <w:top w:val="double" w:sz="4" w:space="0" w:color="auto"/>
            </w:tcBorders>
            <w:shd w:val="clear" w:color="auto" w:fill="auto"/>
            <w:vAlign w:val="center"/>
          </w:tcPr>
          <w:p w:rsidR="009D2948" w:rsidRPr="009D2948" w:rsidRDefault="009D2948" w:rsidP="007A1A92">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D2948" w:rsidRPr="009D2948" w:rsidRDefault="009D2948" w:rsidP="007A1A92">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D2948" w:rsidRPr="009D2948" w:rsidRDefault="009D2948" w:rsidP="007A1A92">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9D2948" w:rsidRPr="009D2948" w:rsidRDefault="009D2948" w:rsidP="007A1A92">
            <w:pPr>
              <w:spacing w:beforeLines="20" w:before="48" w:afterLines="20" w:after="48"/>
              <w:jc w:val="center"/>
              <w:rPr>
                <w:b/>
                <w:noProof/>
                <w:sz w:val="16"/>
                <w:szCs w:val="16"/>
              </w:rPr>
            </w:pPr>
          </w:p>
        </w:tc>
      </w:tr>
    </w:tbl>
    <w:p w:rsidR="009D2948" w:rsidRPr="009D2948" w:rsidRDefault="009D2948" w:rsidP="009D2948">
      <w:pPr>
        <w:pStyle w:val="Text1"/>
        <w:spacing w:before="60" w:after="60"/>
        <w:ind w:left="851"/>
        <w:rPr>
          <w:noProof/>
          <w:sz w:val="18"/>
          <w:szCs w:val="18"/>
        </w:rPr>
      </w:pPr>
      <w:r w:rsidRPr="009D2948">
        <w:rPr>
          <w:b/>
          <w:sz w:val="18"/>
          <w:szCs w:val="18"/>
        </w:rPr>
        <w:t>XX</w:t>
      </w:r>
      <w:r w:rsidRPr="009D2948">
        <w:rPr>
          <w:sz w:val="18"/>
          <w:szCs w:val="18"/>
        </w:rPr>
        <w:t xml:space="preserve"> este domeniul de politică sau titlul din buget în cauză.</w:t>
      </w:r>
    </w:p>
    <w:p w:rsidR="009D2948" w:rsidRPr="009D2948" w:rsidRDefault="009D2948" w:rsidP="009D2948">
      <w:pPr>
        <w:pStyle w:val="Text1"/>
        <w:rPr>
          <w:noProof/>
          <w:sz w:val="18"/>
          <w:szCs w:val="18"/>
        </w:rPr>
      </w:pPr>
      <w:r w:rsidRPr="009D2948">
        <w:rPr>
          <w:noProof/>
          <w:sz w:val="18"/>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în lumina constrângerilor bugetare.</w:t>
      </w:r>
    </w:p>
    <w:p w:rsidR="009D2948" w:rsidRPr="009D2948" w:rsidRDefault="009D2948" w:rsidP="009D2948">
      <w:pPr>
        <w:rPr>
          <w:noProof/>
          <w:sz w:val="20"/>
        </w:rPr>
      </w:pPr>
      <w:r w:rsidRPr="009D2948">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9D2948" w:rsidRPr="009D2948" w:rsidTr="007A1A92">
        <w:tc>
          <w:tcPr>
            <w:tcW w:w="3240" w:type="dxa"/>
          </w:tcPr>
          <w:p w:rsidR="009D2948" w:rsidRPr="009D2948" w:rsidRDefault="009D2948" w:rsidP="007A1A92">
            <w:pPr>
              <w:rPr>
                <w:noProof/>
                <w:sz w:val="20"/>
              </w:rPr>
            </w:pPr>
            <w:r w:rsidRPr="009D2948">
              <w:rPr>
                <w:noProof/>
                <w:sz w:val="20"/>
              </w:rPr>
              <w:t>Funcționari și personal temporar</w:t>
            </w:r>
          </w:p>
        </w:tc>
        <w:tc>
          <w:tcPr>
            <w:tcW w:w="7200" w:type="dxa"/>
          </w:tcPr>
          <w:p w:rsidR="009D2948" w:rsidRPr="009D2948" w:rsidRDefault="009D2948" w:rsidP="007A1A92">
            <w:pPr>
              <w:rPr>
                <w:noProof/>
                <w:sz w:val="20"/>
              </w:rPr>
            </w:pPr>
            <w:r w:rsidRPr="009D2948">
              <w:t xml:space="preserve">Nu se aplică </w:t>
            </w:r>
          </w:p>
        </w:tc>
      </w:tr>
      <w:tr w:rsidR="009D2948" w:rsidRPr="009D2948" w:rsidTr="007A1A92">
        <w:tc>
          <w:tcPr>
            <w:tcW w:w="3240" w:type="dxa"/>
          </w:tcPr>
          <w:p w:rsidR="009D2948" w:rsidRPr="009D2948" w:rsidRDefault="009D2948" w:rsidP="007A1A92">
            <w:pPr>
              <w:spacing w:before="60" w:after="60"/>
              <w:rPr>
                <w:noProof/>
                <w:sz w:val="20"/>
              </w:rPr>
            </w:pPr>
            <w:r w:rsidRPr="009D2948">
              <w:rPr>
                <w:noProof/>
                <w:sz w:val="20"/>
              </w:rPr>
              <w:t>Personal extern</w:t>
            </w:r>
          </w:p>
        </w:tc>
        <w:tc>
          <w:tcPr>
            <w:tcW w:w="7200" w:type="dxa"/>
          </w:tcPr>
          <w:p w:rsidR="009D2948" w:rsidRPr="009D2948" w:rsidRDefault="009D2948" w:rsidP="007A1A92">
            <w:pPr>
              <w:rPr>
                <w:noProof/>
                <w:sz w:val="20"/>
              </w:rPr>
            </w:pPr>
            <w:r w:rsidRPr="009D2948">
              <w:t>Nu se aplică</w:t>
            </w:r>
          </w:p>
        </w:tc>
      </w:tr>
    </w:tbl>
    <w:p w:rsidR="009D2948" w:rsidRPr="009D2948" w:rsidRDefault="009D2948" w:rsidP="009D2948">
      <w:pPr>
        <w:rPr>
          <w:noProof/>
        </w:rPr>
        <w:sectPr w:rsidR="009D2948" w:rsidRPr="009D2948" w:rsidSect="006B1E4D">
          <w:pgSz w:w="11907" w:h="16840"/>
          <w:pgMar w:top="1134" w:right="1418" w:bottom="1134" w:left="1418" w:header="709" w:footer="709" w:gutter="0"/>
          <w:cols w:space="708"/>
          <w:docGrid w:linePitch="360"/>
        </w:sectPr>
      </w:pPr>
    </w:p>
    <w:p w:rsidR="009D2948" w:rsidRPr="009D2948" w:rsidRDefault="009D2948" w:rsidP="009D2948">
      <w:pPr>
        <w:pStyle w:val="ManualHeading3"/>
        <w:rPr>
          <w:bCs/>
          <w:noProof/>
          <w:szCs w:val="24"/>
        </w:rPr>
      </w:pPr>
      <w:r w:rsidRPr="009D2948">
        <w:lastRenderedPageBreak/>
        <w:t>3.2.4.</w:t>
      </w:r>
      <w:r w:rsidRPr="009D2948">
        <w:tab/>
        <w:t xml:space="preserve">Compatibilitatea cu actualul cadru financiar multianual </w:t>
      </w:r>
    </w:p>
    <w:p w:rsidR="009D2948" w:rsidRPr="009D2948" w:rsidRDefault="009D2948" w:rsidP="009D2948">
      <w:pPr>
        <w:pStyle w:val="ListDash1"/>
        <w:rPr>
          <w:noProof/>
        </w:rPr>
      </w:pPr>
      <w:r w:rsidRPr="009D2948">
        <w:rPr>
          <w:noProof/>
        </w:rPr>
        <w:sym w:font="Wingdings" w:char="F0A8"/>
      </w:r>
      <w:r w:rsidRPr="009D2948">
        <w:tab/>
        <w:t>Propunerea/inițiativa este compatibilă cu cadrul financiar multianual existent.</w:t>
      </w:r>
    </w:p>
    <w:p w:rsidR="009D2948" w:rsidRPr="009D2948" w:rsidRDefault="009D2948" w:rsidP="009D2948">
      <w:pPr>
        <w:pStyle w:val="ListDash1"/>
        <w:rPr>
          <w:noProof/>
        </w:rPr>
      </w:pPr>
      <w:r w:rsidRPr="009D2948">
        <w:t>X</w:t>
      </w:r>
      <w:r w:rsidRPr="009D2948">
        <w:tab/>
        <w:t>Propunerea/inițiativa necesită o reprogramare a rubricii corespunzătoare din cadrul financiar multianual.</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sz w:val="20"/>
        </w:rPr>
      </w:pPr>
      <w:r w:rsidRPr="009D2948">
        <w:rPr>
          <w:noProof/>
          <w:sz w:val="20"/>
        </w:rPr>
        <w:t>A se explica reprogramarea necesară, precizându-se liniile bugetare în cauză și sumele aferente.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sz w:val="20"/>
        </w:rPr>
      </w:pPr>
      <w:r w:rsidRPr="009D2948">
        <w:rPr>
          <w:noProof/>
          <w:sz w:val="20"/>
        </w:rPr>
        <w:t>Este necesară reprogramarea liniei bugetare a ESMA 12.02.06. Deși sumele totale prevăzute (a se vedea anexa pentru detalii) vor fi acoperite din taxele percepute de la CPC din UE și din țări terțe, va fi necesar un avans din bugetul UE pentru a acoperi costurile suportate cel puțin în timpul primelor 6 luni de funcționare (și anume, bugetul pe 2018) și cel mult în timpul primelor 12 luni de funcționare.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sz w:val="20"/>
        </w:rPr>
      </w:pPr>
      <w:r w:rsidRPr="009D2948">
        <w:rPr>
          <w:noProof/>
          <w:sz w:val="20"/>
        </w:rPr>
        <w:t>După adoptarea procedurii, Comisia va trebui să adopte un act delegat în care să indice în detaliu metodologia de calculare și de colectare a taxelor de la CPC din UE și din țări terțe. Înainte de a se putea începe colectarea taxelor trebuie ca Parlamentul European și Consiliul să nu formuleze obiecții și ca actul să se publice în Jurnalul Oficial. Aceste costuri ar trebui însă să fie recuperate în timp.</w:t>
      </w:r>
    </w:p>
    <w:p w:rsidR="009D2948" w:rsidRPr="009D2948" w:rsidRDefault="009D2948" w:rsidP="009D2948">
      <w:pPr>
        <w:pStyle w:val="ListDash1"/>
        <w:rPr>
          <w:noProof/>
        </w:rPr>
      </w:pPr>
      <w:r w:rsidRPr="009D2948">
        <w:rPr>
          <w:noProof/>
        </w:rPr>
        <w:sym w:font="Wingdings" w:char="F0A8"/>
      </w:r>
      <w:r w:rsidRPr="009D2948">
        <w:tab/>
        <w:t>Propunerea/inițiativa necesită recurgerea la instrumentul de flexibilitate sau la revizuirea cadrului financiar multianual.</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sz w:val="20"/>
        </w:rPr>
      </w:pPr>
      <w:r w:rsidRPr="009D2948">
        <w:rPr>
          <w:noProof/>
          <w:sz w:val="20"/>
        </w:rPr>
        <w:t>A se explica necesitatea efectuării acestei acțiuni, precizând rubricile și liniile bugetare în cauză, precum și sumele aferente.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w:t>
      </w:r>
    </w:p>
    <w:p w:rsidR="009D2948" w:rsidRPr="009D2948" w:rsidRDefault="009D2948" w:rsidP="009D2948">
      <w:pPr>
        <w:pStyle w:val="ManualHeading3"/>
        <w:rPr>
          <w:bCs/>
          <w:noProof/>
          <w:szCs w:val="24"/>
        </w:rPr>
      </w:pPr>
      <w:r w:rsidRPr="009D2948">
        <w:t>3.2.5.</w:t>
      </w:r>
      <w:r w:rsidRPr="009D2948">
        <w:tab/>
        <w:t xml:space="preserve">Contribuția terților </w:t>
      </w:r>
    </w:p>
    <w:p w:rsidR="009D2948" w:rsidRPr="009D2948" w:rsidRDefault="009D2948" w:rsidP="009D2948">
      <w:pPr>
        <w:pStyle w:val="ListDash1"/>
        <w:rPr>
          <w:noProof/>
        </w:rPr>
      </w:pPr>
      <w:r w:rsidRPr="009D2948">
        <w:t xml:space="preserve">Propunerea/inițiativa nu prevede cofinanțare din partea terților. </w:t>
      </w:r>
    </w:p>
    <w:p w:rsidR="009D2948" w:rsidRPr="009D2948" w:rsidRDefault="009D2948" w:rsidP="009D2948">
      <w:pPr>
        <w:pStyle w:val="ListDash1"/>
        <w:rPr>
          <w:noProof/>
        </w:rPr>
      </w:pPr>
      <w:r w:rsidRPr="009D2948">
        <w:t>Propunerea/inițiativa prevede cofinanțare, estimată după cum urmează:</w:t>
      </w:r>
    </w:p>
    <w:p w:rsidR="009D2948" w:rsidRPr="009D2948" w:rsidRDefault="009D2948" w:rsidP="009D2948">
      <w:pPr>
        <w:jc w:val="right"/>
        <w:rPr>
          <w:noProof/>
          <w:sz w:val="20"/>
        </w:rPr>
      </w:pPr>
      <w:r w:rsidRPr="009D2948">
        <w:rPr>
          <w:noProof/>
          <w:sz w:val="20"/>
        </w:rPr>
        <w:t>Credite de angajament în milioane EUR (cu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9D2948" w:rsidRPr="009D2948" w:rsidTr="007A1A92">
        <w:trPr>
          <w:cantSplit/>
        </w:trPr>
        <w:tc>
          <w:tcPr>
            <w:tcW w:w="2340" w:type="dxa"/>
          </w:tcPr>
          <w:p w:rsidR="009D2948" w:rsidRPr="009D2948" w:rsidRDefault="009D2948" w:rsidP="007A1A92">
            <w:pPr>
              <w:spacing w:before="60" w:after="60"/>
              <w:rPr>
                <w:noProof/>
                <w:sz w:val="20"/>
              </w:rPr>
            </w:pPr>
          </w:p>
        </w:tc>
        <w:tc>
          <w:tcPr>
            <w:tcW w:w="964" w:type="dxa"/>
            <w:vAlign w:val="center"/>
          </w:tcPr>
          <w:p w:rsidR="009D2948" w:rsidRPr="009D2948" w:rsidRDefault="009D2948" w:rsidP="007A1A92">
            <w:pPr>
              <w:jc w:val="center"/>
              <w:rPr>
                <w:noProof/>
                <w:sz w:val="20"/>
                <w:szCs w:val="20"/>
              </w:rPr>
            </w:pPr>
            <w:r w:rsidRPr="009D2948">
              <w:rPr>
                <w:sz w:val="20"/>
                <w:szCs w:val="20"/>
              </w:rPr>
              <w:t>Anul</w:t>
            </w:r>
            <w:r w:rsidRPr="009D2948">
              <w:rPr>
                <w:noProof/>
                <w:sz w:val="22"/>
              </w:rPr>
              <w:t xml:space="preserve"> </w:t>
            </w:r>
            <w:r w:rsidRPr="009D2948">
              <w:rPr>
                <w:noProof/>
                <w:sz w:val="22"/>
              </w:rPr>
              <w:br/>
            </w:r>
            <w:r w:rsidRPr="009D2948">
              <w:rPr>
                <w:b/>
                <w:noProof/>
                <w:sz w:val="20"/>
                <w:szCs w:val="20"/>
              </w:rPr>
              <w:t>2018</w:t>
            </w:r>
          </w:p>
        </w:tc>
        <w:tc>
          <w:tcPr>
            <w:tcW w:w="964" w:type="dxa"/>
            <w:vAlign w:val="center"/>
          </w:tcPr>
          <w:p w:rsidR="009D2948" w:rsidRPr="009D2948" w:rsidRDefault="009D2948" w:rsidP="007A1A92">
            <w:pPr>
              <w:jc w:val="center"/>
              <w:rPr>
                <w:noProof/>
                <w:sz w:val="20"/>
                <w:szCs w:val="20"/>
              </w:rPr>
            </w:pPr>
            <w:r w:rsidRPr="009D2948">
              <w:rPr>
                <w:sz w:val="20"/>
                <w:szCs w:val="20"/>
              </w:rPr>
              <w:t>Anul</w:t>
            </w:r>
            <w:r w:rsidRPr="009D2948">
              <w:rPr>
                <w:noProof/>
                <w:sz w:val="22"/>
              </w:rPr>
              <w:t xml:space="preserve"> </w:t>
            </w:r>
            <w:r w:rsidRPr="009D2948">
              <w:rPr>
                <w:noProof/>
                <w:sz w:val="22"/>
              </w:rPr>
              <w:br/>
            </w:r>
            <w:r w:rsidRPr="009D2948">
              <w:rPr>
                <w:b/>
                <w:noProof/>
                <w:sz w:val="20"/>
                <w:szCs w:val="20"/>
              </w:rPr>
              <w:t>2019</w:t>
            </w:r>
          </w:p>
        </w:tc>
        <w:tc>
          <w:tcPr>
            <w:tcW w:w="964" w:type="dxa"/>
            <w:vAlign w:val="center"/>
          </w:tcPr>
          <w:p w:rsidR="009D2948" w:rsidRPr="009D2948" w:rsidRDefault="009D2948" w:rsidP="007A1A92">
            <w:pPr>
              <w:jc w:val="center"/>
              <w:rPr>
                <w:noProof/>
                <w:sz w:val="20"/>
                <w:szCs w:val="20"/>
              </w:rPr>
            </w:pPr>
            <w:r w:rsidRPr="009D2948">
              <w:rPr>
                <w:sz w:val="20"/>
                <w:szCs w:val="20"/>
              </w:rPr>
              <w:t>Anul</w:t>
            </w:r>
            <w:r w:rsidRPr="009D2948">
              <w:rPr>
                <w:noProof/>
                <w:sz w:val="22"/>
              </w:rPr>
              <w:t xml:space="preserve"> </w:t>
            </w:r>
            <w:r w:rsidRPr="009D2948">
              <w:rPr>
                <w:noProof/>
                <w:sz w:val="22"/>
              </w:rPr>
              <w:br/>
            </w:r>
            <w:r w:rsidRPr="009D2948">
              <w:rPr>
                <w:b/>
                <w:noProof/>
                <w:sz w:val="20"/>
                <w:szCs w:val="20"/>
              </w:rPr>
              <w:t>2020</w:t>
            </w:r>
          </w:p>
        </w:tc>
        <w:tc>
          <w:tcPr>
            <w:tcW w:w="964" w:type="dxa"/>
            <w:vAlign w:val="center"/>
          </w:tcPr>
          <w:p w:rsidR="009D2948" w:rsidRPr="009D2948" w:rsidRDefault="009D2948" w:rsidP="007A1A92">
            <w:pPr>
              <w:jc w:val="center"/>
              <w:rPr>
                <w:noProof/>
                <w:sz w:val="20"/>
                <w:szCs w:val="20"/>
              </w:rPr>
            </w:pPr>
            <w:r w:rsidRPr="009D2948">
              <w:rPr>
                <w:sz w:val="20"/>
                <w:szCs w:val="20"/>
              </w:rPr>
              <w:t>Anul</w:t>
            </w:r>
            <w:r w:rsidRPr="009D2948">
              <w:rPr>
                <w:noProof/>
                <w:sz w:val="22"/>
              </w:rPr>
              <w:t xml:space="preserve"> </w:t>
            </w:r>
            <w:r w:rsidRPr="009D2948">
              <w:rPr>
                <w:noProof/>
                <w:sz w:val="22"/>
              </w:rPr>
              <w:br/>
            </w:r>
            <w:r w:rsidRPr="009D2948">
              <w:rPr>
                <w:b/>
                <w:noProof/>
                <w:sz w:val="20"/>
                <w:szCs w:val="20"/>
              </w:rPr>
              <w:t>2021</w:t>
            </w:r>
          </w:p>
        </w:tc>
        <w:tc>
          <w:tcPr>
            <w:tcW w:w="2892" w:type="dxa"/>
            <w:gridSpan w:val="3"/>
            <w:vAlign w:val="center"/>
          </w:tcPr>
          <w:p w:rsidR="009D2948" w:rsidRPr="009D2948" w:rsidRDefault="009D2948" w:rsidP="007A1A92">
            <w:pPr>
              <w:jc w:val="center"/>
              <w:rPr>
                <w:b/>
                <w:noProof/>
                <w:sz w:val="20"/>
              </w:rPr>
            </w:pPr>
            <w:r w:rsidRPr="009D2948">
              <w:rPr>
                <w:noProof/>
                <w:sz w:val="20"/>
              </w:rPr>
              <w:t>A se introduce atâția ani câți sunt considerați necesari pentru a reflecta durata impactului (cf. punctul 1.6)</w:t>
            </w:r>
          </w:p>
        </w:tc>
        <w:tc>
          <w:tcPr>
            <w:tcW w:w="1158" w:type="dxa"/>
            <w:vAlign w:val="center"/>
          </w:tcPr>
          <w:p w:rsidR="009D2948" w:rsidRPr="009D2948" w:rsidRDefault="009D2948" w:rsidP="007A1A92">
            <w:pPr>
              <w:spacing w:before="60" w:after="60"/>
              <w:jc w:val="center"/>
              <w:rPr>
                <w:noProof/>
                <w:sz w:val="20"/>
              </w:rPr>
            </w:pPr>
            <w:r w:rsidRPr="009D2948">
              <w:rPr>
                <w:noProof/>
                <w:sz w:val="20"/>
              </w:rPr>
              <w:t>Total</w:t>
            </w:r>
          </w:p>
        </w:tc>
      </w:tr>
      <w:tr w:rsidR="009D2948" w:rsidRPr="009D2948" w:rsidTr="007A1A92">
        <w:trPr>
          <w:cantSplit/>
        </w:trPr>
        <w:tc>
          <w:tcPr>
            <w:tcW w:w="2340" w:type="dxa"/>
          </w:tcPr>
          <w:p w:rsidR="009D2948" w:rsidRPr="009D2948" w:rsidRDefault="009D2948" w:rsidP="007A1A92">
            <w:pPr>
              <w:rPr>
                <w:noProof/>
              </w:rPr>
            </w:pPr>
            <w:r w:rsidRPr="009D2948">
              <w:rPr>
                <w:noProof/>
                <w:sz w:val="20"/>
              </w:rPr>
              <w:t>A se preciza organismul care asigură cofinanțarea:</w:t>
            </w:r>
            <w:r w:rsidRPr="009D2948">
              <w:rPr>
                <w:i/>
                <w:noProof/>
                <w:sz w:val="20"/>
              </w:rPr>
              <w:t xml:space="preserve"> </w:t>
            </w:r>
          </w:p>
        </w:tc>
        <w:tc>
          <w:tcPr>
            <w:tcW w:w="964" w:type="dxa"/>
            <w:vAlign w:val="center"/>
          </w:tcPr>
          <w:p w:rsidR="009D2948" w:rsidRPr="009D2948" w:rsidRDefault="009D2948" w:rsidP="007A1A92">
            <w:pPr>
              <w:spacing w:before="60" w:after="60"/>
              <w:jc w:val="center"/>
              <w:rPr>
                <w:noProof/>
                <w:sz w:val="20"/>
              </w:rPr>
            </w:pPr>
          </w:p>
        </w:tc>
        <w:tc>
          <w:tcPr>
            <w:tcW w:w="964" w:type="dxa"/>
            <w:vAlign w:val="center"/>
          </w:tcPr>
          <w:p w:rsidR="009D2948" w:rsidRPr="009D2948" w:rsidRDefault="009D2948" w:rsidP="007A1A92">
            <w:pPr>
              <w:spacing w:before="60" w:after="60"/>
              <w:jc w:val="center"/>
              <w:rPr>
                <w:noProof/>
                <w:sz w:val="20"/>
              </w:rPr>
            </w:pPr>
          </w:p>
        </w:tc>
        <w:tc>
          <w:tcPr>
            <w:tcW w:w="964" w:type="dxa"/>
            <w:vAlign w:val="center"/>
          </w:tcPr>
          <w:p w:rsidR="009D2948" w:rsidRPr="009D2948" w:rsidRDefault="009D2948" w:rsidP="007A1A92">
            <w:pPr>
              <w:spacing w:before="60" w:after="60"/>
              <w:jc w:val="center"/>
              <w:rPr>
                <w:noProof/>
                <w:sz w:val="20"/>
              </w:rPr>
            </w:pPr>
          </w:p>
        </w:tc>
        <w:tc>
          <w:tcPr>
            <w:tcW w:w="964" w:type="dxa"/>
            <w:vAlign w:val="center"/>
          </w:tcPr>
          <w:p w:rsidR="009D2948" w:rsidRPr="009D2948" w:rsidRDefault="009D2948" w:rsidP="007A1A92">
            <w:pPr>
              <w:spacing w:before="60" w:after="60"/>
              <w:jc w:val="center"/>
              <w:rPr>
                <w:noProof/>
                <w:sz w:val="20"/>
              </w:rPr>
            </w:pPr>
          </w:p>
        </w:tc>
        <w:tc>
          <w:tcPr>
            <w:tcW w:w="964" w:type="dxa"/>
            <w:vAlign w:val="center"/>
          </w:tcPr>
          <w:p w:rsidR="009D2948" w:rsidRPr="009D2948" w:rsidRDefault="009D2948" w:rsidP="007A1A92">
            <w:pPr>
              <w:spacing w:before="60" w:after="60"/>
              <w:jc w:val="center"/>
              <w:rPr>
                <w:noProof/>
                <w:sz w:val="20"/>
              </w:rPr>
            </w:pPr>
          </w:p>
        </w:tc>
        <w:tc>
          <w:tcPr>
            <w:tcW w:w="964" w:type="dxa"/>
            <w:vAlign w:val="center"/>
          </w:tcPr>
          <w:p w:rsidR="009D2948" w:rsidRPr="009D2948" w:rsidRDefault="009D2948" w:rsidP="007A1A92">
            <w:pPr>
              <w:spacing w:before="60" w:after="60"/>
              <w:jc w:val="center"/>
              <w:rPr>
                <w:noProof/>
                <w:sz w:val="20"/>
              </w:rPr>
            </w:pPr>
          </w:p>
        </w:tc>
        <w:tc>
          <w:tcPr>
            <w:tcW w:w="964" w:type="dxa"/>
            <w:vAlign w:val="center"/>
          </w:tcPr>
          <w:p w:rsidR="009D2948" w:rsidRPr="009D2948" w:rsidRDefault="009D2948" w:rsidP="007A1A92">
            <w:pPr>
              <w:spacing w:before="60" w:after="60"/>
              <w:jc w:val="center"/>
              <w:rPr>
                <w:noProof/>
                <w:sz w:val="20"/>
              </w:rPr>
            </w:pPr>
          </w:p>
        </w:tc>
        <w:tc>
          <w:tcPr>
            <w:tcW w:w="1158" w:type="dxa"/>
            <w:vAlign w:val="center"/>
          </w:tcPr>
          <w:p w:rsidR="009D2948" w:rsidRPr="009D2948" w:rsidRDefault="009D2948" w:rsidP="007A1A92">
            <w:pPr>
              <w:spacing w:before="60" w:after="60"/>
              <w:jc w:val="center"/>
              <w:rPr>
                <w:noProof/>
                <w:sz w:val="20"/>
              </w:rPr>
            </w:pPr>
          </w:p>
        </w:tc>
      </w:tr>
      <w:tr w:rsidR="009D2948" w:rsidRPr="009D2948" w:rsidTr="007A1A92">
        <w:trPr>
          <w:cantSplit/>
        </w:trPr>
        <w:tc>
          <w:tcPr>
            <w:tcW w:w="2340" w:type="dxa"/>
          </w:tcPr>
          <w:p w:rsidR="009D2948" w:rsidRPr="009D2948" w:rsidRDefault="009D2948" w:rsidP="007A1A92">
            <w:pPr>
              <w:spacing w:before="60" w:after="60"/>
              <w:jc w:val="left"/>
              <w:rPr>
                <w:noProof/>
                <w:sz w:val="20"/>
              </w:rPr>
            </w:pPr>
            <w:r w:rsidRPr="009D2948">
              <w:rPr>
                <w:noProof/>
                <w:sz w:val="20"/>
              </w:rPr>
              <w:t xml:space="preserve">TOTAL credite cofinanțate </w:t>
            </w:r>
          </w:p>
        </w:tc>
        <w:tc>
          <w:tcPr>
            <w:tcW w:w="964" w:type="dxa"/>
            <w:vAlign w:val="center"/>
          </w:tcPr>
          <w:p w:rsidR="009D2948" w:rsidRPr="009D2948" w:rsidRDefault="009D2948" w:rsidP="007A1A92">
            <w:pPr>
              <w:spacing w:before="60" w:after="60"/>
              <w:jc w:val="center"/>
              <w:rPr>
                <w:noProof/>
                <w:sz w:val="20"/>
              </w:rPr>
            </w:pPr>
          </w:p>
        </w:tc>
        <w:tc>
          <w:tcPr>
            <w:tcW w:w="964" w:type="dxa"/>
            <w:vAlign w:val="center"/>
          </w:tcPr>
          <w:p w:rsidR="009D2948" w:rsidRPr="009D2948" w:rsidRDefault="009D2948" w:rsidP="007A1A92">
            <w:pPr>
              <w:spacing w:before="60" w:after="60"/>
              <w:jc w:val="center"/>
              <w:rPr>
                <w:noProof/>
                <w:sz w:val="20"/>
              </w:rPr>
            </w:pPr>
          </w:p>
        </w:tc>
        <w:tc>
          <w:tcPr>
            <w:tcW w:w="964" w:type="dxa"/>
            <w:vAlign w:val="center"/>
          </w:tcPr>
          <w:p w:rsidR="009D2948" w:rsidRPr="009D2948" w:rsidRDefault="009D2948" w:rsidP="007A1A92">
            <w:pPr>
              <w:spacing w:before="60" w:after="60"/>
              <w:jc w:val="center"/>
              <w:rPr>
                <w:noProof/>
                <w:sz w:val="20"/>
              </w:rPr>
            </w:pPr>
          </w:p>
        </w:tc>
        <w:tc>
          <w:tcPr>
            <w:tcW w:w="964" w:type="dxa"/>
            <w:vAlign w:val="center"/>
          </w:tcPr>
          <w:p w:rsidR="009D2948" w:rsidRPr="009D2948" w:rsidRDefault="009D2948" w:rsidP="007A1A92">
            <w:pPr>
              <w:spacing w:before="60" w:after="60"/>
              <w:jc w:val="center"/>
              <w:rPr>
                <w:noProof/>
                <w:sz w:val="20"/>
              </w:rPr>
            </w:pPr>
          </w:p>
        </w:tc>
        <w:tc>
          <w:tcPr>
            <w:tcW w:w="964" w:type="dxa"/>
            <w:vAlign w:val="center"/>
          </w:tcPr>
          <w:p w:rsidR="009D2948" w:rsidRPr="009D2948" w:rsidRDefault="009D2948" w:rsidP="007A1A92">
            <w:pPr>
              <w:spacing w:before="60" w:after="60"/>
              <w:jc w:val="center"/>
              <w:rPr>
                <w:noProof/>
                <w:sz w:val="20"/>
              </w:rPr>
            </w:pPr>
          </w:p>
        </w:tc>
        <w:tc>
          <w:tcPr>
            <w:tcW w:w="964" w:type="dxa"/>
            <w:vAlign w:val="center"/>
          </w:tcPr>
          <w:p w:rsidR="009D2948" w:rsidRPr="009D2948" w:rsidRDefault="009D2948" w:rsidP="007A1A92">
            <w:pPr>
              <w:spacing w:before="60" w:after="60"/>
              <w:jc w:val="center"/>
              <w:rPr>
                <w:noProof/>
                <w:sz w:val="20"/>
              </w:rPr>
            </w:pPr>
          </w:p>
        </w:tc>
        <w:tc>
          <w:tcPr>
            <w:tcW w:w="964" w:type="dxa"/>
            <w:vAlign w:val="center"/>
          </w:tcPr>
          <w:p w:rsidR="009D2948" w:rsidRPr="009D2948" w:rsidRDefault="009D2948" w:rsidP="007A1A92">
            <w:pPr>
              <w:spacing w:before="60" w:after="60"/>
              <w:jc w:val="center"/>
              <w:rPr>
                <w:noProof/>
                <w:sz w:val="20"/>
              </w:rPr>
            </w:pPr>
          </w:p>
        </w:tc>
        <w:tc>
          <w:tcPr>
            <w:tcW w:w="1158" w:type="dxa"/>
            <w:vAlign w:val="center"/>
          </w:tcPr>
          <w:p w:rsidR="009D2948" w:rsidRPr="009D2948" w:rsidRDefault="009D2948" w:rsidP="007A1A92">
            <w:pPr>
              <w:spacing w:before="60" w:after="60"/>
              <w:jc w:val="center"/>
              <w:rPr>
                <w:noProof/>
                <w:sz w:val="20"/>
              </w:rPr>
            </w:pPr>
          </w:p>
        </w:tc>
      </w:tr>
    </w:tbl>
    <w:p w:rsidR="009D2948" w:rsidRPr="009D2948" w:rsidRDefault="009D2948" w:rsidP="009D2948">
      <w:pPr>
        <w:rPr>
          <w:bCs/>
          <w:noProof/>
          <w:szCs w:val="24"/>
        </w:rPr>
      </w:pPr>
      <w:r w:rsidRPr="009D2948">
        <w:br/>
      </w:r>
      <w:r w:rsidRPr="009D2948">
        <w:br w:type="page"/>
      </w:r>
      <w:r w:rsidRPr="009D2948">
        <w:lastRenderedPageBreak/>
        <w:t xml:space="preserve">Impactul estimat asupra veniturilor </w:t>
      </w:r>
    </w:p>
    <w:p w:rsidR="009D2948" w:rsidRPr="009D2948" w:rsidRDefault="009D2948" w:rsidP="009D2948">
      <w:pPr>
        <w:pStyle w:val="ListDash1"/>
        <w:rPr>
          <w:noProof/>
        </w:rPr>
      </w:pPr>
      <w:r w:rsidRPr="009D2948">
        <w:rPr>
          <w:noProof/>
        </w:rPr>
        <w:sym w:font="Wingdings" w:char="F0FE"/>
      </w:r>
      <w:r w:rsidRPr="009D2948">
        <w:tab/>
        <w:t>Propunerea/inițiativa nu are impact financiar asupra veniturilor.</w:t>
      </w:r>
    </w:p>
    <w:p w:rsidR="009D2948" w:rsidRPr="009D2948" w:rsidRDefault="009D2948" w:rsidP="009D2948">
      <w:pPr>
        <w:pStyle w:val="ListDash1"/>
        <w:rPr>
          <w:noProof/>
        </w:rPr>
      </w:pPr>
      <w:r w:rsidRPr="009D2948">
        <w:rPr>
          <w:noProof/>
        </w:rPr>
        <w:sym w:font="Wingdings" w:char="F0A8"/>
      </w:r>
      <w:r w:rsidRPr="009D2948">
        <w:tab/>
        <w:t>Propunerea/inițiativa are următorul impact financiar:</w:t>
      </w:r>
    </w:p>
    <w:p w:rsidR="009D2948" w:rsidRPr="009D2948" w:rsidRDefault="009D2948" w:rsidP="009D2948">
      <w:pPr>
        <w:pStyle w:val="ListNumberLevel3"/>
        <w:rPr>
          <w:noProof/>
        </w:rPr>
      </w:pPr>
      <w:r w:rsidRPr="009D2948">
        <w:rPr>
          <w:noProof/>
        </w:rPr>
        <w:sym w:font="Wingdings" w:char="F0A8"/>
      </w:r>
      <w:r w:rsidRPr="009D2948">
        <w:tab/>
        <w:t xml:space="preserve">asupra resurselor proprii </w:t>
      </w:r>
    </w:p>
    <w:p w:rsidR="009D2948" w:rsidRPr="009D2948" w:rsidRDefault="009D2948" w:rsidP="009D2948">
      <w:pPr>
        <w:pStyle w:val="ListNumberLevel3"/>
        <w:rPr>
          <w:noProof/>
        </w:rPr>
      </w:pPr>
      <w:r w:rsidRPr="009D2948">
        <w:rPr>
          <w:noProof/>
        </w:rPr>
        <w:sym w:font="Wingdings" w:char="F0A8"/>
      </w:r>
      <w:r w:rsidRPr="009D2948">
        <w:tab/>
        <w:t xml:space="preserve">asupra veniturilor diverse </w:t>
      </w:r>
    </w:p>
    <w:p w:rsidR="009D2948" w:rsidRPr="009D2948" w:rsidRDefault="009D2948" w:rsidP="009D2948">
      <w:pPr>
        <w:jc w:val="right"/>
        <w:rPr>
          <w:i/>
          <w:noProof/>
          <w:sz w:val="20"/>
        </w:rPr>
      </w:pPr>
      <w:r w:rsidRPr="009D2948">
        <w:t>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9D2948" w:rsidRPr="009D2948" w:rsidTr="007A1A92">
        <w:trPr>
          <w:trHeight w:val="388"/>
        </w:trPr>
        <w:tc>
          <w:tcPr>
            <w:tcW w:w="2144" w:type="dxa"/>
            <w:vMerge w:val="restart"/>
            <w:vAlign w:val="center"/>
          </w:tcPr>
          <w:p w:rsidR="009D2948" w:rsidRPr="009D2948" w:rsidRDefault="009D2948" w:rsidP="007A1A92">
            <w:pPr>
              <w:spacing w:before="40" w:after="40"/>
              <w:rPr>
                <w:noProof/>
                <w:sz w:val="18"/>
              </w:rPr>
            </w:pPr>
            <w:r w:rsidRPr="009D2948">
              <w:rPr>
                <w:noProof/>
                <w:sz w:val="18"/>
              </w:rPr>
              <w:t>Linia bugetară pentru venituri:</w:t>
            </w:r>
          </w:p>
        </w:tc>
        <w:tc>
          <w:tcPr>
            <w:tcW w:w="1276" w:type="dxa"/>
            <w:vMerge w:val="restart"/>
            <w:vAlign w:val="center"/>
          </w:tcPr>
          <w:p w:rsidR="009D2948" w:rsidRPr="009D2948" w:rsidRDefault="009D2948" w:rsidP="007A1A92">
            <w:pPr>
              <w:jc w:val="center"/>
              <w:rPr>
                <w:noProof/>
                <w:sz w:val="18"/>
              </w:rPr>
            </w:pPr>
            <w:r w:rsidRPr="009D2948">
              <w:rPr>
                <w:noProof/>
                <w:sz w:val="18"/>
              </w:rPr>
              <w:t>Credite disponibile pentru exercițiul financiar în curs</w:t>
            </w:r>
          </w:p>
        </w:tc>
        <w:tc>
          <w:tcPr>
            <w:tcW w:w="7200" w:type="dxa"/>
            <w:gridSpan w:val="7"/>
            <w:vAlign w:val="center"/>
          </w:tcPr>
          <w:p w:rsidR="009D2948" w:rsidRPr="009D2948" w:rsidRDefault="009D2948" w:rsidP="007A1A92">
            <w:pPr>
              <w:jc w:val="center"/>
              <w:rPr>
                <w:noProof/>
                <w:sz w:val="18"/>
              </w:rPr>
            </w:pPr>
            <w:r w:rsidRPr="009D2948">
              <w:rPr>
                <w:noProof/>
                <w:sz w:val="18"/>
              </w:rPr>
              <w:t>Impactul propunerii/inițiativei</w:t>
            </w:r>
            <w:r w:rsidRPr="009D2948">
              <w:rPr>
                <w:rStyle w:val="FootnoteReference"/>
                <w:noProof/>
                <w:sz w:val="18"/>
              </w:rPr>
              <w:footnoteReference w:id="74"/>
            </w:r>
          </w:p>
        </w:tc>
      </w:tr>
      <w:tr w:rsidR="009D2948" w:rsidRPr="009D2948" w:rsidTr="007A1A92">
        <w:trPr>
          <w:trHeight w:val="388"/>
        </w:trPr>
        <w:tc>
          <w:tcPr>
            <w:tcW w:w="2144" w:type="dxa"/>
            <w:vMerge/>
          </w:tcPr>
          <w:p w:rsidR="009D2948" w:rsidRPr="009D2948" w:rsidRDefault="009D2948" w:rsidP="007A1A92">
            <w:pPr>
              <w:spacing w:before="40" w:after="40"/>
              <w:rPr>
                <w:noProof/>
                <w:sz w:val="18"/>
              </w:rPr>
            </w:pPr>
          </w:p>
        </w:tc>
        <w:tc>
          <w:tcPr>
            <w:tcW w:w="1276" w:type="dxa"/>
            <w:vMerge/>
          </w:tcPr>
          <w:p w:rsidR="009D2948" w:rsidRPr="009D2948" w:rsidRDefault="009D2948" w:rsidP="007A1A92">
            <w:pPr>
              <w:spacing w:beforeLines="40" w:before="96" w:afterLines="40" w:after="96"/>
              <w:rPr>
                <w:i/>
                <w:noProof/>
                <w:sz w:val="18"/>
              </w:rPr>
            </w:pPr>
          </w:p>
        </w:tc>
        <w:tc>
          <w:tcPr>
            <w:tcW w:w="1080" w:type="dxa"/>
            <w:vAlign w:val="center"/>
          </w:tcPr>
          <w:p w:rsidR="009D2948" w:rsidRPr="009D2948" w:rsidRDefault="009D2948" w:rsidP="007A1A92">
            <w:pPr>
              <w:jc w:val="center"/>
              <w:rPr>
                <w:noProof/>
                <w:sz w:val="18"/>
                <w:szCs w:val="18"/>
              </w:rPr>
            </w:pPr>
            <w:r w:rsidRPr="009D2948">
              <w:rPr>
                <w:sz w:val="18"/>
                <w:szCs w:val="18"/>
              </w:rPr>
              <w:t>Anul</w:t>
            </w:r>
            <w:r w:rsidRPr="009D2948">
              <w:rPr>
                <w:noProof/>
                <w:sz w:val="22"/>
              </w:rPr>
              <w:t xml:space="preserve"> </w:t>
            </w:r>
            <w:r w:rsidRPr="009D2948">
              <w:rPr>
                <w:noProof/>
                <w:sz w:val="22"/>
              </w:rPr>
              <w:br/>
            </w:r>
            <w:r w:rsidRPr="009D2948">
              <w:rPr>
                <w:b/>
                <w:noProof/>
                <w:sz w:val="18"/>
                <w:szCs w:val="18"/>
              </w:rPr>
              <w:t>N</w:t>
            </w:r>
          </w:p>
        </w:tc>
        <w:tc>
          <w:tcPr>
            <w:tcW w:w="900" w:type="dxa"/>
            <w:vAlign w:val="center"/>
          </w:tcPr>
          <w:p w:rsidR="009D2948" w:rsidRPr="009D2948" w:rsidRDefault="009D2948" w:rsidP="007A1A92">
            <w:pPr>
              <w:jc w:val="center"/>
              <w:rPr>
                <w:noProof/>
                <w:sz w:val="18"/>
                <w:szCs w:val="18"/>
              </w:rPr>
            </w:pPr>
            <w:r w:rsidRPr="009D2948">
              <w:rPr>
                <w:sz w:val="18"/>
                <w:szCs w:val="18"/>
              </w:rPr>
              <w:t>Anul</w:t>
            </w:r>
            <w:r w:rsidRPr="009D2948">
              <w:rPr>
                <w:noProof/>
                <w:sz w:val="22"/>
              </w:rPr>
              <w:t xml:space="preserve"> </w:t>
            </w:r>
            <w:r w:rsidRPr="009D2948">
              <w:rPr>
                <w:noProof/>
                <w:sz w:val="22"/>
              </w:rPr>
              <w:br/>
            </w:r>
            <w:r w:rsidRPr="009D2948">
              <w:rPr>
                <w:b/>
                <w:noProof/>
                <w:sz w:val="18"/>
                <w:szCs w:val="18"/>
              </w:rPr>
              <w:t>N+1</w:t>
            </w:r>
          </w:p>
        </w:tc>
        <w:tc>
          <w:tcPr>
            <w:tcW w:w="900" w:type="dxa"/>
            <w:vAlign w:val="center"/>
          </w:tcPr>
          <w:p w:rsidR="009D2948" w:rsidRPr="009D2948" w:rsidRDefault="009D2948" w:rsidP="007A1A92">
            <w:pPr>
              <w:jc w:val="center"/>
              <w:rPr>
                <w:noProof/>
                <w:sz w:val="18"/>
                <w:szCs w:val="18"/>
              </w:rPr>
            </w:pPr>
            <w:r w:rsidRPr="009D2948">
              <w:rPr>
                <w:sz w:val="18"/>
                <w:szCs w:val="18"/>
              </w:rPr>
              <w:t>Anul</w:t>
            </w:r>
            <w:r w:rsidRPr="009D2948">
              <w:rPr>
                <w:noProof/>
                <w:sz w:val="22"/>
              </w:rPr>
              <w:t xml:space="preserve"> </w:t>
            </w:r>
            <w:r w:rsidRPr="009D2948">
              <w:rPr>
                <w:noProof/>
                <w:sz w:val="22"/>
              </w:rPr>
              <w:br/>
            </w:r>
            <w:r w:rsidRPr="009D2948">
              <w:rPr>
                <w:b/>
                <w:noProof/>
                <w:sz w:val="18"/>
                <w:szCs w:val="18"/>
              </w:rPr>
              <w:t>N+2</w:t>
            </w:r>
          </w:p>
        </w:tc>
        <w:tc>
          <w:tcPr>
            <w:tcW w:w="1080" w:type="dxa"/>
            <w:vAlign w:val="center"/>
          </w:tcPr>
          <w:p w:rsidR="009D2948" w:rsidRPr="009D2948" w:rsidRDefault="009D2948" w:rsidP="007A1A92">
            <w:pPr>
              <w:jc w:val="center"/>
              <w:rPr>
                <w:noProof/>
                <w:sz w:val="18"/>
                <w:szCs w:val="18"/>
              </w:rPr>
            </w:pPr>
            <w:r w:rsidRPr="009D2948">
              <w:rPr>
                <w:sz w:val="18"/>
                <w:szCs w:val="18"/>
              </w:rPr>
              <w:t>Anul</w:t>
            </w:r>
            <w:r w:rsidRPr="009D2948">
              <w:rPr>
                <w:noProof/>
                <w:sz w:val="22"/>
              </w:rPr>
              <w:t xml:space="preserve"> </w:t>
            </w:r>
            <w:r w:rsidRPr="009D2948">
              <w:rPr>
                <w:noProof/>
                <w:sz w:val="22"/>
              </w:rPr>
              <w:br/>
            </w:r>
            <w:r w:rsidRPr="009D2948">
              <w:rPr>
                <w:b/>
                <w:noProof/>
                <w:sz w:val="18"/>
                <w:szCs w:val="18"/>
              </w:rPr>
              <w:t>N+3</w:t>
            </w:r>
          </w:p>
        </w:tc>
        <w:tc>
          <w:tcPr>
            <w:tcW w:w="3240" w:type="dxa"/>
            <w:gridSpan w:val="3"/>
            <w:vAlign w:val="center"/>
          </w:tcPr>
          <w:p w:rsidR="009D2948" w:rsidRPr="009D2948" w:rsidRDefault="009D2948" w:rsidP="007A1A92">
            <w:pPr>
              <w:jc w:val="center"/>
              <w:rPr>
                <w:b/>
                <w:noProof/>
                <w:sz w:val="18"/>
              </w:rPr>
            </w:pPr>
            <w:r w:rsidRPr="009D2948">
              <w:rPr>
                <w:noProof/>
                <w:sz w:val="18"/>
              </w:rPr>
              <w:t>A se introduce atâția ani câți sunt considerați necesari pentru a reflecta durata impactului (cf. punctul 1.6)</w:t>
            </w:r>
          </w:p>
        </w:tc>
      </w:tr>
      <w:tr w:rsidR="009D2948" w:rsidRPr="009D2948" w:rsidTr="007A1A92">
        <w:trPr>
          <w:trHeight w:val="388"/>
        </w:trPr>
        <w:tc>
          <w:tcPr>
            <w:tcW w:w="2144" w:type="dxa"/>
            <w:vAlign w:val="center"/>
          </w:tcPr>
          <w:p w:rsidR="009D2948" w:rsidRPr="009D2948" w:rsidRDefault="009D2948" w:rsidP="007A1A92">
            <w:pPr>
              <w:spacing w:before="40" w:after="40"/>
              <w:rPr>
                <w:noProof/>
                <w:sz w:val="18"/>
              </w:rPr>
            </w:pPr>
            <w:r w:rsidRPr="009D2948">
              <w:rPr>
                <w:noProof/>
                <w:sz w:val="18"/>
              </w:rPr>
              <w:t>Articolul ………….</w:t>
            </w:r>
          </w:p>
        </w:tc>
        <w:tc>
          <w:tcPr>
            <w:tcW w:w="1276" w:type="dxa"/>
          </w:tcPr>
          <w:p w:rsidR="009D2948" w:rsidRPr="009D2948" w:rsidRDefault="009D2948" w:rsidP="007A1A92">
            <w:pPr>
              <w:spacing w:beforeLines="40" w:before="96" w:afterLines="40" w:after="96"/>
              <w:jc w:val="center"/>
              <w:rPr>
                <w:i/>
                <w:noProof/>
                <w:sz w:val="18"/>
              </w:rPr>
            </w:pPr>
          </w:p>
        </w:tc>
        <w:tc>
          <w:tcPr>
            <w:tcW w:w="1080" w:type="dxa"/>
          </w:tcPr>
          <w:p w:rsidR="009D2948" w:rsidRPr="009D2948" w:rsidRDefault="009D2948" w:rsidP="007A1A92">
            <w:pPr>
              <w:spacing w:beforeLines="40" w:before="96" w:afterLines="40" w:after="96"/>
              <w:jc w:val="center"/>
              <w:rPr>
                <w:noProof/>
                <w:sz w:val="18"/>
              </w:rPr>
            </w:pPr>
          </w:p>
        </w:tc>
        <w:tc>
          <w:tcPr>
            <w:tcW w:w="900" w:type="dxa"/>
          </w:tcPr>
          <w:p w:rsidR="009D2948" w:rsidRPr="009D2948" w:rsidRDefault="009D2948" w:rsidP="007A1A92">
            <w:pPr>
              <w:spacing w:beforeLines="40" w:before="96" w:afterLines="40" w:after="96"/>
              <w:jc w:val="center"/>
              <w:rPr>
                <w:noProof/>
                <w:sz w:val="18"/>
              </w:rPr>
            </w:pPr>
          </w:p>
        </w:tc>
        <w:tc>
          <w:tcPr>
            <w:tcW w:w="900" w:type="dxa"/>
          </w:tcPr>
          <w:p w:rsidR="009D2948" w:rsidRPr="009D2948" w:rsidRDefault="009D2948" w:rsidP="007A1A92">
            <w:pPr>
              <w:spacing w:beforeLines="40" w:before="96" w:afterLines="40" w:after="96"/>
              <w:jc w:val="center"/>
              <w:rPr>
                <w:noProof/>
                <w:sz w:val="18"/>
              </w:rPr>
            </w:pPr>
          </w:p>
        </w:tc>
        <w:tc>
          <w:tcPr>
            <w:tcW w:w="1080" w:type="dxa"/>
          </w:tcPr>
          <w:p w:rsidR="009D2948" w:rsidRPr="009D2948" w:rsidRDefault="009D2948" w:rsidP="007A1A92">
            <w:pPr>
              <w:spacing w:beforeLines="40" w:before="96" w:afterLines="40" w:after="96"/>
              <w:jc w:val="center"/>
              <w:rPr>
                <w:noProof/>
                <w:sz w:val="18"/>
              </w:rPr>
            </w:pPr>
          </w:p>
        </w:tc>
        <w:tc>
          <w:tcPr>
            <w:tcW w:w="1080" w:type="dxa"/>
          </w:tcPr>
          <w:p w:rsidR="009D2948" w:rsidRPr="009D2948" w:rsidRDefault="009D2948" w:rsidP="007A1A92">
            <w:pPr>
              <w:spacing w:beforeLines="40" w:before="96" w:afterLines="40" w:after="96"/>
              <w:jc w:val="center"/>
              <w:rPr>
                <w:noProof/>
                <w:sz w:val="18"/>
              </w:rPr>
            </w:pPr>
          </w:p>
        </w:tc>
        <w:tc>
          <w:tcPr>
            <w:tcW w:w="1080" w:type="dxa"/>
          </w:tcPr>
          <w:p w:rsidR="009D2948" w:rsidRPr="009D2948" w:rsidRDefault="009D2948" w:rsidP="007A1A92">
            <w:pPr>
              <w:spacing w:beforeLines="40" w:before="96" w:afterLines="40" w:after="96"/>
              <w:jc w:val="center"/>
              <w:rPr>
                <w:noProof/>
                <w:sz w:val="18"/>
              </w:rPr>
            </w:pPr>
          </w:p>
        </w:tc>
        <w:tc>
          <w:tcPr>
            <w:tcW w:w="1080" w:type="dxa"/>
          </w:tcPr>
          <w:p w:rsidR="009D2948" w:rsidRPr="009D2948" w:rsidRDefault="009D2948" w:rsidP="007A1A92">
            <w:pPr>
              <w:spacing w:beforeLines="40" w:before="96" w:afterLines="40" w:after="96"/>
              <w:jc w:val="center"/>
              <w:rPr>
                <w:noProof/>
                <w:sz w:val="18"/>
              </w:rPr>
            </w:pPr>
          </w:p>
        </w:tc>
      </w:tr>
    </w:tbl>
    <w:p w:rsidR="009D2948" w:rsidRPr="009D2948" w:rsidRDefault="009D2948" w:rsidP="009D2948">
      <w:pPr>
        <w:pStyle w:val="Text1"/>
        <w:rPr>
          <w:noProof/>
          <w:sz w:val="20"/>
        </w:rPr>
      </w:pPr>
      <w:r w:rsidRPr="009D2948">
        <w:rPr>
          <w:noProof/>
          <w:sz w:val="20"/>
        </w:rPr>
        <w:t>Pentru veniturile diverse alocate, a se preciza linia bugetară (liniile bugetare) de cheltuieli afectată (afectate).</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w:t>
      </w:r>
    </w:p>
    <w:p w:rsidR="009D2948" w:rsidRPr="009D2948" w:rsidRDefault="009D2948" w:rsidP="009D2948">
      <w:pPr>
        <w:pStyle w:val="Text1"/>
        <w:rPr>
          <w:noProof/>
          <w:sz w:val="20"/>
        </w:rPr>
      </w:pPr>
      <w:r w:rsidRPr="009D2948">
        <w:rPr>
          <w:noProof/>
          <w:sz w:val="20"/>
        </w:rPr>
        <w:t>A se preciza metoda de calcul a impactului asupra veniturilor.</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r w:rsidRPr="009D2948">
        <w:t>[…]</w:t>
      </w: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p>
    <w:p w:rsidR="009D2948" w:rsidRPr="009D2948" w:rsidRDefault="009D2948" w:rsidP="009D2948">
      <w:pPr>
        <w:pStyle w:val="Text1"/>
        <w:pBdr>
          <w:top w:val="single" w:sz="4" w:space="1" w:color="auto"/>
          <w:left w:val="single" w:sz="4" w:space="4" w:color="auto"/>
          <w:bottom w:val="single" w:sz="4" w:space="1" w:color="auto"/>
          <w:right w:val="single" w:sz="4" w:space="4" w:color="auto"/>
        </w:pBdr>
        <w:rPr>
          <w:noProof/>
        </w:rPr>
      </w:pPr>
    </w:p>
    <w:p w:rsidR="009D2948" w:rsidRPr="009D2948" w:rsidRDefault="009D2948" w:rsidP="009D2948">
      <w:pPr>
        <w:pStyle w:val="Text1"/>
        <w:ind w:left="0"/>
        <w:rPr>
          <w:b/>
          <w:noProof/>
        </w:rPr>
      </w:pPr>
    </w:p>
    <w:p w:rsidR="009D2948" w:rsidRPr="009D2948" w:rsidRDefault="009D2948" w:rsidP="009D2948">
      <w:pPr>
        <w:pStyle w:val="Text1"/>
        <w:ind w:left="0"/>
        <w:rPr>
          <w:b/>
          <w:noProof/>
        </w:rPr>
        <w:sectPr w:rsidR="009D2948" w:rsidRPr="009D2948" w:rsidSect="006B1E4D">
          <w:headerReference w:type="default" r:id="rId25"/>
          <w:footerReference w:type="default" r:id="rId26"/>
          <w:headerReference w:type="first" r:id="rId27"/>
          <w:footerReference w:type="first" r:id="rId28"/>
          <w:pgSz w:w="16839" w:h="11907" w:orient="landscape"/>
          <w:pgMar w:top="1417" w:right="1134" w:bottom="1417" w:left="1134" w:header="709" w:footer="709" w:gutter="0"/>
          <w:cols w:space="708"/>
          <w:docGrid w:linePitch="360"/>
        </w:sectPr>
      </w:pPr>
    </w:p>
    <w:p w:rsidR="009D2948" w:rsidRPr="009D2948" w:rsidRDefault="009D2948" w:rsidP="009D2948">
      <w:pPr>
        <w:rPr>
          <w:noProof/>
        </w:rPr>
      </w:pPr>
      <w:r w:rsidRPr="009D2948">
        <w:lastRenderedPageBreak/>
        <w:t>Anexă la fișa financiară legislativă pentru Propunerea de regulament al Parlamentului European și al Consiliului de modificare a Regulamentului (UE) nr. 1095/2010 de instituire a Autorității europene de supraveghere (Autoritatea Europeană pentru Valori Mobiliare și Piețe) și a Regulamentului (UE) nr. 648/2012 în ceea ce privește procedurile și autoritățile implicate în autorizarea contrapărților centrale și cerințele pentru recunoașterea contrapărților centrale din țări terțe.</w:t>
      </w:r>
    </w:p>
    <w:p w:rsidR="009D2948" w:rsidRPr="009D2948" w:rsidRDefault="009D2948" w:rsidP="009D2948">
      <w:pPr>
        <w:pStyle w:val="Typeacteprincipal"/>
        <w:jc w:val="both"/>
        <w:rPr>
          <w:b w:val="0"/>
          <w:noProof/>
        </w:rPr>
      </w:pPr>
      <w:r w:rsidRPr="009D2948">
        <w:rPr>
          <w:b w:val="0"/>
          <w:noProof/>
        </w:rPr>
        <w:t>Costurile aferente sarcinilor care urmează să fie realizate de ESMA au fost estimate pentru cheltuielile cu personalul în conformitate cu clasificarea costurilor în proiectul de buget al ESMA pentru 2018. Ar putea fi nevoie însă să se revizuiască aceste estimări în cazul în care, printr-o propunere a Comisiei privind reexaminarea AES, se vor opera modificări în finanțarea acestora.</w:t>
      </w:r>
    </w:p>
    <w:p w:rsidR="009D2948" w:rsidRPr="009D2948" w:rsidRDefault="009D2948" w:rsidP="009D2948">
      <w:pPr>
        <w:pStyle w:val="Objetacteprincipal"/>
        <w:spacing w:after="240"/>
        <w:jc w:val="both"/>
        <w:rPr>
          <w:b w:val="0"/>
          <w:i/>
          <w:noProof/>
        </w:rPr>
      </w:pPr>
      <w:r w:rsidRPr="009D2948">
        <w:rPr>
          <w:b w:val="0"/>
          <w:i/>
          <w:noProof/>
        </w:rPr>
        <w:t>Sarcini suplimentare</w:t>
      </w:r>
    </w:p>
    <w:p w:rsidR="009D2948" w:rsidRPr="009D2948" w:rsidRDefault="009D2948" w:rsidP="009D2948">
      <w:pPr>
        <w:pStyle w:val="Objetacteprincipal"/>
        <w:spacing w:after="120"/>
        <w:jc w:val="both"/>
        <w:rPr>
          <w:b w:val="0"/>
          <w:noProof/>
        </w:rPr>
      </w:pPr>
      <w:r w:rsidRPr="009D2948">
        <w:rPr>
          <w:b w:val="0"/>
          <w:noProof/>
        </w:rPr>
        <w:t xml:space="preserve">Propunerea Comisiei cuprinde dispoziții care acordă noi sarcini sau extinde sarcinile ESMA. Pe de o parte, ESMA va trebui să preia o gamă mai largă de sarcini de supraveghere în raport cu CPC din țări terțe. Pentru CPC de nivel 1, aceasta ar însemna o monitorizare mai intensivă după procedura de recunoaștere, inclusiv, eventual, inspecții la fața locului și întâlniri directe cu CPC. Pentru CPC de nivel 2 ar însemna o supraveghere </w:t>
      </w:r>
      <w:r w:rsidRPr="009D2948">
        <w:rPr>
          <w:b w:val="0"/>
          <w:i/>
          <w:noProof/>
        </w:rPr>
        <w:t>de facto</w:t>
      </w:r>
      <w:r w:rsidRPr="009D2948">
        <w:rPr>
          <w:b w:val="0"/>
          <w:noProof/>
        </w:rPr>
        <w:t xml:space="preserve"> a CPC din țări terțe. Ca atare, ESMA ar trebui să dispună de resursele necesare pentru a putea desfășura aceste activități de supraveghere. În al doilea rând, finanțarea necesară pentru personalul aferent nou-înființatei sesiuni executive pentru CPC se va face din bugetul ESMA, în special în cazul membrilor permanenți ai sesiunii executive pentru CPC. În al treilea rând, ESMA va avea noi sarcini de sprijinire a activității nou-înființatei sesiuni executive pentru CPC, ceea ce va crea o mai mare convergență în practicile de supraveghere în întreaga UE. În sfârșit, propunerea conține dispoziții potrivit cărora ESMA ar urma să elaboreze avize tehnice pentru pregătirea mai multor acte delegate ale Comisiei. Scopul acestora ar urma să fie asigurarea faptului că dispozițiile de natură foarte tehnică sunt puse în aplicare în mod coerent în întreaga UE. Nu se poate exclude faptul că, în temeiul actualelor competențe conferite de EMIR, s-ar putea propune modificarea standardelor tehnice de reglementare sau a standardelor tehnice de punere în aplicare în vigoare în prezent, pentru a se reflecta modificările aduse prin prezenta propunere (de exemplu, actualele standarde tehnice de reglementare privind colegiile). În plus, s-ar putea ca ESMA să fie nevoită să renegocieze acorduri de cooperare cu autoritățile relevante din țările terțe.</w:t>
      </w:r>
    </w:p>
    <w:p w:rsidR="009D2948" w:rsidRPr="009D2948" w:rsidRDefault="009D2948" w:rsidP="009D2948">
      <w:pPr>
        <w:rPr>
          <w:noProof/>
        </w:rPr>
      </w:pPr>
      <w:r w:rsidRPr="009D2948">
        <w:t xml:space="preserve">Sesiunea executivă pentru CPC va avea 5 membri permanenți. Principalele sarcini ale sesiunii executive pentru CPC vor fi de a analiza și de a aproba (sau nu, după caz) deciziile de supraveghere ale ANC în legătură cu anumite cerințe în temeiul EMIR, în special retragerea autorizației, cerințele prudențiale aplicabile CPC și acordurile de interoperabilitate. Acest lucru va necesita o analiză de specialitate și o înțelegere a deciziilor înaintate spre reflecție sesiunii executive pentru CPC, o evaluare a riscurilor și beneficiilor obținute în urma deciziei, precum și o coordonare și un dialog aferente cu banca centrală emitentă și cu autoritățile naționale competente, în special a celor existente în colegiul EMIR. </w:t>
      </w:r>
    </w:p>
    <w:p w:rsidR="009D2948" w:rsidRPr="009D2948" w:rsidRDefault="009D2948" w:rsidP="009D2948">
      <w:pPr>
        <w:rPr>
          <w:noProof/>
        </w:rPr>
      </w:pPr>
      <w:r w:rsidRPr="009D2948">
        <w:t xml:space="preserve">În ceea ce privește calendarul, se preconizează că regulamentul va intra în vigoare la mijlocul anului 2018. Prin urmare, resursele suplimentare ale ESMA sunt necesare începând de la mijlocul anului 2018. În ceea ce privește natura posturilor, instituirea cu succes și în timp util a noii sesiuni executive pentru CPC și punerea în aplicare a noului cadru de supraveghere pentru CPC din UE și din țările terțe va necesita resurse suplimentare care să fie alocate pentru realizarea sarcinilor de supraveghere a CPC. Acestea constau, nelimitativ, în: contacte zilnice (reuniuni în persoană, conferințe telefonice etc.) cu conducerea CPC și cu echipele de </w:t>
      </w:r>
      <w:r w:rsidRPr="009D2948">
        <w:lastRenderedPageBreak/>
        <w:t>asigurare a conformității, echipele juridice, informatice, de management al riscurilor, financiare, economice și operaționale; evaluarea modelelor de risc, a normelor de reglementare și a procedurilor CPC, a numirilor consiliului de administrație și personalului executiv, a externalizării serviciilor, a extinderii activităților și a serviciilor, a soluțiilor IT, a adecvării capitalului, a acționarilor/structurii acționariatului CPC și a acordurilor de interoperabilitate; examinarea auditurilor interne; evaluări cuprinzătoare ale riscurilor; emiterea de recomandări și gestionarea crizelor. Personalul va trebui să îndeplinească următoarele sarcini: analiză și modelare a riscului; analiză și asistență juridică; reuniuni bilaterale și multilaterale cu părțile interesate, în special cu CPC și locurile de tranzacționare, precum și cu alte autorități de reglementare sau supraveghere, atât în context național, cât și în context internațional, care presupun, prin urmare, călătorii frecvente. Personalul va trebui să îndeplinească sarcini noi și pentru CPC din țări terțe, inclusiv monitorizarea conformității continue a CPC recunoscute din țări terțe cu cerințelor EMIR, prin intermediul solicitărilor de informații, chestionarelor și inspecțiilor la fața locului. ESMA va trebui, de asemenea, să stabilească dacă CPC din țări terțe care solicită recunoașterea și cele recunoscute sunt de o importanță sistemică pentru stabilitatea financiară a UE și a statelor membre. În cazul CPC din țări terțe considerate de importanță sistemică (CPC de nivel 2), ESMA va trebui să le monitorizeze conformitatea cu cerințele suplimentare. În sfârșit, ESMA va trebui să elaboreze instrumente pentru a evalua conformitatea comparabilă. Acest lucru va implica un schimb important de informații atât cu autoritățile, cât și cu CPC din țări terțe și prelucrarea unui volum semnificativ de date colectate prin intermediul chestionarelor și analizate de către personalul ESMA. În general, activitatea implică și reuniuni bilaterale și multilaterale cu părțile interesate, în special CPC și alte autorități de reglementare/supraveghere, instituirea și gestionarea sesiunii executive pentru CPC compuse din autoritățile de supraveghere din statele membre, negocierea de memorandumuri de înțelegere/acorduri de cooperare internaționale, furnizarea de analize tehnice și elaborarea de documente pentru sesiunea executivă pentru CPC. (de exemplu, inspecții la fața locului, analizarea modelelor de risc etc.).</w:t>
      </w:r>
    </w:p>
    <w:p w:rsidR="009D2948" w:rsidRPr="009D2948" w:rsidRDefault="009D2948" w:rsidP="009D2948">
      <w:pPr>
        <w:rPr>
          <w:noProof/>
        </w:rPr>
      </w:pPr>
      <w:r w:rsidRPr="009D2948">
        <w:t>Activitatea necesară este strâns legată de activitatea existentă a ESMA în temeiul EMIR - și se va baza pe aceasta - în ceea ce privește recunoașterea CPC din țări terțe și rolul actual al ESMA în supravegherea CPC din UE prin intermediul colegiilor. Până în prezent, au fost recunoscute 28 de CPC din țări terțe și au fost autorizate 17 CPC din UE în temeiul EMIR. Alte 12 CPC din țări terțe au solicitat recunoașterea, dar nu le-a fost încă acordată întrucât nu există încă o decizie de echivalență a Comisiei pentru jurisdicțiile naționale din țara de origine a acestora.</w:t>
      </w:r>
    </w:p>
    <w:p w:rsidR="009D2948" w:rsidRPr="009D2948" w:rsidRDefault="009D2948" w:rsidP="009D2948">
      <w:pPr>
        <w:pStyle w:val="Objetacteprincipal"/>
        <w:spacing w:after="240"/>
        <w:jc w:val="both"/>
        <w:rPr>
          <w:b w:val="0"/>
          <w:i/>
          <w:noProof/>
        </w:rPr>
      </w:pPr>
      <w:r w:rsidRPr="009D2948">
        <w:rPr>
          <w:b w:val="0"/>
          <w:i/>
          <w:noProof/>
        </w:rPr>
        <w:t>Resurse umane</w:t>
      </w:r>
    </w:p>
    <w:p w:rsidR="009D2948" w:rsidRPr="009D2948" w:rsidRDefault="009D2948" w:rsidP="009D2948">
      <w:pPr>
        <w:rPr>
          <w:noProof/>
        </w:rPr>
      </w:pPr>
      <w:r w:rsidRPr="009D2948">
        <w:t xml:space="preserve">În ipoteza în care toate CPC din țări terțe care solicită recunoașterea vor fi, în cele din urmă, recunoscute, ar însemna că ESMA va avea </w:t>
      </w:r>
      <w:r w:rsidRPr="009D2948">
        <w:rPr>
          <w:u w:val="single"/>
        </w:rPr>
        <w:t>în jur de 40 de CPC din țări terțe în competența sa</w:t>
      </w:r>
      <w:r w:rsidRPr="009D2948">
        <w:t xml:space="preserve">, fie indirect, prin monitorizare și schimb de informații (adică CPC fără importanță sistemică, de </w:t>
      </w:r>
      <w:r w:rsidRPr="009D2948">
        <w:rPr>
          <w:i/>
          <w:noProof/>
        </w:rPr>
        <w:t>nivel 1</w:t>
      </w:r>
      <w:r w:rsidRPr="009D2948">
        <w:t xml:space="preserve">), fie prin intermediul unei supravegheri directe a CPC de </w:t>
      </w:r>
      <w:r w:rsidRPr="009D2948">
        <w:rPr>
          <w:i/>
          <w:noProof/>
        </w:rPr>
        <w:t>nivel 2</w:t>
      </w:r>
      <w:r w:rsidRPr="009D2948">
        <w:t>, care au potențialul de a prezenta riscuri mai semnificative. Având în vedere potențialul impact negativ pe care CPC îl reprezintă atât pentru stabilitatea financiară, cât și, indirect, asupra economiei reale, este esențial să se aloce resurse adecvate pentru sarcinile în cauză.</w:t>
      </w:r>
    </w:p>
    <w:p w:rsidR="009D2948" w:rsidRPr="009D2948" w:rsidRDefault="009D2948" w:rsidP="009D2948">
      <w:pPr>
        <w:rPr>
          <w:noProof/>
        </w:rPr>
      </w:pPr>
      <w:r w:rsidRPr="009D2948">
        <w:t xml:space="preserve">În consecință, luând în considerare numărul de CPC din țări terțe care trebuie să fie supravegheate, fie direct, fie indirect, precum și tipul și complexitatea sarcinilor care trebuie îndeplinite de ESMA pentru CPC de nivel 1 și, respectiv, de nivel 2, numărul estimat de angajați este de 45 în echivalent normă întreagă. Având în vedere natura activității, cu un grad mare de specializare și expertiză, și potențialele provocări întâmpinate în recrutarea rapidă de </w:t>
      </w:r>
      <w:r w:rsidRPr="009D2948">
        <w:lastRenderedPageBreak/>
        <w:t>personal cu experiență, se presupune că la început va fi nevoie de mai mulți experți naționali pentru a efectua sarcinile necesare. Pe măsură ce personalul se va mări și va câștiga experiență, numărul necesar de experți naționali ar trebui să se scadă în mod corespunzător.</w:t>
      </w:r>
    </w:p>
    <w:p w:rsidR="009D2948" w:rsidRPr="009D2948" w:rsidRDefault="009D2948" w:rsidP="009D2948">
      <w:pPr>
        <w:rPr>
          <w:noProof/>
        </w:rPr>
      </w:pPr>
      <w:r w:rsidRPr="009D2948">
        <w:t>În vederea instituirii și punerii în funcțiune a sesiunii executive pentru CPC va fi necesar un nucleu de membri ai personalului. După ce sesiunea executivă va fi operațională, și combinat cu personalul existent în ESMA care se ocupă de activitatea de zi cu zi a colegiilor EMIR etc., numărul de personal suplimentar necesar ar trebui să scadă.</w:t>
      </w:r>
    </w:p>
    <w:p w:rsidR="009D2948" w:rsidRPr="009D2948" w:rsidRDefault="009D2948" w:rsidP="009D2948">
      <w:pPr>
        <w:rPr>
          <w:noProof/>
        </w:rPr>
      </w:pPr>
      <w:r w:rsidRPr="009D2948">
        <w:t>În sfârșit, pentru a permite administrarea sesiunii executive pentru CPC și a se implica în recrutarea personalului necesar, ESMA va avea nevoie de un anumit număr de AST.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001"/>
        <w:gridCol w:w="1648"/>
        <w:gridCol w:w="1280"/>
      </w:tblGrid>
      <w:tr w:rsidR="009D2948" w:rsidRPr="009D2948" w:rsidTr="007A1A92">
        <w:tc>
          <w:tcPr>
            <w:tcW w:w="2347" w:type="pct"/>
            <w:shd w:val="clear" w:color="auto" w:fill="auto"/>
          </w:tcPr>
          <w:p w:rsidR="009D2948" w:rsidRPr="009D2948" w:rsidRDefault="009D2948" w:rsidP="007A1A92">
            <w:pPr>
              <w:spacing w:after="0"/>
              <w:rPr>
                <w:b/>
                <w:noProof/>
                <w:sz w:val="20"/>
              </w:rPr>
            </w:pPr>
            <w:r w:rsidRPr="009D2948">
              <w:rPr>
                <w:b/>
                <w:noProof/>
                <w:sz w:val="20"/>
              </w:rPr>
              <w:t xml:space="preserve">Personal ESMA </w:t>
            </w:r>
          </w:p>
        </w:tc>
        <w:tc>
          <w:tcPr>
            <w:tcW w:w="1077" w:type="pct"/>
            <w:shd w:val="clear" w:color="auto" w:fill="auto"/>
          </w:tcPr>
          <w:p w:rsidR="009D2948" w:rsidRPr="009D2948" w:rsidRDefault="009D2948" w:rsidP="007A1A92">
            <w:pPr>
              <w:spacing w:after="0"/>
              <w:rPr>
                <w:b/>
                <w:noProof/>
                <w:sz w:val="20"/>
              </w:rPr>
            </w:pPr>
            <w:r w:rsidRPr="009D2948">
              <w:rPr>
                <w:b/>
                <w:noProof/>
                <w:sz w:val="20"/>
              </w:rPr>
              <w:t>2018</w:t>
            </w:r>
          </w:p>
        </w:tc>
        <w:tc>
          <w:tcPr>
            <w:tcW w:w="887" w:type="pct"/>
            <w:shd w:val="clear" w:color="auto" w:fill="auto"/>
          </w:tcPr>
          <w:p w:rsidR="009D2948" w:rsidRPr="009D2948" w:rsidRDefault="009D2948" w:rsidP="007A1A92">
            <w:pPr>
              <w:spacing w:after="0"/>
              <w:rPr>
                <w:b/>
                <w:noProof/>
                <w:sz w:val="20"/>
              </w:rPr>
            </w:pPr>
            <w:r w:rsidRPr="009D2948">
              <w:rPr>
                <w:b/>
                <w:noProof/>
                <w:sz w:val="20"/>
              </w:rPr>
              <w:t>2019</w:t>
            </w:r>
          </w:p>
        </w:tc>
        <w:tc>
          <w:tcPr>
            <w:tcW w:w="689" w:type="pct"/>
            <w:shd w:val="clear" w:color="auto" w:fill="auto"/>
          </w:tcPr>
          <w:p w:rsidR="009D2948" w:rsidRPr="009D2948" w:rsidRDefault="009D2948" w:rsidP="007A1A92">
            <w:pPr>
              <w:spacing w:after="0"/>
              <w:rPr>
                <w:b/>
                <w:noProof/>
                <w:sz w:val="20"/>
              </w:rPr>
            </w:pPr>
            <w:r w:rsidRPr="009D2948">
              <w:rPr>
                <w:b/>
                <w:noProof/>
                <w:sz w:val="20"/>
              </w:rPr>
              <w:t>2020</w:t>
            </w:r>
          </w:p>
        </w:tc>
      </w:tr>
      <w:tr w:rsidR="009D2948" w:rsidRPr="009D2948" w:rsidTr="007A1A92">
        <w:tc>
          <w:tcPr>
            <w:tcW w:w="2347" w:type="pct"/>
            <w:shd w:val="clear" w:color="auto" w:fill="auto"/>
          </w:tcPr>
          <w:p w:rsidR="009D2948" w:rsidRPr="009D2948" w:rsidRDefault="009D2948" w:rsidP="007A1A92">
            <w:pPr>
              <w:spacing w:after="0"/>
              <w:rPr>
                <w:b/>
                <w:noProof/>
                <w:sz w:val="20"/>
              </w:rPr>
            </w:pPr>
            <w:r w:rsidRPr="009D2948">
              <w:rPr>
                <w:b/>
                <w:noProof/>
                <w:sz w:val="20"/>
              </w:rPr>
              <w:t>AD</w:t>
            </w:r>
          </w:p>
        </w:tc>
        <w:tc>
          <w:tcPr>
            <w:tcW w:w="1077" w:type="pct"/>
            <w:shd w:val="clear" w:color="auto" w:fill="auto"/>
          </w:tcPr>
          <w:p w:rsidR="009D2948" w:rsidRPr="009D2948" w:rsidRDefault="009D2948" w:rsidP="007A1A92">
            <w:pPr>
              <w:spacing w:after="0"/>
              <w:rPr>
                <w:b/>
                <w:noProof/>
                <w:sz w:val="20"/>
              </w:rPr>
            </w:pPr>
            <w:r w:rsidRPr="009D2948">
              <w:rPr>
                <w:b/>
                <w:noProof/>
                <w:sz w:val="20"/>
              </w:rPr>
              <w:t>20</w:t>
            </w:r>
          </w:p>
        </w:tc>
        <w:tc>
          <w:tcPr>
            <w:tcW w:w="887" w:type="pct"/>
            <w:shd w:val="clear" w:color="auto" w:fill="auto"/>
          </w:tcPr>
          <w:p w:rsidR="009D2948" w:rsidRPr="009D2948" w:rsidRDefault="009D2948" w:rsidP="007A1A92">
            <w:pPr>
              <w:spacing w:after="0"/>
              <w:rPr>
                <w:b/>
                <w:noProof/>
                <w:sz w:val="20"/>
              </w:rPr>
            </w:pPr>
            <w:r w:rsidRPr="009D2948">
              <w:rPr>
                <w:b/>
                <w:noProof/>
                <w:sz w:val="20"/>
              </w:rPr>
              <w:t>27</w:t>
            </w:r>
          </w:p>
        </w:tc>
        <w:tc>
          <w:tcPr>
            <w:tcW w:w="689" w:type="pct"/>
            <w:shd w:val="clear" w:color="auto" w:fill="auto"/>
          </w:tcPr>
          <w:p w:rsidR="009D2948" w:rsidRPr="009D2948" w:rsidRDefault="009D2948" w:rsidP="007A1A92">
            <w:pPr>
              <w:spacing w:after="0"/>
              <w:rPr>
                <w:b/>
                <w:noProof/>
                <w:sz w:val="20"/>
              </w:rPr>
            </w:pPr>
            <w:r w:rsidRPr="009D2948">
              <w:rPr>
                <w:b/>
                <w:noProof/>
                <w:sz w:val="20"/>
              </w:rPr>
              <w:t>36</w:t>
            </w:r>
          </w:p>
        </w:tc>
      </w:tr>
      <w:tr w:rsidR="009D2948" w:rsidRPr="009D2948" w:rsidTr="007A1A92">
        <w:tc>
          <w:tcPr>
            <w:tcW w:w="2347" w:type="pct"/>
            <w:shd w:val="clear" w:color="auto" w:fill="auto"/>
          </w:tcPr>
          <w:p w:rsidR="009D2948" w:rsidRPr="009D2948" w:rsidRDefault="009D2948" w:rsidP="007A1A92">
            <w:pPr>
              <w:spacing w:after="0"/>
              <w:jc w:val="right"/>
              <w:rPr>
                <w:iCs/>
                <w:noProof/>
                <w:sz w:val="20"/>
              </w:rPr>
            </w:pPr>
            <w:r w:rsidRPr="009D2948">
              <w:rPr>
                <w:noProof/>
                <w:sz w:val="20"/>
              </w:rPr>
              <w:t>CPC din țări terțe</w:t>
            </w:r>
          </w:p>
        </w:tc>
        <w:tc>
          <w:tcPr>
            <w:tcW w:w="1077" w:type="pct"/>
            <w:shd w:val="clear" w:color="auto" w:fill="auto"/>
          </w:tcPr>
          <w:p w:rsidR="009D2948" w:rsidRPr="009D2948" w:rsidRDefault="009D2948" w:rsidP="007A1A92">
            <w:pPr>
              <w:spacing w:after="0"/>
              <w:rPr>
                <w:noProof/>
                <w:sz w:val="20"/>
              </w:rPr>
            </w:pPr>
            <w:r w:rsidRPr="009D2948">
              <w:rPr>
                <w:noProof/>
                <w:sz w:val="20"/>
              </w:rPr>
              <w:t>25</w:t>
            </w:r>
          </w:p>
        </w:tc>
        <w:tc>
          <w:tcPr>
            <w:tcW w:w="887" w:type="pct"/>
            <w:shd w:val="clear" w:color="auto" w:fill="auto"/>
          </w:tcPr>
          <w:p w:rsidR="009D2948" w:rsidRPr="009D2948" w:rsidRDefault="009D2948" w:rsidP="007A1A92">
            <w:pPr>
              <w:spacing w:after="0"/>
              <w:rPr>
                <w:noProof/>
                <w:sz w:val="20"/>
              </w:rPr>
            </w:pPr>
            <w:r w:rsidRPr="009D2948">
              <w:rPr>
                <w:noProof/>
                <w:sz w:val="20"/>
              </w:rPr>
              <w:t>35</w:t>
            </w:r>
          </w:p>
        </w:tc>
        <w:tc>
          <w:tcPr>
            <w:tcW w:w="689" w:type="pct"/>
            <w:shd w:val="clear" w:color="auto" w:fill="auto"/>
          </w:tcPr>
          <w:p w:rsidR="009D2948" w:rsidRPr="009D2948" w:rsidRDefault="009D2948" w:rsidP="007A1A92">
            <w:pPr>
              <w:spacing w:after="0"/>
              <w:rPr>
                <w:noProof/>
                <w:sz w:val="20"/>
              </w:rPr>
            </w:pPr>
            <w:r w:rsidRPr="009D2948">
              <w:rPr>
                <w:noProof/>
                <w:sz w:val="20"/>
              </w:rPr>
              <w:t>35</w:t>
            </w:r>
          </w:p>
        </w:tc>
      </w:tr>
      <w:tr w:rsidR="009D2948" w:rsidRPr="009D2948" w:rsidTr="007A1A92">
        <w:tc>
          <w:tcPr>
            <w:tcW w:w="2347" w:type="pct"/>
            <w:shd w:val="clear" w:color="auto" w:fill="auto"/>
          </w:tcPr>
          <w:p w:rsidR="009D2948" w:rsidRPr="009D2948" w:rsidRDefault="009D2948" w:rsidP="007A1A92">
            <w:pPr>
              <w:spacing w:after="0"/>
              <w:jc w:val="right"/>
              <w:rPr>
                <w:iCs/>
                <w:noProof/>
                <w:sz w:val="20"/>
              </w:rPr>
            </w:pPr>
            <w:r w:rsidRPr="009D2948">
              <w:rPr>
                <w:noProof/>
                <w:sz w:val="20"/>
              </w:rPr>
              <w:t>CPC din UE</w:t>
            </w:r>
          </w:p>
        </w:tc>
        <w:tc>
          <w:tcPr>
            <w:tcW w:w="1077" w:type="pct"/>
            <w:shd w:val="clear" w:color="auto" w:fill="auto"/>
          </w:tcPr>
          <w:p w:rsidR="009D2948" w:rsidRPr="009D2948" w:rsidRDefault="009D2948" w:rsidP="007A1A92">
            <w:pPr>
              <w:spacing w:after="0"/>
              <w:rPr>
                <w:noProof/>
                <w:sz w:val="20"/>
              </w:rPr>
            </w:pPr>
            <w:r w:rsidRPr="009D2948">
              <w:rPr>
                <w:noProof/>
                <w:sz w:val="20"/>
              </w:rPr>
              <w:t>10</w:t>
            </w:r>
          </w:p>
        </w:tc>
        <w:tc>
          <w:tcPr>
            <w:tcW w:w="887" w:type="pct"/>
            <w:shd w:val="clear" w:color="auto" w:fill="auto"/>
          </w:tcPr>
          <w:p w:rsidR="009D2948" w:rsidRPr="009D2948" w:rsidRDefault="009D2948" w:rsidP="007A1A92">
            <w:pPr>
              <w:spacing w:after="0"/>
              <w:rPr>
                <w:noProof/>
                <w:sz w:val="20"/>
              </w:rPr>
            </w:pPr>
            <w:r w:rsidRPr="009D2948">
              <w:rPr>
                <w:noProof/>
                <w:sz w:val="20"/>
              </w:rPr>
              <w:t>5</w:t>
            </w:r>
          </w:p>
        </w:tc>
        <w:tc>
          <w:tcPr>
            <w:tcW w:w="689" w:type="pct"/>
            <w:shd w:val="clear" w:color="auto" w:fill="auto"/>
          </w:tcPr>
          <w:p w:rsidR="009D2948" w:rsidRPr="009D2948" w:rsidRDefault="009D2948" w:rsidP="007A1A92">
            <w:pPr>
              <w:spacing w:after="0"/>
              <w:rPr>
                <w:noProof/>
                <w:sz w:val="20"/>
              </w:rPr>
            </w:pPr>
            <w:r w:rsidRPr="009D2948">
              <w:rPr>
                <w:noProof/>
                <w:sz w:val="20"/>
              </w:rPr>
              <w:t>5</w:t>
            </w:r>
          </w:p>
        </w:tc>
      </w:tr>
      <w:tr w:rsidR="009D2948" w:rsidRPr="009D2948" w:rsidTr="007A1A92">
        <w:tc>
          <w:tcPr>
            <w:tcW w:w="2347" w:type="pct"/>
            <w:shd w:val="clear" w:color="auto" w:fill="auto"/>
          </w:tcPr>
          <w:p w:rsidR="009D2948" w:rsidRPr="009D2948" w:rsidRDefault="009D2948" w:rsidP="007A1A92">
            <w:pPr>
              <w:spacing w:after="0"/>
              <w:rPr>
                <w:b/>
                <w:iCs/>
                <w:noProof/>
                <w:sz w:val="20"/>
              </w:rPr>
            </w:pPr>
            <w:r w:rsidRPr="009D2948">
              <w:rPr>
                <w:b/>
                <w:noProof/>
                <w:sz w:val="20"/>
              </w:rPr>
              <w:t>END</w:t>
            </w:r>
          </w:p>
        </w:tc>
        <w:tc>
          <w:tcPr>
            <w:tcW w:w="1077" w:type="pct"/>
            <w:shd w:val="clear" w:color="auto" w:fill="auto"/>
          </w:tcPr>
          <w:p w:rsidR="009D2948" w:rsidRPr="009D2948" w:rsidRDefault="009D2948" w:rsidP="007A1A92">
            <w:pPr>
              <w:spacing w:after="0"/>
              <w:rPr>
                <w:b/>
                <w:noProof/>
                <w:sz w:val="20"/>
              </w:rPr>
            </w:pPr>
            <w:r w:rsidRPr="009D2948">
              <w:rPr>
                <w:b/>
                <w:noProof/>
                <w:sz w:val="20"/>
              </w:rPr>
              <w:t>10</w:t>
            </w:r>
          </w:p>
        </w:tc>
        <w:tc>
          <w:tcPr>
            <w:tcW w:w="887" w:type="pct"/>
            <w:shd w:val="clear" w:color="auto" w:fill="auto"/>
          </w:tcPr>
          <w:p w:rsidR="009D2948" w:rsidRPr="009D2948" w:rsidRDefault="009D2948" w:rsidP="007A1A92">
            <w:pPr>
              <w:spacing w:after="0"/>
              <w:rPr>
                <w:b/>
                <w:noProof/>
                <w:sz w:val="20"/>
              </w:rPr>
            </w:pPr>
            <w:r w:rsidRPr="009D2948">
              <w:rPr>
                <w:b/>
                <w:noProof/>
                <w:sz w:val="20"/>
              </w:rPr>
              <w:t>12</w:t>
            </w:r>
          </w:p>
        </w:tc>
        <w:tc>
          <w:tcPr>
            <w:tcW w:w="689" w:type="pct"/>
            <w:shd w:val="clear" w:color="auto" w:fill="auto"/>
          </w:tcPr>
          <w:p w:rsidR="009D2948" w:rsidRPr="009D2948" w:rsidRDefault="009D2948" w:rsidP="007A1A92">
            <w:pPr>
              <w:spacing w:after="0"/>
              <w:rPr>
                <w:b/>
                <w:noProof/>
                <w:sz w:val="20"/>
              </w:rPr>
            </w:pPr>
            <w:r w:rsidRPr="009D2948">
              <w:rPr>
                <w:b/>
                <w:noProof/>
                <w:sz w:val="20"/>
              </w:rPr>
              <w:t>13</w:t>
            </w:r>
          </w:p>
        </w:tc>
      </w:tr>
      <w:tr w:rsidR="009D2948" w:rsidRPr="009D2948" w:rsidTr="007A1A92">
        <w:tc>
          <w:tcPr>
            <w:tcW w:w="2347" w:type="pct"/>
            <w:shd w:val="clear" w:color="auto" w:fill="auto"/>
          </w:tcPr>
          <w:p w:rsidR="009D2948" w:rsidRPr="009D2948" w:rsidRDefault="009D2948" w:rsidP="007A1A92">
            <w:pPr>
              <w:spacing w:after="0"/>
              <w:jc w:val="right"/>
              <w:rPr>
                <w:iCs/>
                <w:noProof/>
                <w:sz w:val="20"/>
              </w:rPr>
            </w:pPr>
            <w:r w:rsidRPr="009D2948">
              <w:rPr>
                <w:noProof/>
                <w:sz w:val="20"/>
              </w:rPr>
              <w:t>CPC din țări terțe</w:t>
            </w:r>
          </w:p>
        </w:tc>
        <w:tc>
          <w:tcPr>
            <w:tcW w:w="1077" w:type="pct"/>
            <w:shd w:val="clear" w:color="auto" w:fill="auto"/>
          </w:tcPr>
          <w:p w:rsidR="009D2948" w:rsidRPr="009D2948" w:rsidRDefault="009D2948" w:rsidP="007A1A92">
            <w:pPr>
              <w:spacing w:after="0"/>
              <w:rPr>
                <w:noProof/>
                <w:sz w:val="20"/>
              </w:rPr>
            </w:pPr>
            <w:r w:rsidRPr="009D2948">
              <w:rPr>
                <w:noProof/>
                <w:sz w:val="20"/>
              </w:rPr>
              <w:t>15</w:t>
            </w:r>
          </w:p>
        </w:tc>
        <w:tc>
          <w:tcPr>
            <w:tcW w:w="887" w:type="pct"/>
            <w:shd w:val="clear" w:color="auto" w:fill="auto"/>
          </w:tcPr>
          <w:p w:rsidR="009D2948" w:rsidRPr="009D2948" w:rsidRDefault="009D2948" w:rsidP="007A1A92">
            <w:pPr>
              <w:spacing w:after="0"/>
              <w:rPr>
                <w:noProof/>
                <w:sz w:val="20"/>
              </w:rPr>
            </w:pPr>
            <w:r w:rsidRPr="009D2948">
              <w:rPr>
                <w:noProof/>
                <w:sz w:val="20"/>
              </w:rPr>
              <w:t>10</w:t>
            </w:r>
          </w:p>
        </w:tc>
        <w:tc>
          <w:tcPr>
            <w:tcW w:w="689" w:type="pct"/>
            <w:shd w:val="clear" w:color="auto" w:fill="auto"/>
          </w:tcPr>
          <w:p w:rsidR="009D2948" w:rsidRPr="009D2948" w:rsidRDefault="009D2948" w:rsidP="007A1A92">
            <w:pPr>
              <w:spacing w:after="0"/>
              <w:rPr>
                <w:noProof/>
                <w:sz w:val="20"/>
              </w:rPr>
            </w:pPr>
            <w:r w:rsidRPr="009D2948">
              <w:rPr>
                <w:noProof/>
                <w:sz w:val="20"/>
              </w:rPr>
              <w:t>10</w:t>
            </w:r>
          </w:p>
        </w:tc>
      </w:tr>
      <w:tr w:rsidR="009D2948" w:rsidRPr="009D2948" w:rsidTr="007A1A92">
        <w:tc>
          <w:tcPr>
            <w:tcW w:w="2347" w:type="pct"/>
            <w:shd w:val="clear" w:color="auto" w:fill="auto"/>
          </w:tcPr>
          <w:p w:rsidR="009D2948" w:rsidRPr="009D2948" w:rsidRDefault="009D2948" w:rsidP="007A1A92">
            <w:pPr>
              <w:spacing w:after="0"/>
              <w:jc w:val="right"/>
              <w:rPr>
                <w:iCs/>
                <w:noProof/>
                <w:sz w:val="20"/>
              </w:rPr>
            </w:pPr>
            <w:r w:rsidRPr="009D2948">
              <w:rPr>
                <w:noProof/>
                <w:sz w:val="20"/>
              </w:rPr>
              <w:t>CPC din UE</w:t>
            </w:r>
          </w:p>
        </w:tc>
        <w:tc>
          <w:tcPr>
            <w:tcW w:w="1077" w:type="pct"/>
            <w:shd w:val="clear" w:color="auto" w:fill="auto"/>
          </w:tcPr>
          <w:p w:rsidR="009D2948" w:rsidRPr="009D2948" w:rsidRDefault="009D2948" w:rsidP="007A1A92">
            <w:pPr>
              <w:spacing w:after="0"/>
              <w:rPr>
                <w:noProof/>
                <w:sz w:val="20"/>
              </w:rPr>
            </w:pPr>
            <w:r w:rsidRPr="009D2948">
              <w:rPr>
                <w:noProof/>
                <w:sz w:val="20"/>
              </w:rPr>
              <w:t>0</w:t>
            </w:r>
          </w:p>
        </w:tc>
        <w:tc>
          <w:tcPr>
            <w:tcW w:w="887" w:type="pct"/>
            <w:shd w:val="clear" w:color="auto" w:fill="auto"/>
          </w:tcPr>
          <w:p w:rsidR="009D2948" w:rsidRPr="009D2948" w:rsidRDefault="009D2948" w:rsidP="007A1A92">
            <w:pPr>
              <w:spacing w:after="0"/>
              <w:rPr>
                <w:noProof/>
                <w:sz w:val="20"/>
              </w:rPr>
            </w:pPr>
            <w:r w:rsidRPr="009D2948">
              <w:rPr>
                <w:noProof/>
                <w:sz w:val="20"/>
              </w:rPr>
              <w:t>0</w:t>
            </w:r>
          </w:p>
        </w:tc>
        <w:tc>
          <w:tcPr>
            <w:tcW w:w="689" w:type="pct"/>
            <w:shd w:val="clear" w:color="auto" w:fill="auto"/>
          </w:tcPr>
          <w:p w:rsidR="009D2948" w:rsidRPr="009D2948" w:rsidRDefault="009D2948" w:rsidP="007A1A92">
            <w:pPr>
              <w:spacing w:after="0"/>
              <w:rPr>
                <w:noProof/>
                <w:sz w:val="20"/>
              </w:rPr>
            </w:pPr>
            <w:r w:rsidRPr="009D2948">
              <w:rPr>
                <w:noProof/>
                <w:sz w:val="20"/>
              </w:rPr>
              <w:t>0</w:t>
            </w:r>
          </w:p>
        </w:tc>
      </w:tr>
      <w:tr w:rsidR="009D2948" w:rsidRPr="009D2948" w:rsidTr="007A1A92">
        <w:tc>
          <w:tcPr>
            <w:tcW w:w="2347" w:type="pct"/>
            <w:shd w:val="clear" w:color="auto" w:fill="auto"/>
          </w:tcPr>
          <w:p w:rsidR="009D2948" w:rsidRPr="009D2948" w:rsidRDefault="009D2948" w:rsidP="007A1A92">
            <w:pPr>
              <w:spacing w:after="0"/>
              <w:rPr>
                <w:b/>
                <w:iCs/>
                <w:noProof/>
                <w:sz w:val="20"/>
              </w:rPr>
            </w:pPr>
            <w:r w:rsidRPr="009D2948">
              <w:rPr>
                <w:b/>
                <w:noProof/>
                <w:sz w:val="20"/>
              </w:rPr>
              <w:t>AST</w:t>
            </w:r>
          </w:p>
        </w:tc>
        <w:tc>
          <w:tcPr>
            <w:tcW w:w="1077" w:type="pct"/>
            <w:shd w:val="clear" w:color="auto" w:fill="auto"/>
          </w:tcPr>
          <w:p w:rsidR="009D2948" w:rsidRPr="009D2948" w:rsidRDefault="009D2948" w:rsidP="007A1A92">
            <w:pPr>
              <w:spacing w:after="0"/>
              <w:rPr>
                <w:b/>
                <w:noProof/>
                <w:sz w:val="20"/>
              </w:rPr>
            </w:pPr>
            <w:r w:rsidRPr="009D2948">
              <w:rPr>
                <w:b/>
                <w:noProof/>
                <w:sz w:val="20"/>
              </w:rPr>
              <w:t>0</w:t>
            </w:r>
          </w:p>
        </w:tc>
        <w:tc>
          <w:tcPr>
            <w:tcW w:w="887" w:type="pct"/>
            <w:shd w:val="clear" w:color="auto" w:fill="auto"/>
          </w:tcPr>
          <w:p w:rsidR="009D2948" w:rsidRPr="009D2948" w:rsidRDefault="009D2948" w:rsidP="007A1A92">
            <w:pPr>
              <w:spacing w:after="0"/>
              <w:rPr>
                <w:b/>
                <w:noProof/>
                <w:sz w:val="20"/>
              </w:rPr>
            </w:pPr>
            <w:r w:rsidRPr="009D2948">
              <w:rPr>
                <w:b/>
                <w:noProof/>
                <w:sz w:val="20"/>
              </w:rPr>
              <w:t>1</w:t>
            </w:r>
          </w:p>
        </w:tc>
        <w:tc>
          <w:tcPr>
            <w:tcW w:w="689" w:type="pct"/>
            <w:shd w:val="clear" w:color="auto" w:fill="auto"/>
          </w:tcPr>
          <w:p w:rsidR="009D2948" w:rsidRPr="009D2948" w:rsidRDefault="009D2948" w:rsidP="007A1A92">
            <w:pPr>
              <w:spacing w:after="0"/>
              <w:rPr>
                <w:b/>
                <w:noProof/>
                <w:sz w:val="20"/>
              </w:rPr>
            </w:pPr>
            <w:r w:rsidRPr="009D2948">
              <w:rPr>
                <w:b/>
                <w:noProof/>
                <w:sz w:val="20"/>
              </w:rPr>
              <w:t>2</w:t>
            </w:r>
          </w:p>
        </w:tc>
      </w:tr>
      <w:tr w:rsidR="009D2948" w:rsidRPr="009D2948" w:rsidTr="007A1A92">
        <w:tc>
          <w:tcPr>
            <w:tcW w:w="2347" w:type="pct"/>
            <w:shd w:val="clear" w:color="auto" w:fill="auto"/>
          </w:tcPr>
          <w:p w:rsidR="009D2948" w:rsidRPr="009D2948" w:rsidRDefault="009D2948" w:rsidP="007A1A92">
            <w:pPr>
              <w:spacing w:after="0"/>
              <w:rPr>
                <w:b/>
                <w:iCs/>
                <w:noProof/>
                <w:sz w:val="20"/>
              </w:rPr>
            </w:pPr>
            <w:r w:rsidRPr="009D2948">
              <w:rPr>
                <w:b/>
                <w:noProof/>
                <w:sz w:val="20"/>
              </w:rPr>
              <w:t>PERSONAL TOTAL</w:t>
            </w:r>
          </w:p>
        </w:tc>
        <w:tc>
          <w:tcPr>
            <w:tcW w:w="1077" w:type="pct"/>
            <w:shd w:val="clear" w:color="auto" w:fill="auto"/>
          </w:tcPr>
          <w:p w:rsidR="009D2948" w:rsidRPr="009D2948" w:rsidRDefault="009D2948" w:rsidP="007A1A92">
            <w:pPr>
              <w:spacing w:after="0"/>
              <w:rPr>
                <w:b/>
                <w:noProof/>
                <w:sz w:val="20"/>
              </w:rPr>
            </w:pPr>
            <w:r w:rsidRPr="009D2948">
              <w:rPr>
                <w:b/>
                <w:noProof/>
                <w:sz w:val="20"/>
              </w:rPr>
              <w:t>30</w:t>
            </w:r>
          </w:p>
        </w:tc>
        <w:tc>
          <w:tcPr>
            <w:tcW w:w="887" w:type="pct"/>
            <w:shd w:val="clear" w:color="auto" w:fill="auto"/>
          </w:tcPr>
          <w:p w:rsidR="009D2948" w:rsidRPr="009D2948" w:rsidRDefault="009D2948" w:rsidP="007A1A92">
            <w:pPr>
              <w:spacing w:after="0"/>
              <w:rPr>
                <w:b/>
                <w:noProof/>
                <w:sz w:val="20"/>
              </w:rPr>
            </w:pPr>
            <w:r w:rsidRPr="009D2948">
              <w:rPr>
                <w:b/>
                <w:noProof/>
                <w:sz w:val="20"/>
              </w:rPr>
              <w:t>40</w:t>
            </w:r>
          </w:p>
        </w:tc>
        <w:tc>
          <w:tcPr>
            <w:tcW w:w="689" w:type="pct"/>
            <w:shd w:val="clear" w:color="auto" w:fill="auto"/>
          </w:tcPr>
          <w:p w:rsidR="009D2948" w:rsidRPr="009D2948" w:rsidRDefault="009D2948" w:rsidP="007A1A92">
            <w:pPr>
              <w:spacing w:after="0"/>
              <w:rPr>
                <w:b/>
                <w:noProof/>
                <w:sz w:val="20"/>
              </w:rPr>
            </w:pPr>
            <w:r w:rsidRPr="009D2948">
              <w:rPr>
                <w:b/>
                <w:noProof/>
                <w:sz w:val="20"/>
              </w:rPr>
              <w:t>49</w:t>
            </w:r>
          </w:p>
        </w:tc>
      </w:tr>
    </w:tbl>
    <w:p w:rsidR="009D2948" w:rsidRPr="009D2948" w:rsidRDefault="009D2948" w:rsidP="009D2948">
      <w:pPr>
        <w:rPr>
          <w:noProof/>
        </w:rPr>
      </w:pPr>
    </w:p>
    <w:p w:rsidR="009D2948" w:rsidRPr="009D2948" w:rsidRDefault="009D2948" w:rsidP="009D2948">
      <w:pPr>
        <w:rPr>
          <w:noProof/>
        </w:rPr>
      </w:pPr>
      <w:r w:rsidRPr="009D2948">
        <w:t>În plus față de personalul suplimentar de care are nevoie ESMA, este nevoie de trei membri permanenți (un președinte plus alți 2 membri permanenți suplimentari) ai sesiunii executive la nivelul UE. Aceste posturi vor fi plătite, de asemenea, din bugetul ESMA. Ar trebui ca acești membri să fie experimentați și să li se acorde o remunerație adecvată nivelului lor.</w:t>
      </w:r>
    </w:p>
    <w:p w:rsidR="009D2948" w:rsidRPr="009D2948" w:rsidRDefault="009D2948" w:rsidP="009D2948">
      <w:pPr>
        <w:rPr>
          <w:noProof/>
        </w:rPr>
      </w:pPr>
      <w:r w:rsidRPr="009D2948">
        <w:t>Vor exista, de asemenea, costuri inevitabile legate de recrutarea de personal suplimentar (transport, cazare la hotel, examinări medicale, alocații de instalare și alte alocații, cheltuieli de mutare etc.), estimate la 12 700 EUR.</w:t>
      </w:r>
    </w:p>
    <w:p w:rsidR="009D2948" w:rsidRPr="009D2948" w:rsidRDefault="009D2948" w:rsidP="009D2948">
      <w:pPr>
        <w:spacing w:before="0" w:after="200" w:line="276" w:lineRule="auto"/>
        <w:jc w:val="left"/>
        <w:rPr>
          <w:noProof/>
          <w:szCs w:val="24"/>
        </w:rPr>
      </w:pPr>
      <w:r w:rsidRPr="009D2948">
        <w:t>Ipoteze folosite în calcularea costurilor de personal:</w:t>
      </w:r>
    </w:p>
    <w:p w:rsidR="009D2948" w:rsidRPr="009D2948" w:rsidRDefault="009D2948" w:rsidP="00AF5EB7">
      <w:pPr>
        <w:pStyle w:val="Bullet0"/>
        <w:numPr>
          <w:ilvl w:val="0"/>
          <w:numId w:val="16"/>
        </w:numPr>
        <w:rPr>
          <w:noProof/>
        </w:rPr>
      </w:pPr>
      <w:r w:rsidRPr="009D2948">
        <w:t xml:space="preserve">Posturile suplimentare sunt preconizate a fi posturi de agenți temporari din grupa funcțională și gradul AD7. </w:t>
      </w:r>
    </w:p>
    <w:p w:rsidR="009D2948" w:rsidRPr="009D2948" w:rsidRDefault="009D2948" w:rsidP="00AF5EB7">
      <w:pPr>
        <w:pStyle w:val="Bullet0"/>
        <w:numPr>
          <w:ilvl w:val="0"/>
          <w:numId w:val="16"/>
        </w:numPr>
        <w:rPr>
          <w:noProof/>
        </w:rPr>
      </w:pPr>
      <w:r w:rsidRPr="009D2948">
        <w:t>Costurile salariale medii aferente diferitelor categorii de personal sunt bazate pe orientările DG BUDG.</w:t>
      </w:r>
    </w:p>
    <w:p w:rsidR="009D2948" w:rsidRPr="009D2948" w:rsidRDefault="009D2948" w:rsidP="00AF5EB7">
      <w:pPr>
        <w:pStyle w:val="Bullet0"/>
        <w:numPr>
          <w:ilvl w:val="0"/>
          <w:numId w:val="16"/>
        </w:numPr>
        <w:rPr>
          <w:b/>
          <w:noProof/>
        </w:rPr>
      </w:pPr>
      <w:r w:rsidRPr="009D2948">
        <w:t>Coeficientul de corecție a salariilor pentru Paris este de 1,138.</w:t>
      </w:r>
    </w:p>
    <w:p w:rsidR="009D2948" w:rsidRPr="009D2948" w:rsidRDefault="009D2948" w:rsidP="009D2948">
      <w:pPr>
        <w:pStyle w:val="Objetacteprincipal"/>
        <w:spacing w:after="240"/>
        <w:jc w:val="both"/>
        <w:rPr>
          <w:b w:val="0"/>
          <w:i/>
          <w:noProof/>
        </w:rPr>
      </w:pPr>
      <w:r w:rsidRPr="009D2948">
        <w:rPr>
          <w:b w:val="0"/>
          <w:i/>
          <w:noProof/>
        </w:rPr>
        <w:t>Alte resurse solicitate</w:t>
      </w:r>
    </w:p>
    <w:p w:rsidR="009D2948" w:rsidRPr="009D2948" w:rsidRDefault="009D2948" w:rsidP="009D2948">
      <w:pPr>
        <w:rPr>
          <w:i/>
          <w:noProof/>
        </w:rPr>
      </w:pPr>
      <w:r w:rsidRPr="009D2948">
        <w:t>Majorarea substanțială prevăzută pentru personalul ESMA va avea, în mod inevitabil, consecințe asupra infrastructurii acestei autorități.</w:t>
      </w:r>
    </w:p>
    <w:p w:rsidR="009D2948" w:rsidRPr="009D2948" w:rsidRDefault="009D2948" w:rsidP="009D2948">
      <w:pPr>
        <w:rPr>
          <w:noProof/>
        </w:rPr>
      </w:pPr>
      <w:r w:rsidRPr="009D2948">
        <w:t xml:space="preserve">În primul rând, va fi nevoie să se achiziționeze spațiu pentru birouri suplimentare. Acest lucru poate fi realizat fie prin extinderea spațiului actual de birouri, fie prin obținerea unei clădiri noi. Costul aferent spațiului suplimentar de birouri este estimat la 1 057 de milioane EUR pe an pentru chirie și 600 000 EUR pentru instalare și securitate. </w:t>
      </w:r>
    </w:p>
    <w:p w:rsidR="009D2948" w:rsidRPr="009D2948" w:rsidRDefault="009D2948" w:rsidP="009D2948">
      <w:pPr>
        <w:pageBreakBefore/>
        <w:rPr>
          <w:noProof/>
        </w:rPr>
      </w:pPr>
      <w:r w:rsidRPr="009D2948">
        <w:lastRenderedPageBreak/>
        <w:t>În al doilea rând, o nouă sarcină-cheie derivă din supravegherea CPC din țări terțe recunoscute în UE. Prin urmare, vor fi probabil necesare o serie de misiuni în țări terțe și în UE, precum și o serie de reuniuni. Cheltuielile de misiune sunt estimate la 12 000 EUR pe lună pentru 20 de membri ai personalului, adică 240 000 EUR pe an.</w:t>
      </w:r>
    </w:p>
    <w:p w:rsidR="009D2948" w:rsidRPr="009D2948" w:rsidRDefault="009D2948" w:rsidP="009D2948">
      <w:pPr>
        <w:rPr>
          <w:noProof/>
        </w:rPr>
      </w:pPr>
      <w:r w:rsidRPr="009D2948">
        <w:t>În al treilea rând, vor fi suportate o serie de costuri diverse, de exemplu, personalul nou va necesita cursuri de formare și ar putea fi necesare resurse suplimentare pentru a dezvolta noi instrumente informatice sau pentru extinderea proiectelor informatice existente.</w:t>
      </w:r>
    </w:p>
    <w:p w:rsidR="009D2948" w:rsidRPr="009D2948" w:rsidRDefault="009D2948" w:rsidP="009D2948">
      <w:pPr>
        <w:rPr>
          <w:noProof/>
        </w:rPr>
      </w:pPr>
      <w:r w:rsidRPr="009D2948">
        <w:t>Venituri</w:t>
      </w:r>
    </w:p>
    <w:p w:rsidR="009D2948" w:rsidRPr="009D2948" w:rsidRDefault="009D2948" w:rsidP="009D2948">
      <w:pPr>
        <w:rPr>
          <w:noProof/>
        </w:rPr>
      </w:pPr>
      <w:r w:rsidRPr="009D2948">
        <w:t xml:space="preserve">Propunerea prevede, de asemenea, că aceste costuri suplimentare suportate de ESMA vor fi acoperite în mare parte din taxele percepute de la CPC. Costurile legate de recunoașterea și supravegherea continuă a CPC din țări terțe vor reflecta dacă acestea sunt considerate CPC de nivel 1 sau de nivel 2 și vor fi proporționale cu costurile reale suportate de ESMA. </w:t>
      </w:r>
    </w:p>
    <w:p w:rsidR="009D2948" w:rsidRPr="009D2948" w:rsidRDefault="009D2948" w:rsidP="009D2948">
      <w:pPr>
        <w:spacing w:before="0" w:after="200" w:line="276" w:lineRule="auto"/>
        <w:rPr>
          <w:noProof/>
        </w:rPr>
        <w:sectPr w:rsidR="009D2948" w:rsidRPr="009D2948" w:rsidSect="006B1E4D">
          <w:headerReference w:type="default" r:id="rId29"/>
          <w:footerReference w:type="default" r:id="rId30"/>
          <w:headerReference w:type="first" r:id="rId31"/>
          <w:footerReference w:type="first" r:id="rId32"/>
          <w:pgSz w:w="11907" w:h="16839"/>
          <w:pgMar w:top="1134" w:right="1417" w:bottom="1134" w:left="1417" w:header="709" w:footer="709" w:gutter="0"/>
          <w:cols w:space="708"/>
          <w:docGrid w:linePitch="360"/>
        </w:sectPr>
      </w:pPr>
    </w:p>
    <w:p w:rsidR="009D2948" w:rsidRPr="009D2948" w:rsidRDefault="009D2948" w:rsidP="009D2948">
      <w:pPr>
        <w:spacing w:before="0" w:after="200" w:line="276" w:lineRule="auto"/>
        <w:rPr>
          <w:i/>
          <w:noProof/>
        </w:rPr>
      </w:pPr>
    </w:p>
    <w:tbl>
      <w:tblPr>
        <w:tblW w:w="5000" w:type="pct"/>
        <w:tblLayout w:type="fixed"/>
        <w:tblLook w:val="04A0" w:firstRow="1" w:lastRow="0" w:firstColumn="1" w:lastColumn="0" w:noHBand="0" w:noVBand="1"/>
      </w:tblPr>
      <w:tblGrid>
        <w:gridCol w:w="1942"/>
        <w:gridCol w:w="2419"/>
        <w:gridCol w:w="1161"/>
        <w:gridCol w:w="1250"/>
        <w:gridCol w:w="1274"/>
        <w:gridCol w:w="1243"/>
      </w:tblGrid>
      <w:tr w:rsidR="009D2948" w:rsidRPr="009D2948" w:rsidTr="007A1A92">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w:t>
            </w:r>
          </w:p>
        </w:tc>
        <w:tc>
          <w:tcPr>
            <w:tcW w:w="1302"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center"/>
              <w:rPr>
                <w:rFonts w:ascii="Calibri" w:hAnsi="Calibri"/>
                <w:b/>
                <w:bCs/>
                <w:noProof/>
                <w:color w:val="000000"/>
                <w:sz w:val="22"/>
              </w:rPr>
            </w:pPr>
            <w:r w:rsidRPr="009D2948">
              <w:rPr>
                <w:rFonts w:ascii="Calibri" w:hAnsi="Calibri"/>
                <w:b/>
                <w:noProof/>
                <w:color w:val="000000"/>
                <w:sz w:val="22"/>
              </w:rPr>
              <w:t>Calculare</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center"/>
              <w:rPr>
                <w:rFonts w:ascii="Calibri" w:hAnsi="Calibri"/>
                <w:b/>
                <w:bCs/>
                <w:noProof/>
                <w:color w:val="000000"/>
                <w:sz w:val="22"/>
              </w:rPr>
            </w:pPr>
            <w:r w:rsidRPr="009D2948">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center"/>
              <w:rPr>
                <w:rFonts w:ascii="Calibri" w:hAnsi="Calibri"/>
                <w:b/>
                <w:bCs/>
                <w:noProof/>
                <w:color w:val="000000"/>
                <w:sz w:val="22"/>
              </w:rPr>
            </w:pPr>
            <w:r w:rsidRPr="009D2948">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center"/>
              <w:rPr>
                <w:rFonts w:ascii="Calibri" w:hAnsi="Calibri"/>
                <w:b/>
                <w:bCs/>
                <w:noProof/>
                <w:color w:val="000000"/>
                <w:sz w:val="22"/>
              </w:rPr>
            </w:pPr>
            <w:r w:rsidRPr="009D2948">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center"/>
              <w:rPr>
                <w:rFonts w:ascii="Calibri" w:hAnsi="Calibri"/>
                <w:b/>
                <w:bCs/>
                <w:noProof/>
                <w:color w:val="000000"/>
                <w:sz w:val="22"/>
              </w:rPr>
            </w:pPr>
            <w:r w:rsidRPr="009D2948">
              <w:rPr>
                <w:rFonts w:ascii="Calibri" w:hAnsi="Calibri"/>
                <w:b/>
                <w:noProof/>
                <w:color w:val="000000"/>
                <w:sz w:val="22"/>
              </w:rPr>
              <w:t>TOTAL</w:t>
            </w:r>
          </w:p>
        </w:tc>
      </w:tr>
      <w:tr w:rsidR="009D2948" w:rsidRPr="009D2948" w:rsidTr="007A1A92">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b/>
                <w:bCs/>
                <w:noProof/>
                <w:color w:val="000000"/>
                <w:sz w:val="22"/>
              </w:rPr>
            </w:pPr>
            <w:r w:rsidRPr="009D2948">
              <w:rPr>
                <w:rFonts w:ascii="Calibri" w:hAnsi="Calibri"/>
                <w:b/>
                <w:noProof/>
                <w:color w:val="000000"/>
                <w:sz w:val="22"/>
              </w:rPr>
              <w:t>Cheltuieli cu personalul ESMA</w:t>
            </w:r>
          </w:p>
        </w:tc>
        <w:tc>
          <w:tcPr>
            <w:tcW w:w="1302"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w:t>
            </w:r>
          </w:p>
        </w:tc>
        <w:tc>
          <w:tcPr>
            <w:tcW w:w="625"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center"/>
              <w:rPr>
                <w:rFonts w:ascii="Calibri" w:hAnsi="Calibri"/>
                <w:noProof/>
                <w:color w:val="000000"/>
                <w:sz w:val="22"/>
              </w:rPr>
            </w:pPr>
            <w:r w:rsidRPr="009D2948">
              <w:rPr>
                <w:rFonts w:ascii="Calibri" w:hAnsi="Calibri"/>
                <w:noProof/>
                <w:color w:val="000000"/>
                <w:sz w:val="22"/>
              </w:rPr>
              <w:t>20 AT + 10 END</w:t>
            </w:r>
          </w:p>
        </w:tc>
        <w:tc>
          <w:tcPr>
            <w:tcW w:w="673"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center"/>
              <w:rPr>
                <w:rFonts w:ascii="Calibri" w:hAnsi="Calibri"/>
                <w:noProof/>
                <w:color w:val="000000"/>
                <w:sz w:val="22"/>
              </w:rPr>
            </w:pPr>
            <w:r w:rsidRPr="009D2948">
              <w:rPr>
                <w:rFonts w:ascii="Calibri" w:hAnsi="Calibri"/>
                <w:noProof/>
                <w:color w:val="000000"/>
                <w:sz w:val="22"/>
              </w:rPr>
              <w:t>28 AT + 12 END</w:t>
            </w:r>
          </w:p>
        </w:tc>
        <w:tc>
          <w:tcPr>
            <w:tcW w:w="686"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center"/>
              <w:rPr>
                <w:rFonts w:ascii="Calibri" w:hAnsi="Calibri"/>
                <w:noProof/>
                <w:color w:val="000000"/>
                <w:sz w:val="22"/>
              </w:rPr>
            </w:pPr>
            <w:r w:rsidRPr="009D2948">
              <w:rPr>
                <w:rFonts w:ascii="Calibri" w:hAnsi="Calibri"/>
                <w:noProof/>
                <w:color w:val="000000"/>
                <w:sz w:val="22"/>
              </w:rPr>
              <w:t>36 AT + 13 END</w:t>
            </w:r>
          </w:p>
        </w:tc>
        <w:tc>
          <w:tcPr>
            <w:tcW w:w="669"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w:t>
            </w:r>
          </w:p>
        </w:tc>
      </w:tr>
      <w:tr w:rsidR="009D2948" w:rsidRPr="009D2948" w:rsidTr="007A1A92">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Salarii și indemnizații</w:t>
            </w:r>
          </w:p>
        </w:tc>
        <w:tc>
          <w:tcPr>
            <w:tcW w:w="1302"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w:t>
            </w:r>
          </w:p>
        </w:tc>
        <w:tc>
          <w:tcPr>
            <w:tcW w:w="625"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w:t>
            </w:r>
          </w:p>
        </w:tc>
      </w:tr>
      <w:tr w:rsidR="009D2948" w:rsidRPr="009D2948" w:rsidTr="007A1A92">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AT (AD și AST)</w:t>
            </w:r>
          </w:p>
        </w:tc>
        <w:tc>
          <w:tcPr>
            <w:tcW w:w="1302"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(30x138 000)x1 138 în 2018</w:t>
            </w:r>
          </w:p>
        </w:tc>
        <w:tc>
          <w:tcPr>
            <w:tcW w:w="625"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1 570 440 </w:t>
            </w:r>
          </w:p>
        </w:tc>
        <w:tc>
          <w:tcPr>
            <w:tcW w:w="673"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4 397 232 </w:t>
            </w:r>
          </w:p>
        </w:tc>
        <w:tc>
          <w:tcPr>
            <w:tcW w:w="686"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5 653 584 </w:t>
            </w:r>
          </w:p>
        </w:tc>
        <w:tc>
          <w:tcPr>
            <w:tcW w:w="669"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11 621 256</w:t>
            </w:r>
          </w:p>
        </w:tc>
      </w:tr>
      <w:tr w:rsidR="009D2948" w:rsidRPr="009D2948" w:rsidTr="007A1A92">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END</w:t>
            </w:r>
          </w:p>
        </w:tc>
        <w:tc>
          <w:tcPr>
            <w:tcW w:w="1302"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(15x78 000)x1 139 în 2018</w:t>
            </w:r>
          </w:p>
        </w:tc>
        <w:tc>
          <w:tcPr>
            <w:tcW w:w="625"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443 820 </w:t>
            </w:r>
          </w:p>
        </w:tc>
        <w:tc>
          <w:tcPr>
            <w:tcW w:w="673"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1 065 168 </w:t>
            </w:r>
          </w:p>
        </w:tc>
        <w:tc>
          <w:tcPr>
            <w:tcW w:w="686"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1 153 932 </w:t>
            </w:r>
          </w:p>
        </w:tc>
        <w:tc>
          <w:tcPr>
            <w:tcW w:w="669"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2 662 920 </w:t>
            </w:r>
          </w:p>
        </w:tc>
      </w:tr>
      <w:tr w:rsidR="009D2948" w:rsidRPr="009D2948" w:rsidTr="007A1A92">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Cheltuieli legate de recrutare</w:t>
            </w:r>
          </w:p>
        </w:tc>
        <w:tc>
          <w:tcPr>
            <w:tcW w:w="1302"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30x12 700</w:t>
            </w:r>
          </w:p>
        </w:tc>
        <w:tc>
          <w:tcPr>
            <w:tcW w:w="625"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127 000</w:t>
            </w:r>
          </w:p>
        </w:tc>
        <w:tc>
          <w:tcPr>
            <w:tcW w:w="686"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114 300</w:t>
            </w:r>
          </w:p>
        </w:tc>
        <w:tc>
          <w:tcPr>
            <w:tcW w:w="669"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622 300 </w:t>
            </w:r>
          </w:p>
        </w:tc>
      </w:tr>
      <w:tr w:rsidR="009D2948" w:rsidRPr="009D2948" w:rsidTr="007A1A92">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Cheltuieli de misiune</w:t>
            </w:r>
          </w:p>
        </w:tc>
        <w:tc>
          <w:tcPr>
            <w:tcW w:w="1302"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20 x 12 x 1 000</w:t>
            </w:r>
          </w:p>
        </w:tc>
        <w:tc>
          <w:tcPr>
            <w:tcW w:w="625"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120 000 </w:t>
            </w:r>
          </w:p>
        </w:tc>
        <w:tc>
          <w:tcPr>
            <w:tcW w:w="673"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240 000 </w:t>
            </w:r>
          </w:p>
        </w:tc>
        <w:tc>
          <w:tcPr>
            <w:tcW w:w="686"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240 000 </w:t>
            </w:r>
          </w:p>
        </w:tc>
        <w:tc>
          <w:tcPr>
            <w:tcW w:w="669"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600 000 </w:t>
            </w:r>
          </w:p>
        </w:tc>
      </w:tr>
      <w:tr w:rsidR="009D2948" w:rsidRPr="009D2948" w:rsidTr="007A1A92">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w:t>
            </w:r>
          </w:p>
        </w:tc>
        <w:tc>
          <w:tcPr>
            <w:tcW w:w="1302"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p>
        </w:tc>
        <w:tc>
          <w:tcPr>
            <w:tcW w:w="625"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r>
      <w:tr w:rsidR="009D2948" w:rsidRPr="009D2948" w:rsidTr="007A1A92">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b/>
                <w:bCs/>
                <w:noProof/>
                <w:color w:val="000000"/>
                <w:sz w:val="22"/>
              </w:rPr>
            </w:pPr>
            <w:r w:rsidRPr="009D2948">
              <w:rPr>
                <w:rFonts w:ascii="Calibri" w:hAnsi="Calibri"/>
                <w:b/>
                <w:noProof/>
                <w:color w:val="000000"/>
                <w:sz w:val="22"/>
              </w:rPr>
              <w:t xml:space="preserve">Sesiunea executivă pentru CPC </w:t>
            </w:r>
          </w:p>
        </w:tc>
        <w:tc>
          <w:tcPr>
            <w:tcW w:w="1302"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p>
        </w:tc>
        <w:tc>
          <w:tcPr>
            <w:tcW w:w="625"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r>
      <w:tr w:rsidR="009D2948" w:rsidRPr="009D2948" w:rsidTr="007A1A92">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Salarii și indemnizații</w:t>
            </w:r>
          </w:p>
        </w:tc>
        <w:tc>
          <w:tcPr>
            <w:tcW w:w="1302"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=(21 990x12)x1 138 + 2x(21 323x12)x1 138</w:t>
            </w:r>
          </w:p>
        </w:tc>
        <w:tc>
          <w:tcPr>
            <w:tcW w:w="625"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441 335 </w:t>
            </w:r>
          </w:p>
        </w:tc>
        <w:tc>
          <w:tcPr>
            <w:tcW w:w="673"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882 669 </w:t>
            </w:r>
          </w:p>
        </w:tc>
        <w:tc>
          <w:tcPr>
            <w:tcW w:w="686"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882 669 </w:t>
            </w:r>
          </w:p>
        </w:tc>
        <w:tc>
          <w:tcPr>
            <w:tcW w:w="669"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2 206 673 </w:t>
            </w:r>
          </w:p>
        </w:tc>
      </w:tr>
      <w:tr w:rsidR="009D2948" w:rsidRPr="009D2948" w:rsidTr="007A1A92">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w:t>
            </w:r>
          </w:p>
        </w:tc>
        <w:tc>
          <w:tcPr>
            <w:tcW w:w="1302"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w:t>
            </w:r>
          </w:p>
        </w:tc>
        <w:tc>
          <w:tcPr>
            <w:tcW w:w="625" w:type="pct"/>
            <w:tcBorders>
              <w:top w:val="nil"/>
              <w:left w:val="nil"/>
              <w:bottom w:val="single" w:sz="4" w:space="0" w:color="auto"/>
              <w:right w:val="single" w:sz="4" w:space="0" w:color="auto"/>
            </w:tcBorders>
            <w:shd w:val="clear" w:color="auto" w:fill="auto"/>
            <w:noWrap/>
            <w:vAlign w:val="bottom"/>
          </w:tcPr>
          <w:p w:rsidR="009D2948" w:rsidRPr="009D2948" w:rsidRDefault="009D2948" w:rsidP="007A1A92">
            <w:pPr>
              <w:spacing w:before="0" w:after="0"/>
              <w:jc w:val="right"/>
              <w:rPr>
                <w:rFonts w:ascii="Calibri" w:hAnsi="Calibri"/>
                <w:noProof/>
                <w:color w:val="000000"/>
                <w:sz w:val="22"/>
              </w:rPr>
            </w:pPr>
          </w:p>
        </w:tc>
        <w:tc>
          <w:tcPr>
            <w:tcW w:w="673" w:type="pct"/>
            <w:tcBorders>
              <w:top w:val="nil"/>
              <w:left w:val="nil"/>
              <w:bottom w:val="single" w:sz="4" w:space="0" w:color="auto"/>
              <w:right w:val="single" w:sz="4" w:space="0" w:color="auto"/>
            </w:tcBorders>
            <w:shd w:val="clear" w:color="auto" w:fill="auto"/>
            <w:noWrap/>
            <w:vAlign w:val="bottom"/>
          </w:tcPr>
          <w:p w:rsidR="009D2948" w:rsidRPr="009D2948" w:rsidRDefault="009D2948" w:rsidP="007A1A92">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rsidR="009D2948" w:rsidRPr="009D2948" w:rsidRDefault="009D2948" w:rsidP="007A1A92">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tcPr>
          <w:p w:rsidR="009D2948" w:rsidRPr="009D2948" w:rsidRDefault="009D2948" w:rsidP="007A1A92">
            <w:pPr>
              <w:spacing w:before="0" w:after="0"/>
              <w:jc w:val="right"/>
              <w:rPr>
                <w:rFonts w:ascii="Calibri" w:hAnsi="Calibri"/>
                <w:noProof/>
                <w:color w:val="000000"/>
                <w:sz w:val="22"/>
              </w:rPr>
            </w:pPr>
          </w:p>
        </w:tc>
      </w:tr>
      <w:tr w:rsidR="009D2948" w:rsidRPr="009D2948" w:rsidTr="007A1A92">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Cheltuieli de misiune</w:t>
            </w:r>
          </w:p>
        </w:tc>
        <w:tc>
          <w:tcPr>
            <w:tcW w:w="1302"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=3x12x2 500</w:t>
            </w:r>
          </w:p>
        </w:tc>
        <w:tc>
          <w:tcPr>
            <w:tcW w:w="625"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45 000 </w:t>
            </w:r>
          </w:p>
        </w:tc>
        <w:tc>
          <w:tcPr>
            <w:tcW w:w="673"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90 000 </w:t>
            </w:r>
          </w:p>
        </w:tc>
        <w:tc>
          <w:tcPr>
            <w:tcW w:w="686"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90 000 </w:t>
            </w:r>
          </w:p>
        </w:tc>
        <w:tc>
          <w:tcPr>
            <w:tcW w:w="669"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225 000 </w:t>
            </w:r>
          </w:p>
        </w:tc>
      </w:tr>
      <w:tr w:rsidR="009D2948" w:rsidRPr="009D2948" w:rsidTr="007A1A92">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Cheltuieli legate de recrutare</w:t>
            </w:r>
          </w:p>
        </w:tc>
        <w:tc>
          <w:tcPr>
            <w:tcW w:w="1302"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=3x12 700</w:t>
            </w:r>
          </w:p>
        </w:tc>
        <w:tc>
          <w:tcPr>
            <w:tcW w:w="625"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38 100 </w:t>
            </w:r>
          </w:p>
        </w:tc>
        <w:tc>
          <w:tcPr>
            <w:tcW w:w="673"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38 100 </w:t>
            </w:r>
          </w:p>
        </w:tc>
      </w:tr>
      <w:tr w:rsidR="009D2948" w:rsidRPr="009D2948" w:rsidTr="007A1A92">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xml:space="preserve">Costuri de închiriere </w:t>
            </w:r>
          </w:p>
        </w:tc>
        <w:tc>
          <w:tcPr>
            <w:tcW w:w="1302"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xml:space="preserve">= 1 554 m²x680 </w:t>
            </w:r>
          </w:p>
        </w:tc>
        <w:tc>
          <w:tcPr>
            <w:tcW w:w="625"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528 360 </w:t>
            </w:r>
          </w:p>
        </w:tc>
        <w:tc>
          <w:tcPr>
            <w:tcW w:w="673"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1 056 720 </w:t>
            </w:r>
          </w:p>
        </w:tc>
        <w:tc>
          <w:tcPr>
            <w:tcW w:w="686"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1 056 720 </w:t>
            </w:r>
          </w:p>
        </w:tc>
        <w:tc>
          <w:tcPr>
            <w:tcW w:w="669"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2 641 800 </w:t>
            </w:r>
          </w:p>
        </w:tc>
      </w:tr>
      <w:tr w:rsidR="009D2948" w:rsidRPr="009D2948" w:rsidTr="007A1A92">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Costuri de ajustare</w:t>
            </w:r>
          </w:p>
        </w:tc>
        <w:tc>
          <w:tcPr>
            <w:tcW w:w="1302"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xml:space="preserve">estimate la 600 000 EUR </w:t>
            </w:r>
          </w:p>
        </w:tc>
        <w:tc>
          <w:tcPr>
            <w:tcW w:w="625"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600 000 </w:t>
            </w:r>
          </w:p>
        </w:tc>
        <w:tc>
          <w:tcPr>
            <w:tcW w:w="673" w:type="pct"/>
            <w:tcBorders>
              <w:top w:val="nil"/>
              <w:left w:val="nil"/>
              <w:bottom w:val="single" w:sz="4" w:space="0" w:color="auto"/>
              <w:right w:val="single" w:sz="4" w:space="0" w:color="auto"/>
            </w:tcBorders>
            <w:shd w:val="clear" w:color="auto" w:fill="auto"/>
            <w:noWrap/>
            <w:vAlign w:val="bottom"/>
          </w:tcPr>
          <w:p w:rsidR="009D2948" w:rsidRPr="009D2948" w:rsidRDefault="009D2948" w:rsidP="007A1A92">
            <w:pPr>
              <w:spacing w:before="0" w:after="0"/>
              <w:jc w:val="right"/>
              <w:rPr>
                <w:rFonts w:ascii="Calibri" w:hAnsi="Calibri"/>
                <w:noProof/>
                <w:color w:val="000000"/>
                <w:sz w:val="22"/>
              </w:rPr>
            </w:pPr>
          </w:p>
        </w:tc>
        <w:tc>
          <w:tcPr>
            <w:tcW w:w="686" w:type="pct"/>
            <w:tcBorders>
              <w:top w:val="nil"/>
              <w:left w:val="nil"/>
              <w:bottom w:val="single" w:sz="4" w:space="0" w:color="auto"/>
              <w:right w:val="single" w:sz="4" w:space="0" w:color="auto"/>
            </w:tcBorders>
            <w:shd w:val="clear" w:color="auto" w:fill="auto"/>
            <w:noWrap/>
            <w:vAlign w:val="bottom"/>
          </w:tcPr>
          <w:p w:rsidR="009D2948" w:rsidRPr="009D2948" w:rsidRDefault="009D2948" w:rsidP="007A1A92">
            <w:pPr>
              <w:spacing w:before="0" w:after="0"/>
              <w:jc w:val="right"/>
              <w:rPr>
                <w:rFonts w:ascii="Calibri" w:hAnsi="Calibri"/>
                <w:noProof/>
                <w:color w:val="000000"/>
                <w:sz w:val="22"/>
              </w:rPr>
            </w:pPr>
          </w:p>
        </w:tc>
        <w:tc>
          <w:tcPr>
            <w:tcW w:w="669"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600 000 </w:t>
            </w:r>
          </w:p>
        </w:tc>
      </w:tr>
      <w:tr w:rsidR="009D2948" w:rsidRPr="009D2948" w:rsidTr="007A1A92">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Alte costuri (formare, instrumente IT, etc...)</w:t>
            </w:r>
          </w:p>
        </w:tc>
        <w:tc>
          <w:tcPr>
            <w:tcW w:w="1302"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estimate la 2 500 EUR/persoană în primul an și la 1 000 EUR/persoană după aceea</w:t>
            </w:r>
          </w:p>
        </w:tc>
        <w:tc>
          <w:tcPr>
            <w:tcW w:w="625"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142 500 </w:t>
            </w:r>
          </w:p>
        </w:tc>
        <w:tc>
          <w:tcPr>
            <w:tcW w:w="673"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57 000 </w:t>
            </w:r>
          </w:p>
        </w:tc>
        <w:tc>
          <w:tcPr>
            <w:tcW w:w="686"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57 000 </w:t>
            </w:r>
          </w:p>
        </w:tc>
        <w:tc>
          <w:tcPr>
            <w:tcW w:w="669"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xml:space="preserve">256 500 </w:t>
            </w:r>
          </w:p>
        </w:tc>
      </w:tr>
      <w:tr w:rsidR="009D2948" w:rsidRPr="009D2948" w:rsidTr="007A1A92">
        <w:trPr>
          <w:trHeight w:val="300"/>
        </w:trPr>
        <w:tc>
          <w:tcPr>
            <w:tcW w:w="1045"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p>
        </w:tc>
        <w:tc>
          <w:tcPr>
            <w:tcW w:w="1302"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p>
        </w:tc>
        <w:tc>
          <w:tcPr>
            <w:tcW w:w="625"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r>
      <w:tr w:rsidR="009D2948" w:rsidRPr="009D2948" w:rsidTr="007A1A92">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b/>
                <w:bCs/>
                <w:noProof/>
                <w:color w:val="000000"/>
                <w:sz w:val="22"/>
              </w:rPr>
            </w:pPr>
            <w:r w:rsidRPr="009D2948">
              <w:rPr>
                <w:rFonts w:ascii="Calibri" w:hAnsi="Calibri"/>
                <w:b/>
                <w:noProof/>
                <w:color w:val="000000"/>
                <w:sz w:val="22"/>
              </w:rPr>
              <w:t>TOTAL</w:t>
            </w:r>
          </w:p>
        </w:tc>
        <w:tc>
          <w:tcPr>
            <w:tcW w:w="1302"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b/>
                <w:bCs/>
                <w:noProof/>
                <w:color w:val="000000"/>
                <w:sz w:val="22"/>
              </w:rPr>
            </w:pPr>
            <w:r w:rsidRPr="009D2948">
              <w:rPr>
                <w:rFonts w:ascii="Calibri" w:hAnsi="Calibri"/>
                <w:b/>
                <w:noProof/>
                <w:color w:val="000000"/>
                <w:sz w:val="22"/>
              </w:rPr>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b/>
                <w:bCs/>
                <w:noProof/>
                <w:color w:val="000000"/>
                <w:sz w:val="22"/>
              </w:rPr>
            </w:pPr>
            <w:r w:rsidRPr="009D2948">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b/>
                <w:bCs/>
                <w:noProof/>
                <w:color w:val="000000"/>
                <w:sz w:val="22"/>
              </w:rPr>
            </w:pPr>
            <w:r w:rsidRPr="009D2948">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b/>
                <w:bCs/>
                <w:noProof/>
                <w:color w:val="000000"/>
                <w:sz w:val="22"/>
              </w:rPr>
            </w:pPr>
            <w:r w:rsidRPr="009D2948">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b/>
                <w:bCs/>
                <w:noProof/>
                <w:color w:val="000000"/>
                <w:sz w:val="22"/>
              </w:rPr>
            </w:pPr>
            <w:r w:rsidRPr="009D2948">
              <w:rPr>
                <w:rFonts w:ascii="Calibri" w:hAnsi="Calibri"/>
                <w:b/>
                <w:noProof/>
                <w:color w:val="000000"/>
                <w:sz w:val="22"/>
              </w:rPr>
              <w:t xml:space="preserve">21 474 549 </w:t>
            </w:r>
          </w:p>
        </w:tc>
      </w:tr>
      <w:tr w:rsidR="009D2948" w:rsidRPr="009D2948" w:rsidTr="007A1A92">
        <w:trPr>
          <w:trHeight w:val="300"/>
        </w:trPr>
        <w:tc>
          <w:tcPr>
            <w:tcW w:w="1045"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p>
        </w:tc>
        <w:tc>
          <w:tcPr>
            <w:tcW w:w="1302"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p>
        </w:tc>
        <w:tc>
          <w:tcPr>
            <w:tcW w:w="625"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p>
        </w:tc>
      </w:tr>
      <w:tr w:rsidR="009D2948" w:rsidRPr="009D2948" w:rsidTr="007A1A92">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b/>
                <w:bCs/>
                <w:noProof/>
                <w:color w:val="000000"/>
                <w:sz w:val="22"/>
              </w:rPr>
            </w:pPr>
            <w:r w:rsidRPr="009D2948">
              <w:rPr>
                <w:rFonts w:ascii="Calibri" w:hAnsi="Calibri"/>
                <w:b/>
                <w:noProof/>
                <w:color w:val="000000"/>
                <w:sz w:val="22"/>
              </w:rPr>
              <w:t>VENITURI</w:t>
            </w:r>
          </w:p>
        </w:tc>
        <w:tc>
          <w:tcPr>
            <w:tcW w:w="1302"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center"/>
              <w:rPr>
                <w:rFonts w:ascii="Calibri" w:hAnsi="Calibri"/>
                <w:b/>
                <w:bCs/>
                <w:noProof/>
                <w:color w:val="000000"/>
                <w:sz w:val="22"/>
              </w:rPr>
            </w:pPr>
            <w:r w:rsidRPr="009D2948">
              <w:rPr>
                <w:rFonts w:ascii="Calibri" w:hAnsi="Calibri"/>
                <w:b/>
                <w:noProof/>
                <w:color w:val="000000"/>
                <w:sz w:val="22"/>
              </w:rPr>
              <w:t>2018</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center"/>
              <w:rPr>
                <w:rFonts w:ascii="Calibri" w:hAnsi="Calibri"/>
                <w:b/>
                <w:bCs/>
                <w:noProof/>
                <w:color w:val="000000"/>
                <w:sz w:val="22"/>
              </w:rPr>
            </w:pPr>
            <w:r w:rsidRPr="009D2948">
              <w:rPr>
                <w:rFonts w:ascii="Calibri" w:hAnsi="Calibri"/>
                <w:b/>
                <w:noProof/>
                <w:color w:val="000000"/>
                <w:sz w:val="22"/>
              </w:rPr>
              <w:t>2019</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center"/>
              <w:rPr>
                <w:rFonts w:ascii="Calibri" w:hAnsi="Calibri"/>
                <w:b/>
                <w:bCs/>
                <w:noProof/>
                <w:color w:val="000000"/>
                <w:sz w:val="22"/>
              </w:rPr>
            </w:pPr>
            <w:r w:rsidRPr="009D2948">
              <w:rPr>
                <w:rFonts w:ascii="Calibri" w:hAnsi="Calibri"/>
                <w:b/>
                <w:noProof/>
                <w:color w:val="000000"/>
                <w:sz w:val="22"/>
              </w:rPr>
              <w:t>2020</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center"/>
              <w:rPr>
                <w:rFonts w:ascii="Calibri" w:hAnsi="Calibri"/>
                <w:b/>
                <w:bCs/>
                <w:noProof/>
                <w:color w:val="000000"/>
                <w:sz w:val="22"/>
              </w:rPr>
            </w:pPr>
            <w:r w:rsidRPr="009D2948">
              <w:rPr>
                <w:rFonts w:ascii="Calibri" w:hAnsi="Calibri"/>
                <w:b/>
                <w:noProof/>
                <w:color w:val="000000"/>
                <w:sz w:val="22"/>
              </w:rPr>
              <w:t>TOTAL</w:t>
            </w:r>
          </w:p>
        </w:tc>
      </w:tr>
      <w:tr w:rsidR="009D2948" w:rsidRPr="009D2948" w:rsidTr="007A1A92">
        <w:trPr>
          <w:trHeight w:val="300"/>
        </w:trPr>
        <w:tc>
          <w:tcPr>
            <w:tcW w:w="1045" w:type="pct"/>
            <w:tcBorders>
              <w:top w:val="nil"/>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w:t>
            </w:r>
          </w:p>
        </w:tc>
        <w:tc>
          <w:tcPr>
            <w:tcW w:w="1302"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w:t>
            </w:r>
          </w:p>
        </w:tc>
        <w:tc>
          <w:tcPr>
            <w:tcW w:w="625"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w:t>
            </w:r>
          </w:p>
        </w:tc>
        <w:tc>
          <w:tcPr>
            <w:tcW w:w="686"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noProof/>
                <w:color w:val="000000"/>
                <w:sz w:val="22"/>
              </w:rPr>
              <w:t> </w:t>
            </w:r>
          </w:p>
        </w:tc>
        <w:tc>
          <w:tcPr>
            <w:tcW w:w="669" w:type="pct"/>
            <w:tcBorders>
              <w:top w:val="nil"/>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w:t>
            </w:r>
          </w:p>
        </w:tc>
      </w:tr>
      <w:tr w:rsidR="009D2948" w:rsidRPr="009D2948" w:rsidTr="007A1A92">
        <w:trPr>
          <w:trHeight w:val="600"/>
        </w:trPr>
        <w:tc>
          <w:tcPr>
            <w:tcW w:w="1045" w:type="pct"/>
            <w:tcBorders>
              <w:top w:val="nil"/>
              <w:left w:val="single" w:sz="4" w:space="0" w:color="auto"/>
              <w:bottom w:val="single" w:sz="4" w:space="0" w:color="auto"/>
              <w:right w:val="single" w:sz="4" w:space="0" w:color="auto"/>
            </w:tcBorders>
            <w:shd w:val="clear" w:color="auto" w:fill="auto"/>
            <w:vAlign w:val="center"/>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Taxe percepute de la CPC</w:t>
            </w:r>
          </w:p>
        </w:tc>
        <w:tc>
          <w:tcPr>
            <w:tcW w:w="1302" w:type="pct"/>
            <w:tcBorders>
              <w:top w:val="nil"/>
              <w:left w:val="nil"/>
              <w:bottom w:val="single" w:sz="4" w:space="0" w:color="auto"/>
              <w:right w:val="single" w:sz="4" w:space="0" w:color="auto"/>
            </w:tcBorders>
            <w:shd w:val="clear" w:color="auto" w:fill="auto"/>
            <w:vAlign w:val="bottom"/>
            <w:hideMark/>
          </w:tcPr>
          <w:p w:rsidR="009D2948" w:rsidRPr="009D2948" w:rsidRDefault="009D2948" w:rsidP="007A1A92">
            <w:pPr>
              <w:spacing w:before="0" w:after="0"/>
              <w:jc w:val="left"/>
              <w:rPr>
                <w:rFonts w:ascii="Calibri" w:hAnsi="Calibri"/>
                <w:noProof/>
                <w:color w:val="000000"/>
                <w:sz w:val="22"/>
              </w:rPr>
            </w:pPr>
            <w:r w:rsidRPr="009D2948">
              <w:rPr>
                <w:rFonts w:ascii="Calibri" w:hAnsi="Calibri"/>
                <w:noProof/>
                <w:color w:val="000000"/>
                <w:sz w:val="22"/>
              </w:rPr>
              <w:t>= 25 AD + 15 END în 2018 și 35 AD + 10 END după aceea + costurile aferente sesiunii executive de supraveghere + costuri conexe</w:t>
            </w:r>
          </w:p>
        </w:tc>
        <w:tc>
          <w:tcPr>
            <w:tcW w:w="625" w:type="pct"/>
            <w:tcBorders>
              <w:top w:val="nil"/>
              <w:left w:val="nil"/>
              <w:bottom w:val="single" w:sz="4" w:space="0" w:color="auto"/>
              <w:right w:val="single" w:sz="4" w:space="0" w:color="auto"/>
            </w:tcBorders>
            <w:shd w:val="clear" w:color="auto" w:fill="auto"/>
            <w:vAlign w:val="center"/>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b/>
                <w:noProof/>
                <w:color w:val="000000"/>
                <w:sz w:val="22"/>
              </w:rPr>
              <w:t xml:space="preserve">4 310 555 </w:t>
            </w:r>
          </w:p>
        </w:tc>
        <w:tc>
          <w:tcPr>
            <w:tcW w:w="673" w:type="pct"/>
            <w:tcBorders>
              <w:top w:val="nil"/>
              <w:left w:val="nil"/>
              <w:bottom w:val="single" w:sz="4" w:space="0" w:color="auto"/>
              <w:right w:val="single" w:sz="4" w:space="0" w:color="auto"/>
            </w:tcBorders>
            <w:shd w:val="clear" w:color="auto" w:fill="auto"/>
            <w:vAlign w:val="center"/>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b/>
                <w:noProof/>
                <w:color w:val="000000"/>
                <w:sz w:val="22"/>
              </w:rPr>
              <w:t xml:space="preserve">7 915 789 </w:t>
            </w:r>
          </w:p>
        </w:tc>
        <w:tc>
          <w:tcPr>
            <w:tcW w:w="686" w:type="pct"/>
            <w:tcBorders>
              <w:top w:val="nil"/>
              <w:left w:val="nil"/>
              <w:bottom w:val="single" w:sz="4" w:space="0" w:color="auto"/>
              <w:right w:val="single" w:sz="4" w:space="0" w:color="auto"/>
            </w:tcBorders>
            <w:shd w:val="clear" w:color="auto" w:fill="auto"/>
            <w:vAlign w:val="center"/>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b/>
                <w:noProof/>
                <w:color w:val="000000"/>
                <w:sz w:val="22"/>
              </w:rPr>
              <w:t xml:space="preserve">9 248 205 </w:t>
            </w:r>
          </w:p>
        </w:tc>
        <w:tc>
          <w:tcPr>
            <w:tcW w:w="669" w:type="pct"/>
            <w:tcBorders>
              <w:top w:val="nil"/>
              <w:left w:val="nil"/>
              <w:bottom w:val="single" w:sz="4" w:space="0" w:color="auto"/>
              <w:right w:val="single" w:sz="4" w:space="0" w:color="auto"/>
            </w:tcBorders>
            <w:shd w:val="clear" w:color="auto" w:fill="auto"/>
            <w:noWrap/>
            <w:vAlign w:val="center"/>
            <w:hideMark/>
          </w:tcPr>
          <w:p w:rsidR="009D2948" w:rsidRPr="009D2948" w:rsidRDefault="009D2948" w:rsidP="007A1A92">
            <w:pPr>
              <w:spacing w:before="0" w:after="0"/>
              <w:jc w:val="right"/>
              <w:rPr>
                <w:rFonts w:ascii="Calibri" w:hAnsi="Calibri"/>
                <w:noProof/>
                <w:color w:val="000000"/>
                <w:sz w:val="22"/>
              </w:rPr>
            </w:pPr>
            <w:r w:rsidRPr="009D2948">
              <w:rPr>
                <w:rFonts w:ascii="Calibri" w:hAnsi="Calibri"/>
                <w:b/>
                <w:noProof/>
                <w:color w:val="000000"/>
                <w:sz w:val="22"/>
              </w:rPr>
              <w:t xml:space="preserve">21 474 549 </w:t>
            </w:r>
          </w:p>
        </w:tc>
      </w:tr>
      <w:tr w:rsidR="009D2948" w:rsidRPr="009D2948" w:rsidTr="007A1A92">
        <w:trPr>
          <w:trHeight w:val="300"/>
        </w:trPr>
        <w:tc>
          <w:tcPr>
            <w:tcW w:w="1045"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p>
        </w:tc>
        <w:tc>
          <w:tcPr>
            <w:tcW w:w="1302"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p>
        </w:tc>
        <w:tc>
          <w:tcPr>
            <w:tcW w:w="625"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c>
          <w:tcPr>
            <w:tcW w:w="673"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c>
          <w:tcPr>
            <w:tcW w:w="686"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c>
          <w:tcPr>
            <w:tcW w:w="669" w:type="pct"/>
            <w:tcBorders>
              <w:top w:val="nil"/>
              <w:left w:val="nil"/>
              <w:bottom w:val="nil"/>
              <w:right w:val="nil"/>
            </w:tcBorders>
            <w:shd w:val="clear" w:color="auto" w:fill="auto"/>
            <w:noWrap/>
            <w:vAlign w:val="bottom"/>
            <w:hideMark/>
          </w:tcPr>
          <w:p w:rsidR="009D2948" w:rsidRPr="009D2948" w:rsidRDefault="009D2948" w:rsidP="007A1A92">
            <w:pPr>
              <w:spacing w:before="0" w:after="0"/>
              <w:jc w:val="right"/>
              <w:rPr>
                <w:rFonts w:ascii="Calibri" w:hAnsi="Calibri"/>
                <w:noProof/>
                <w:color w:val="000000"/>
                <w:sz w:val="22"/>
              </w:rPr>
            </w:pPr>
          </w:p>
        </w:tc>
      </w:tr>
      <w:tr w:rsidR="009D2948" w:rsidRPr="009D2948" w:rsidTr="007A1A92">
        <w:trPr>
          <w:trHeight w:val="30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b/>
                <w:bCs/>
                <w:noProof/>
                <w:color w:val="000000"/>
                <w:sz w:val="22"/>
              </w:rPr>
            </w:pPr>
            <w:r w:rsidRPr="009D2948">
              <w:rPr>
                <w:rFonts w:ascii="Calibri" w:hAnsi="Calibri"/>
                <w:b/>
                <w:noProof/>
                <w:color w:val="000000"/>
                <w:sz w:val="22"/>
              </w:rPr>
              <w:t>TOTAL</w:t>
            </w:r>
          </w:p>
        </w:tc>
        <w:tc>
          <w:tcPr>
            <w:tcW w:w="1302"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left"/>
              <w:rPr>
                <w:rFonts w:ascii="Calibri" w:hAnsi="Calibri"/>
                <w:noProof/>
                <w:color w:val="000000"/>
                <w:sz w:val="22"/>
              </w:rPr>
            </w:pP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b/>
                <w:bCs/>
                <w:noProof/>
                <w:color w:val="000000"/>
                <w:sz w:val="22"/>
              </w:rPr>
            </w:pPr>
            <w:r w:rsidRPr="009D2948">
              <w:rPr>
                <w:rFonts w:ascii="Calibri" w:hAnsi="Calibri"/>
                <w:b/>
                <w:noProof/>
                <w:color w:val="000000"/>
                <w:sz w:val="22"/>
              </w:rPr>
              <w:t xml:space="preserve">4 310 555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b/>
                <w:bCs/>
                <w:noProof/>
                <w:color w:val="000000"/>
                <w:sz w:val="22"/>
              </w:rPr>
            </w:pPr>
            <w:r w:rsidRPr="009D2948">
              <w:rPr>
                <w:rFonts w:ascii="Calibri" w:hAnsi="Calibri"/>
                <w:b/>
                <w:noProof/>
                <w:color w:val="000000"/>
                <w:sz w:val="22"/>
              </w:rPr>
              <w:t xml:space="preserve">7 915 789 </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b/>
                <w:bCs/>
                <w:noProof/>
                <w:color w:val="000000"/>
                <w:sz w:val="22"/>
              </w:rPr>
            </w:pPr>
            <w:r w:rsidRPr="009D2948">
              <w:rPr>
                <w:rFonts w:ascii="Calibri" w:hAnsi="Calibri"/>
                <w:b/>
                <w:noProof/>
                <w:color w:val="000000"/>
                <w:sz w:val="22"/>
              </w:rPr>
              <w:t xml:space="preserve">9 248 205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9D2948" w:rsidRPr="009D2948" w:rsidRDefault="009D2948" w:rsidP="007A1A92">
            <w:pPr>
              <w:spacing w:before="0" w:after="0"/>
              <w:jc w:val="right"/>
              <w:rPr>
                <w:rFonts w:ascii="Calibri" w:hAnsi="Calibri"/>
                <w:b/>
                <w:bCs/>
                <w:noProof/>
                <w:color w:val="000000"/>
                <w:sz w:val="22"/>
              </w:rPr>
            </w:pPr>
            <w:r w:rsidRPr="009D2948">
              <w:rPr>
                <w:rFonts w:ascii="Calibri" w:hAnsi="Calibri"/>
                <w:b/>
                <w:noProof/>
                <w:color w:val="000000"/>
                <w:sz w:val="22"/>
              </w:rPr>
              <w:t xml:space="preserve">21 474 549 </w:t>
            </w:r>
          </w:p>
        </w:tc>
      </w:tr>
    </w:tbl>
    <w:p w:rsidR="00F97C7F" w:rsidRPr="009D2948" w:rsidRDefault="00F97C7F" w:rsidP="007A1A92"/>
    <w:sectPr w:rsidR="00F97C7F" w:rsidRPr="009D2948" w:rsidSect="006B1E4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5CF" w:rsidRDefault="00D515CF" w:rsidP="00F97C7F">
      <w:pPr>
        <w:spacing w:before="0" w:after="0"/>
      </w:pPr>
      <w:r>
        <w:separator/>
      </w:r>
    </w:p>
  </w:endnote>
  <w:endnote w:type="continuationSeparator" w:id="0">
    <w:p w:rsidR="00D515CF" w:rsidRDefault="00D515CF" w:rsidP="00F97C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EUAlbertina">
    <w:altName w:val="EUAlbertina"/>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58" w:rsidRDefault="00BF6E5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D" w:rsidRPr="006B1E4D" w:rsidRDefault="006B1E4D" w:rsidP="006B1E4D">
    <w:pPr>
      <w:pStyle w:val="FooterLandscape"/>
      <w:rPr>
        <w:rFonts w:ascii="Arial" w:hAnsi="Arial" w:cs="Arial"/>
        <w:b/>
        <w:sz w:val="48"/>
      </w:rPr>
    </w:pPr>
    <w:r w:rsidRPr="006B1E4D">
      <w:rPr>
        <w:rFonts w:ascii="Arial" w:hAnsi="Arial" w:cs="Arial"/>
        <w:b/>
        <w:sz w:val="48"/>
      </w:rPr>
      <w:t>RO</w:t>
    </w:r>
    <w:r w:rsidRPr="006B1E4D">
      <w:rPr>
        <w:rFonts w:ascii="Arial" w:hAnsi="Arial" w:cs="Arial"/>
        <w:b/>
        <w:sz w:val="48"/>
      </w:rPr>
      <w:tab/>
    </w:r>
    <w:r>
      <w:fldChar w:fldCharType="begin"/>
    </w:r>
    <w:r>
      <w:instrText xml:space="preserve"> PAGE  \* MERGEFORMAT </w:instrText>
    </w:r>
    <w:r>
      <w:fldChar w:fldCharType="separate"/>
    </w:r>
    <w:r w:rsidR="00BF6E58">
      <w:rPr>
        <w:noProof/>
      </w:rPr>
      <w:t>83</w:t>
    </w:r>
    <w:r>
      <w:fldChar w:fldCharType="end"/>
    </w:r>
    <w:r>
      <w:tab/>
    </w:r>
    <w:fldSimple w:instr=" DOCVARIABLE &quot;LW_Confidence&quot; \* MERGEFORMAT ">
      <w:r>
        <w:t xml:space="preserve"> </w:t>
      </w:r>
    </w:fldSimple>
    <w:r w:rsidRPr="006B1E4D">
      <w:tab/>
    </w:r>
    <w:r w:rsidRPr="006B1E4D">
      <w:rPr>
        <w:rFonts w:ascii="Arial" w:hAnsi="Arial" w:cs="Arial"/>
        <w:b/>
        <w:sz w:val="48"/>
      </w:rPr>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D" w:rsidRPr="006B1E4D" w:rsidRDefault="006B1E4D" w:rsidP="006B1E4D">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CF" w:rsidRPr="006B1E4D" w:rsidRDefault="006B1E4D" w:rsidP="006B1E4D">
    <w:pPr>
      <w:pStyle w:val="Footer"/>
      <w:rPr>
        <w:rFonts w:ascii="Arial" w:hAnsi="Arial" w:cs="Arial"/>
        <w:b/>
        <w:sz w:val="48"/>
      </w:rPr>
    </w:pPr>
    <w:r w:rsidRPr="006B1E4D">
      <w:rPr>
        <w:rFonts w:ascii="Arial" w:hAnsi="Arial" w:cs="Arial"/>
        <w:b/>
        <w:sz w:val="48"/>
      </w:rPr>
      <w:t>RO</w:t>
    </w:r>
    <w:r w:rsidRPr="006B1E4D">
      <w:rPr>
        <w:rFonts w:ascii="Arial" w:hAnsi="Arial" w:cs="Arial"/>
        <w:b/>
        <w:sz w:val="48"/>
      </w:rPr>
      <w:tab/>
    </w:r>
    <w:r>
      <w:fldChar w:fldCharType="begin"/>
    </w:r>
    <w:r>
      <w:instrText xml:space="preserve"> PAGE  \* MERGEFORMAT </w:instrText>
    </w:r>
    <w:r>
      <w:fldChar w:fldCharType="separate"/>
    </w:r>
    <w:r w:rsidR="00BF6E58">
      <w:rPr>
        <w:noProof/>
      </w:rPr>
      <w:t>88</w:t>
    </w:r>
    <w:r>
      <w:fldChar w:fldCharType="end"/>
    </w:r>
    <w:r>
      <w:tab/>
    </w:r>
    <w:fldSimple w:instr=" DOCVARIABLE &quot;LW_Confidence&quot; \* MERGEFORMAT ">
      <w:r>
        <w:t xml:space="preserve"> </w:t>
      </w:r>
    </w:fldSimple>
    <w:r w:rsidRPr="006B1E4D">
      <w:tab/>
    </w:r>
    <w:r w:rsidRPr="006B1E4D">
      <w:rPr>
        <w:rFonts w:ascii="Arial" w:hAnsi="Arial" w:cs="Arial"/>
        <w:b/>
        <w:sz w:val="48"/>
      </w:rPr>
      <w:t>RO</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D" w:rsidRPr="006B1E4D" w:rsidRDefault="006B1E4D" w:rsidP="006B1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CF" w:rsidRPr="006B1E4D" w:rsidRDefault="006B1E4D" w:rsidP="006B1E4D">
    <w:pPr>
      <w:pStyle w:val="Footer"/>
      <w:rPr>
        <w:rFonts w:ascii="Arial" w:hAnsi="Arial" w:cs="Arial"/>
        <w:b/>
        <w:sz w:val="48"/>
      </w:rPr>
    </w:pPr>
    <w:r w:rsidRPr="006B1E4D">
      <w:rPr>
        <w:rFonts w:ascii="Arial" w:hAnsi="Arial" w:cs="Arial"/>
        <w:b/>
        <w:sz w:val="48"/>
      </w:rPr>
      <w:t>RO</w:t>
    </w:r>
    <w:r w:rsidRPr="006B1E4D">
      <w:rPr>
        <w:rFonts w:ascii="Arial" w:hAnsi="Arial" w:cs="Arial"/>
        <w:b/>
        <w:sz w:val="48"/>
      </w:rPr>
      <w:tab/>
    </w:r>
    <w:r w:rsidRPr="006B1E4D">
      <w:rPr>
        <w:rFonts w:ascii="Arial" w:hAnsi="Arial" w:cs="Arial"/>
        <w:b/>
        <w:sz w:val="48"/>
      </w:rPr>
      <w:tab/>
    </w:r>
    <w:fldSimple w:instr=" DOCVARIABLE &quot;LW_Confidence&quot; \* MERGEFORMAT ">
      <w:r>
        <w:t xml:space="preserve"> </w:t>
      </w:r>
    </w:fldSimple>
    <w:r w:rsidRPr="006B1E4D">
      <w:tab/>
    </w:r>
    <w:proofErr w:type="spellStart"/>
    <w:r w:rsidRPr="006B1E4D">
      <w:rPr>
        <w:rFonts w:ascii="Arial" w:hAnsi="Arial" w:cs="Arial"/>
        <w:b/>
        <w:sz w:val="48"/>
      </w:rPr>
      <w:t>RO</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58" w:rsidRDefault="00BF6E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CF" w:rsidRPr="006B1E4D" w:rsidRDefault="006B1E4D" w:rsidP="006B1E4D">
    <w:pPr>
      <w:pStyle w:val="Footer"/>
      <w:rPr>
        <w:rFonts w:ascii="Arial" w:hAnsi="Arial" w:cs="Arial"/>
        <w:b/>
        <w:sz w:val="48"/>
      </w:rPr>
    </w:pPr>
    <w:r w:rsidRPr="006B1E4D">
      <w:rPr>
        <w:rFonts w:ascii="Arial" w:hAnsi="Arial" w:cs="Arial"/>
        <w:b/>
        <w:sz w:val="48"/>
      </w:rPr>
      <w:t>RO</w:t>
    </w:r>
    <w:r w:rsidRPr="006B1E4D">
      <w:rPr>
        <w:rFonts w:ascii="Arial" w:hAnsi="Arial" w:cs="Arial"/>
        <w:b/>
        <w:sz w:val="48"/>
      </w:rPr>
      <w:tab/>
    </w:r>
    <w:r>
      <w:fldChar w:fldCharType="begin"/>
    </w:r>
    <w:r>
      <w:instrText xml:space="preserve"> PAGE  \* MERGEFORMAT </w:instrText>
    </w:r>
    <w:r>
      <w:fldChar w:fldCharType="separate"/>
    </w:r>
    <w:r w:rsidR="00BF6E58">
      <w:rPr>
        <w:noProof/>
      </w:rPr>
      <w:t>9</w:t>
    </w:r>
    <w:r>
      <w:fldChar w:fldCharType="end"/>
    </w:r>
    <w:r>
      <w:tab/>
    </w:r>
    <w:fldSimple w:instr=" DOCVARIABLE &quot;LW_Confidence&quot; \* MERGEFORMAT ">
      <w:r>
        <w:t xml:space="preserve"> </w:t>
      </w:r>
    </w:fldSimple>
    <w:r w:rsidRPr="006B1E4D">
      <w:tab/>
    </w:r>
    <w:r w:rsidRPr="006B1E4D">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D" w:rsidRPr="006B1E4D" w:rsidRDefault="006B1E4D" w:rsidP="006B1E4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CF" w:rsidRPr="006B1E4D" w:rsidRDefault="006B1E4D" w:rsidP="006B1E4D">
    <w:pPr>
      <w:pStyle w:val="FooterLandscape"/>
      <w:rPr>
        <w:rFonts w:ascii="Arial" w:hAnsi="Arial" w:cs="Arial"/>
        <w:b/>
        <w:sz w:val="48"/>
      </w:rPr>
    </w:pPr>
    <w:r w:rsidRPr="006B1E4D">
      <w:rPr>
        <w:rFonts w:ascii="Arial" w:hAnsi="Arial" w:cs="Arial"/>
        <w:b/>
        <w:sz w:val="48"/>
      </w:rPr>
      <w:t>RO</w:t>
    </w:r>
    <w:r w:rsidRPr="006B1E4D">
      <w:rPr>
        <w:rFonts w:ascii="Arial" w:hAnsi="Arial" w:cs="Arial"/>
        <w:b/>
        <w:sz w:val="48"/>
      </w:rPr>
      <w:tab/>
    </w:r>
    <w:r>
      <w:fldChar w:fldCharType="begin"/>
    </w:r>
    <w:r>
      <w:instrText xml:space="preserve"> PAGE  \* MERGEFORMAT </w:instrText>
    </w:r>
    <w:r>
      <w:fldChar w:fldCharType="separate"/>
    </w:r>
    <w:r w:rsidR="00BF6E58">
      <w:rPr>
        <w:noProof/>
      </w:rPr>
      <w:t>79</w:t>
    </w:r>
    <w:r>
      <w:fldChar w:fldCharType="end"/>
    </w:r>
    <w:r>
      <w:tab/>
    </w:r>
    <w:fldSimple w:instr=" DOCVARIABLE &quot;LW_Confidence&quot; \* MERGEFORMAT ">
      <w:r>
        <w:t xml:space="preserve"> </w:t>
      </w:r>
    </w:fldSimple>
    <w:r w:rsidRPr="006B1E4D">
      <w:tab/>
    </w:r>
    <w:r w:rsidRPr="006B1E4D">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D" w:rsidRPr="006B1E4D" w:rsidRDefault="006B1E4D" w:rsidP="006B1E4D">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CF" w:rsidRPr="006B1E4D" w:rsidRDefault="006B1E4D" w:rsidP="006B1E4D">
    <w:pPr>
      <w:pStyle w:val="Footer"/>
      <w:rPr>
        <w:rFonts w:ascii="Arial" w:hAnsi="Arial" w:cs="Arial"/>
        <w:b/>
        <w:sz w:val="48"/>
      </w:rPr>
    </w:pPr>
    <w:r w:rsidRPr="006B1E4D">
      <w:rPr>
        <w:rFonts w:ascii="Arial" w:hAnsi="Arial" w:cs="Arial"/>
        <w:b/>
        <w:sz w:val="48"/>
      </w:rPr>
      <w:t>RO</w:t>
    </w:r>
    <w:r w:rsidRPr="006B1E4D">
      <w:rPr>
        <w:rFonts w:ascii="Arial" w:hAnsi="Arial" w:cs="Arial"/>
        <w:b/>
        <w:sz w:val="48"/>
      </w:rPr>
      <w:tab/>
    </w:r>
    <w:r>
      <w:fldChar w:fldCharType="begin"/>
    </w:r>
    <w:r>
      <w:instrText xml:space="preserve"> PAGE  \* MERGEFORMAT </w:instrText>
    </w:r>
    <w:r>
      <w:fldChar w:fldCharType="separate"/>
    </w:r>
    <w:r w:rsidR="00BF6E58">
      <w:rPr>
        <w:noProof/>
      </w:rPr>
      <w:t>81</w:t>
    </w:r>
    <w:r>
      <w:fldChar w:fldCharType="end"/>
    </w:r>
    <w:r>
      <w:tab/>
    </w:r>
    <w:fldSimple w:instr=" DOCVARIABLE &quot;LW_Confidence&quot; \* MERGEFORMAT ">
      <w:r>
        <w:t xml:space="preserve"> </w:t>
      </w:r>
    </w:fldSimple>
    <w:r w:rsidRPr="006B1E4D">
      <w:tab/>
    </w:r>
    <w:r w:rsidRPr="006B1E4D">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D" w:rsidRPr="006B1E4D" w:rsidRDefault="006B1E4D" w:rsidP="006B1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5CF" w:rsidRDefault="00D515CF" w:rsidP="00F97C7F">
      <w:pPr>
        <w:spacing w:before="0" w:after="0"/>
      </w:pPr>
      <w:r>
        <w:separator/>
      </w:r>
    </w:p>
  </w:footnote>
  <w:footnote w:type="continuationSeparator" w:id="0">
    <w:p w:rsidR="00D515CF" w:rsidRDefault="00D515CF" w:rsidP="00F97C7F">
      <w:pPr>
        <w:spacing w:before="0" w:after="0"/>
      </w:pPr>
      <w:r>
        <w:continuationSeparator/>
      </w:r>
    </w:p>
  </w:footnote>
  <w:footnote w:id="1">
    <w:p w:rsidR="00D515CF" w:rsidRPr="00D515CF" w:rsidRDefault="00D515CF" w:rsidP="009D2948">
      <w:pPr>
        <w:pStyle w:val="FootnoteText"/>
      </w:pPr>
      <w:r w:rsidRPr="00D515CF">
        <w:rPr>
          <w:rStyle w:val="FootnoteReference"/>
        </w:rPr>
        <w:footnoteRef/>
      </w:r>
      <w:r w:rsidRPr="00D515CF">
        <w:tab/>
      </w:r>
      <w:hyperlink r:id="rId1">
        <w:r w:rsidRPr="00D515CF">
          <w:rPr>
            <w:rStyle w:val="Hyperlink0"/>
          </w:rPr>
          <w:t>http://www.g20.utoronto.ca/2009/2009communique0925.html</w:t>
        </w:r>
      </w:hyperlink>
      <w:r w:rsidRPr="00D515CF">
        <w:rPr>
          <w:rStyle w:val="None"/>
        </w:rPr>
        <w:t xml:space="preserve"> </w:t>
      </w:r>
    </w:p>
  </w:footnote>
  <w:footnote w:id="2">
    <w:p w:rsidR="00D515CF" w:rsidRPr="00D515CF" w:rsidRDefault="00D515CF" w:rsidP="009D2948">
      <w:pPr>
        <w:pStyle w:val="FootnoteText"/>
      </w:pPr>
      <w:r w:rsidRPr="00D515CF">
        <w:rPr>
          <w:rStyle w:val="FootnoteReference"/>
        </w:rPr>
        <w:footnoteRef/>
      </w:r>
      <w:r w:rsidRPr="00D515CF">
        <w:tab/>
      </w:r>
      <w:r w:rsidRPr="00D515CF">
        <w:t xml:space="preserve">Regulamentul (UE) nr. 648/2012 al Parlamentului European și al Consiliului din 4 iulie 2012 privind instrumentele financiare derivate extrabursiere, contrapărțile centrale și registrele centrale de tranzacții; disponibil la adresa: </w:t>
      </w:r>
      <w:hyperlink r:id="rId2">
        <w:r w:rsidRPr="00D515CF">
          <w:rPr>
            <w:rStyle w:val="Hyperlink1"/>
            <w:rFonts w:eastAsiaTheme="minorHAnsi"/>
            <w:lang w:val="ro-RO"/>
          </w:rPr>
          <w:t>http://eur-lex.europa.eu/legal-content/RO/TXT/PDF/?uri=CELEX:02012R0648-20170103&amp;qid=1492599335405&amp;from=EN</w:t>
        </w:r>
      </w:hyperlink>
      <w:r w:rsidRPr="00D515CF">
        <w:t xml:space="preserve"> </w:t>
      </w:r>
    </w:p>
  </w:footnote>
  <w:footnote w:id="3">
    <w:p w:rsidR="00D515CF" w:rsidRPr="00D515CF" w:rsidRDefault="00D515CF" w:rsidP="009D2948">
      <w:pPr>
        <w:pStyle w:val="FootnoteText"/>
      </w:pPr>
      <w:r w:rsidRPr="00D515CF">
        <w:rPr>
          <w:rStyle w:val="FootnoteReference"/>
        </w:rPr>
        <w:footnoteRef/>
      </w:r>
      <w:r w:rsidRPr="00D515CF">
        <w:tab/>
      </w:r>
      <w:r w:rsidRPr="00D515CF">
        <w:rPr>
          <w:i/>
        </w:rPr>
        <w:t xml:space="preserve">BIS, Statistical release, </w:t>
      </w:r>
      <w:hyperlink r:id="rId3">
        <w:r w:rsidRPr="00D515CF">
          <w:rPr>
            <w:rStyle w:val="Hyperlink3"/>
            <w:rFonts w:eastAsiaTheme="minorHAnsi"/>
            <w:i/>
          </w:rPr>
          <w:t>OTC derivatives statistics at end-June 2016</w:t>
        </w:r>
      </w:hyperlink>
      <w:r w:rsidRPr="00D515CF">
        <w:t xml:space="preserve">, November 2016 (BRI, Comunicat de date statistice, </w:t>
      </w:r>
      <w:hyperlink r:id="rId4">
        <w:r w:rsidRPr="00D515CF">
          <w:rPr>
            <w:rStyle w:val="Hyperlink3"/>
            <w:rFonts w:eastAsiaTheme="minorHAnsi"/>
          </w:rPr>
          <w:t>Statisticile privind instrumentele financiare derivate extrabursiere la sfârșitul lunii iunie 2016</w:t>
        </w:r>
      </w:hyperlink>
      <w:r w:rsidRPr="00D515CF">
        <w:t>, noiembrie 2016).</w:t>
      </w:r>
    </w:p>
  </w:footnote>
  <w:footnote w:id="4">
    <w:p w:rsidR="00D515CF" w:rsidRPr="00D515CF" w:rsidRDefault="00D515CF" w:rsidP="009D2948">
      <w:pPr>
        <w:pStyle w:val="FootnoteText"/>
      </w:pPr>
      <w:r w:rsidRPr="00D515CF">
        <w:rPr>
          <w:rStyle w:val="FootnoteReference"/>
        </w:rPr>
        <w:footnoteRef/>
      </w:r>
      <w:r w:rsidRPr="00D515CF">
        <w:tab/>
      </w:r>
      <w:r w:rsidRPr="00D515CF">
        <w:rPr>
          <w:i/>
        </w:rPr>
        <w:t xml:space="preserve">A se vedea </w:t>
      </w:r>
      <w:hyperlink r:id="rId5">
        <w:r w:rsidRPr="00D515CF">
          <w:rPr>
            <w:rStyle w:val="Hyperlink2"/>
            <w:i/>
            <w:lang w:val="ro-RO"/>
          </w:rPr>
          <w:t>http://europa.eu/rapid/press-release_MEMO-16-3990_en.htm</w:t>
        </w:r>
      </w:hyperlink>
      <w:r w:rsidRPr="00D515CF">
        <w:rPr>
          <w:rStyle w:val="None"/>
          <w:i/>
          <w:color w:val="1F497D"/>
          <w:u w:color="1F497D"/>
        </w:rPr>
        <w:t>,</w:t>
      </w:r>
      <w:r w:rsidRPr="00D515CF">
        <w:rPr>
          <w:i/>
        </w:rPr>
        <w:t xml:space="preserve"> noiembrie 2016.</w:t>
      </w:r>
    </w:p>
  </w:footnote>
  <w:footnote w:id="5">
    <w:p w:rsidR="00D515CF" w:rsidRPr="00D515CF" w:rsidRDefault="00D515CF" w:rsidP="009D2948">
      <w:pPr>
        <w:pStyle w:val="FootnoteText"/>
      </w:pPr>
      <w:r w:rsidRPr="00D515CF">
        <w:rPr>
          <w:rStyle w:val="FootnoteReference"/>
        </w:rPr>
        <w:footnoteRef/>
      </w:r>
      <w:r w:rsidRPr="00D515CF">
        <w:tab/>
      </w:r>
      <w:r w:rsidRPr="00D515CF">
        <w:rPr>
          <w:rStyle w:val="None"/>
          <w:i/>
        </w:rPr>
        <w:t xml:space="preserve">BIS, Statistical release, </w:t>
      </w:r>
      <w:hyperlink r:id="rId6">
        <w:r w:rsidRPr="00D515CF">
          <w:rPr>
            <w:rStyle w:val="Hyperlink4"/>
            <w:i/>
            <w:lang w:val="ro-RO"/>
          </w:rPr>
          <w:t>OTC derivatives statistics at end-June 2016</w:t>
        </w:r>
      </w:hyperlink>
      <w:r w:rsidRPr="00D515CF">
        <w:rPr>
          <w:rStyle w:val="None"/>
          <w:i/>
        </w:rPr>
        <w:t>, November 2016.</w:t>
      </w:r>
      <w:r w:rsidRPr="00D515CF">
        <w:t>(</w:t>
      </w:r>
      <w:r w:rsidRPr="00D515CF">
        <w:rPr>
          <w:rStyle w:val="None"/>
        </w:rPr>
        <w:t>BRI, Comunicat de date statistice,</w:t>
      </w:r>
      <w:r w:rsidRPr="00D515CF">
        <w:t xml:space="preserve"> </w:t>
      </w:r>
      <w:hyperlink r:id="rId7">
        <w:r w:rsidRPr="00D515CF">
          <w:rPr>
            <w:rStyle w:val="Hyperlink4"/>
            <w:lang w:val="ro-RO"/>
          </w:rPr>
          <w:t>Statisticile privind instrumentele financiare derivate extrabursiere la sfârșitul lunii iunie 2016</w:t>
        </w:r>
      </w:hyperlink>
      <w:r w:rsidRPr="00D515CF">
        <w:rPr>
          <w:rStyle w:val="None"/>
        </w:rPr>
        <w:t>, noiembrie 2016</w:t>
      </w:r>
      <w:r w:rsidRPr="00D515CF">
        <w:t>).</w:t>
      </w:r>
    </w:p>
  </w:footnote>
  <w:footnote w:id="6">
    <w:p w:rsidR="00D515CF" w:rsidRPr="00D515CF" w:rsidRDefault="00D515CF" w:rsidP="009D2948">
      <w:pPr>
        <w:pStyle w:val="FootnoteText"/>
      </w:pPr>
      <w:r w:rsidRPr="00D515CF">
        <w:rPr>
          <w:rStyle w:val="FootnoteReference"/>
        </w:rPr>
        <w:footnoteRef/>
      </w:r>
      <w:r w:rsidRPr="00D515CF">
        <w:tab/>
      </w:r>
      <w:r w:rsidRPr="00D515CF">
        <w:rPr>
          <w:i/>
        </w:rPr>
        <w:t xml:space="preserve">FSB, </w:t>
      </w:r>
      <w:hyperlink r:id="rId8">
        <w:r w:rsidRPr="00D515CF">
          <w:rPr>
            <w:rStyle w:val="Hyperlink2"/>
            <w:i/>
            <w:lang w:val="ro-RO"/>
          </w:rPr>
          <w:t>OTC Derivatives Market Reforms, Eleventh progress report on implementation</w:t>
        </w:r>
      </w:hyperlink>
      <w:r w:rsidRPr="00D515CF">
        <w:t xml:space="preserve">, August 2016 (CSF, </w:t>
      </w:r>
      <w:hyperlink r:id="rId9">
        <w:r w:rsidRPr="00D515CF">
          <w:rPr>
            <w:rStyle w:val="Hyperlink2"/>
            <w:lang w:val="ro-RO"/>
          </w:rPr>
          <w:t>Reformele pieței de instrumente financiare derivate extrabursiere, Al unsprezecelea raport privind progresele înregistrate cu privire la punerea în aplicare</w:t>
        </w:r>
      </w:hyperlink>
      <w:r w:rsidRPr="00D515CF">
        <w:t>, august 2016). A se vedea, în special, secțiunea 3.2.1 privind compensarea centrală a tranzacțiilor standard, precum și apendicele C și I pentru mai multe detalii.</w:t>
      </w:r>
    </w:p>
  </w:footnote>
  <w:footnote w:id="7">
    <w:p w:rsidR="00D515CF" w:rsidRPr="00D515CF" w:rsidRDefault="00D515CF" w:rsidP="009D2948">
      <w:pPr>
        <w:pStyle w:val="FootnoteText"/>
      </w:pPr>
      <w:r w:rsidRPr="00D515CF">
        <w:rPr>
          <w:rStyle w:val="FootnoteReference"/>
        </w:rPr>
        <w:footnoteRef/>
      </w:r>
      <w:r w:rsidRPr="00D515CF">
        <w:tab/>
      </w:r>
      <w:hyperlink r:id="rId10">
        <w:r w:rsidRPr="00D515CF">
          <w:rPr>
            <w:rStyle w:val="Hyperlink5"/>
          </w:rPr>
          <w:t>https://www.kfw.de/KfW-Group/Newsroom/Aktuelles/Pressemitteilungen/Pressemitteilungen-Details_407936.html</w:t>
        </w:r>
      </w:hyperlink>
      <w:r w:rsidRPr="00D515CF">
        <w:t xml:space="preserve"> </w:t>
      </w:r>
    </w:p>
  </w:footnote>
  <w:footnote w:id="8">
    <w:p w:rsidR="00D515CF" w:rsidRPr="00D515CF" w:rsidRDefault="00D515CF" w:rsidP="009D2948">
      <w:pPr>
        <w:pStyle w:val="FootnoteText"/>
      </w:pPr>
      <w:r w:rsidRPr="00D515CF">
        <w:rPr>
          <w:rStyle w:val="FootnoteReference"/>
        </w:rPr>
        <w:footnoteRef/>
      </w:r>
      <w:r w:rsidRPr="00D515CF">
        <w:tab/>
      </w:r>
      <w:r w:rsidRPr="00D515CF">
        <w:t>În conformitate cu EMIR, Autoritatea Europeană pentru Valori Mobiliare și Piețe (ESMA) este însărcinată cu elaborarea unor standarde tehnice, care specifică clasa de instrumente financiare derivate extrabursiere ce ar trebui să facă obiectul obligației de compensare. ESMA ține, de asemenea, un registru public cu privire la obligația de compensare. A se vedea p. 8-10 din registrul public pentru mai multe detalii referitoare la obligațiile de compensare:</w:t>
      </w:r>
    </w:p>
    <w:p w:rsidR="00D515CF" w:rsidRPr="00D515CF" w:rsidRDefault="00BF6E58" w:rsidP="009D2948">
      <w:pPr>
        <w:pStyle w:val="FootnoteText"/>
        <w:ind w:firstLine="0"/>
      </w:pPr>
      <w:hyperlink r:id="rId11">
        <w:r w:rsidR="00D515CF" w:rsidRPr="00D515CF">
          <w:rPr>
            <w:rStyle w:val="Hyperlink2"/>
            <w:lang w:val="ro-RO"/>
          </w:rPr>
          <w:t>https://www.esma.europa.eu/sites/default/files/library/public_register_for_the_clearing_obligation_under_emir.pdf</w:t>
        </w:r>
      </w:hyperlink>
      <w:r w:rsidR="00D515CF" w:rsidRPr="00D515CF">
        <w:t xml:space="preserve"> </w:t>
      </w:r>
    </w:p>
  </w:footnote>
  <w:footnote w:id="9">
    <w:p w:rsidR="00D515CF" w:rsidRPr="00D515CF" w:rsidRDefault="00D515CF" w:rsidP="009D2948">
      <w:pPr>
        <w:pStyle w:val="FootnoteText"/>
      </w:pPr>
      <w:r w:rsidRPr="00D515CF">
        <w:rPr>
          <w:rStyle w:val="FootnoteReference"/>
        </w:rPr>
        <w:footnoteRef/>
      </w:r>
      <w:r w:rsidRPr="00D515CF">
        <w:tab/>
      </w:r>
      <w:r w:rsidRPr="00D515CF">
        <w:t>Propunere de Regulament al Parlamentului European și al Consiliului de modificare a Regulamentului (UE) nr. 575/2013 în ceea ce privește indicatorul efectului de levier, indicatorul de finanțare stabilă netă, cerințele privind fondurile proprii și pasivele eligibile, riscul de credit al contrapărții, riscul de piață, expunerile față de contrapărți centrale, expunerile față de organisme de plasament colectiv, expunerile mari, raportarea și cerințele de publicare a informațiilor și de modificare a Regulamentului (UE) nr. 648/2012.</w:t>
      </w:r>
    </w:p>
  </w:footnote>
  <w:footnote w:id="10">
    <w:p w:rsidR="00D515CF" w:rsidRPr="00D515CF" w:rsidRDefault="00D515CF" w:rsidP="009D2948">
      <w:pPr>
        <w:pStyle w:val="FootnoteText"/>
      </w:pPr>
      <w:r w:rsidRPr="00D515CF">
        <w:rPr>
          <w:rStyle w:val="FootnoteReference"/>
        </w:rPr>
        <w:footnoteRef/>
      </w:r>
      <w:r w:rsidRPr="00D515CF">
        <w:tab/>
      </w:r>
      <w:hyperlink r:id="rId12">
        <w:r w:rsidRPr="00D515CF">
          <w:rPr>
            <w:rStyle w:val="Hyperlink2"/>
            <w:lang w:val="ro-RO"/>
          </w:rPr>
          <w:t>Regulamentul delegat (UE) 2016/2251 al Comisiei din 4 octombrie 2016</w:t>
        </w:r>
      </w:hyperlink>
      <w:r w:rsidRPr="00D515CF">
        <w:t>, JO L 340, 15.12.2016, p. 9­46.</w:t>
      </w:r>
    </w:p>
  </w:footnote>
  <w:footnote w:id="11">
    <w:p w:rsidR="00D515CF" w:rsidRPr="00D515CF" w:rsidRDefault="00D515CF" w:rsidP="009D2948">
      <w:pPr>
        <w:pStyle w:val="FootnoteText"/>
      </w:pPr>
      <w:r w:rsidRPr="00D515CF">
        <w:rPr>
          <w:rStyle w:val="FootnoteReference"/>
        </w:rPr>
        <w:footnoteRef/>
      </w:r>
      <w:r w:rsidRPr="00D515CF">
        <w:tab/>
      </w:r>
      <w:r w:rsidRPr="00D515CF">
        <w:t>ESMA a analizat mai multe clase de instrumente financiare derivate extrabursiere pe rata dobânzii, pe riscul de credit, pe titluri de capital și pe cursul de schimb valutar și a propus ca unele dintre acestea să fie supuse obligației de compensare. Astfel cum se indică în tabelul de mai jos, ESMA ar putea introduce în viitor și alte obligații de compensare, inclusiv, de exemplu, pentru „instrumentele financiare derivate pe titluri de valoare similare titlurilor de capital/pe titluri de capital flexibile și contractele de diferență” și „Contractele forward nelivrabile pe cursul de schimb valutar (NDF)”.</w:t>
      </w:r>
    </w:p>
  </w:footnote>
  <w:footnote w:id="12">
    <w:p w:rsidR="00D515CF" w:rsidRPr="00D515CF" w:rsidRDefault="00D515CF" w:rsidP="009D2948">
      <w:pPr>
        <w:pStyle w:val="FootnoteText"/>
      </w:pPr>
      <w:r w:rsidRPr="00D515CF">
        <w:rPr>
          <w:rStyle w:val="FootnoteReference"/>
        </w:rPr>
        <w:footnoteRef/>
      </w:r>
      <w:r w:rsidRPr="00D515CF">
        <w:tab/>
      </w:r>
      <w:r w:rsidRPr="00D515CF">
        <w:t>Propunere de Regulament al Parlamentului European și al Consiliului de modificare a Regulamentului (UE) nr. 648/2012 al Consiliului în ceea ce privește obligația de compensare, suspendarea obligației de compensare, cerințele de raportare, tehnicile de atenuare a riscurilor pentru contractele derivate extrabursiere care nu sunt compensate de o contraparte centrală, înregistrarea și supravegherea registrelor centrale de tranzacții și cerințele aplicabile registrelor centrale de tranzacții.</w:t>
      </w:r>
    </w:p>
  </w:footnote>
  <w:footnote w:id="13">
    <w:p w:rsidR="00D515CF" w:rsidRPr="00D515CF" w:rsidRDefault="00D515CF" w:rsidP="009D2948">
      <w:pPr>
        <w:pStyle w:val="FootnoteText"/>
      </w:pPr>
      <w:r w:rsidRPr="00D515CF">
        <w:rPr>
          <w:rStyle w:val="FootnoteReference"/>
        </w:rPr>
        <w:footnoteRef/>
      </w:r>
      <w:r w:rsidRPr="00D515CF">
        <w:tab/>
      </w:r>
      <w:r w:rsidRPr="00D515CF">
        <w:t xml:space="preserve">A se vedea Raportul ESMA privind testul de rezistență din 2015 al CPC la nivelul întregii UE, 29 aprilie 2016, </w:t>
      </w:r>
      <w:proofErr w:type="spellStart"/>
      <w:r w:rsidRPr="00D515CF">
        <w:t>2016</w:t>
      </w:r>
      <w:proofErr w:type="spellEnd"/>
      <w:r w:rsidRPr="00D515CF">
        <w:t>/658 și graficul pe aceeași temă din secțiunea 3.1 din raportul de evaluare a impactului care însoțește prezenta propunere.</w:t>
      </w:r>
    </w:p>
  </w:footnote>
  <w:footnote w:id="14">
    <w:p w:rsidR="00D515CF" w:rsidRPr="00D515CF" w:rsidRDefault="00D515CF" w:rsidP="009D2948">
      <w:pPr>
        <w:pStyle w:val="FootnoteText"/>
      </w:pPr>
      <w:r w:rsidRPr="00D515CF">
        <w:rPr>
          <w:rStyle w:val="FootnoteReference"/>
        </w:rPr>
        <w:footnoteRef/>
      </w:r>
      <w:r w:rsidRPr="00D515CF">
        <w:tab/>
      </w:r>
      <w:r w:rsidRPr="00D515CF">
        <w:t>A se vedea lista completă a CPC stabilite în Uniune în tabelul 3 din secțiunea 2.3 din raportul de evaluare a impactului care însoțește prezenta propunere.</w:t>
      </w:r>
    </w:p>
  </w:footnote>
  <w:footnote w:id="15">
    <w:p w:rsidR="00D515CF" w:rsidRPr="00D515CF" w:rsidRDefault="00D515CF" w:rsidP="009D2948">
      <w:pPr>
        <w:pStyle w:val="FootnoteText"/>
      </w:pPr>
      <w:r w:rsidRPr="00D515CF">
        <w:rPr>
          <w:rStyle w:val="FootnoteReference"/>
        </w:rPr>
        <w:footnoteRef/>
      </w:r>
      <w:r w:rsidRPr="00D515CF">
        <w:tab/>
      </w:r>
      <w:r w:rsidRPr="00D515CF">
        <w:t xml:space="preserve">În conformitate cu EMIR, ESMA oferă </w:t>
      </w:r>
      <w:hyperlink r:id="rId13">
        <w:r w:rsidRPr="00D515CF">
          <w:rPr>
            <w:rStyle w:val="Hyperlink2"/>
            <w:lang w:val="ro-RO"/>
          </w:rPr>
          <w:t>o listă a CPC din țări terțe care au fost recunoscute pentru a propune servicii și activități în Uniune</w:t>
        </w:r>
      </w:hyperlink>
      <w:r w:rsidRPr="00D515CF">
        <w:t>. CPC din țări terțe sunt stabilite în 15 țări care intră sub incidența deciziilor de echivalență a CPC adoptate de către Comisie, printre care Australia, Hong Kong, Singapore, Japonia, Canada, Elveția, Coreea de Sud, Mexic, Africa de Sud, Comisia pentru tranzacții cu contracte futures pe mărfuri din SUA, Brazilia, Emiratele Arabe Unite, Centrul Financiar Internațional din Dubai (DIFC), India și Noua Zeelandă.</w:t>
      </w:r>
    </w:p>
  </w:footnote>
  <w:footnote w:id="16">
    <w:p w:rsidR="00D515CF" w:rsidRPr="00D515CF" w:rsidRDefault="00D515CF" w:rsidP="009D2948">
      <w:pPr>
        <w:pStyle w:val="FootnoteText"/>
      </w:pPr>
      <w:r w:rsidRPr="00D515CF">
        <w:rPr>
          <w:rStyle w:val="FootnoteReference"/>
        </w:rPr>
        <w:footnoteRef/>
      </w:r>
      <w:r w:rsidRPr="00D515CF">
        <w:tab/>
      </w:r>
      <w:r w:rsidRPr="00D515CF">
        <w:t>A se vedea secțiunea 2.3 din raportul de evaluare a impactului care însoțește prezenta propunere.</w:t>
      </w:r>
    </w:p>
  </w:footnote>
  <w:footnote w:id="17">
    <w:p w:rsidR="00D515CF" w:rsidRPr="00D515CF" w:rsidRDefault="00D515CF" w:rsidP="009D2948">
      <w:pPr>
        <w:pStyle w:val="FootnoteText"/>
      </w:pPr>
      <w:r w:rsidRPr="00D515CF">
        <w:rPr>
          <w:rStyle w:val="FootnoteReference"/>
        </w:rPr>
        <w:footnoteRef/>
      </w:r>
      <w:r w:rsidRPr="00D515CF">
        <w:tab/>
      </w:r>
      <w:r w:rsidRPr="00D515CF">
        <w:t xml:space="preserve">La summitul de la Cannes din noiembrie 2011, șefii de stat și de guvern ai G20 au aprobat documentul„Atributele-cheie ale regimurilor eficace de rezoluție a instituțiilor financiare” („Atributele-cheie”), redactat de CSF ca „nou standard internațional pentru regimurile de rezoluție”. A se vedea </w:t>
      </w:r>
      <w:hyperlink r:id="rId14">
        <w:r w:rsidRPr="00D515CF">
          <w:rPr>
            <w:rStyle w:val="Hyperlink2"/>
            <w:lang w:val="ro-RO"/>
          </w:rPr>
          <w:t xml:space="preserve">Comunicatul </w:t>
        </w:r>
        <w:proofErr w:type="spellStart"/>
        <w:r w:rsidRPr="00D515CF">
          <w:rPr>
            <w:rStyle w:val="Hyperlink2"/>
            <w:lang w:val="ro-RO"/>
          </w:rPr>
          <w:t>summitului</w:t>
        </w:r>
        <w:proofErr w:type="spellEnd"/>
        <w:r w:rsidRPr="00D515CF">
          <w:rPr>
            <w:rStyle w:val="Hyperlink2"/>
            <w:lang w:val="ro-RO"/>
          </w:rPr>
          <w:t xml:space="preserve"> G20 - Cannes</w:t>
        </w:r>
      </w:hyperlink>
      <w:r w:rsidRPr="00D515CF">
        <w:t>, 3-4 noiembrie 2011, punctul 13.</w:t>
      </w:r>
    </w:p>
  </w:footnote>
  <w:footnote w:id="18">
    <w:p w:rsidR="00D515CF" w:rsidRPr="00D515CF" w:rsidRDefault="00D515CF" w:rsidP="009D2948">
      <w:pPr>
        <w:pStyle w:val="FootnoteText"/>
      </w:pPr>
      <w:r w:rsidRPr="00D515CF">
        <w:rPr>
          <w:rStyle w:val="FootnoteReference"/>
        </w:rPr>
        <w:footnoteRef/>
      </w:r>
      <w:r w:rsidRPr="00D515CF">
        <w:tab/>
      </w:r>
      <w:r w:rsidRPr="00D515CF">
        <w:t>Propunere de Regulament al Parlamentului European și al Consiliului de instituire a unui cadru pentru redresarea și rezoluția contrapărților centrale și de modificare a Regulamentelor (UE) nr. 1095/2010, (UE) nr. 648/2012 și (UE) 2015/2365. COM(2016) 856 final.</w:t>
      </w:r>
    </w:p>
  </w:footnote>
  <w:footnote w:id="19">
    <w:p w:rsidR="00D515CF" w:rsidRPr="00D515CF" w:rsidRDefault="00D515CF" w:rsidP="009D2948">
      <w:pPr>
        <w:pStyle w:val="FootnoteText"/>
      </w:pPr>
      <w:r w:rsidRPr="00D515CF">
        <w:rPr>
          <w:rStyle w:val="FootnoteReference"/>
        </w:rPr>
        <w:footnoteRef/>
      </w:r>
      <w:r w:rsidRPr="00D515CF">
        <w:tab/>
      </w:r>
      <w:r w:rsidRPr="00D515CF">
        <w:t>Comunicarea intitulată „Starea Uniunii 2016: Finalizarea uniunii piețelor de capital – Comisia accelerează procesul de reformă”; 14 septembrie 2016; IP/16/3001.</w:t>
      </w:r>
    </w:p>
  </w:footnote>
  <w:footnote w:id="20">
    <w:p w:rsidR="00D515CF" w:rsidRPr="00D515CF" w:rsidRDefault="00D515CF" w:rsidP="009D2948">
      <w:pPr>
        <w:pStyle w:val="FootnoteText"/>
      </w:pPr>
      <w:r w:rsidRPr="00D515CF">
        <w:rPr>
          <w:rStyle w:val="FootnoteReference"/>
        </w:rPr>
        <w:footnoteRef/>
      </w:r>
      <w:r w:rsidRPr="00D515CF">
        <w:tab/>
      </w:r>
      <w:r w:rsidRPr="00D515CF">
        <w:t>Consultare publică cu privire la operațiunile autorităților europene de supraveghere; 21.3.2017-16.5.2017.</w:t>
      </w:r>
    </w:p>
  </w:footnote>
  <w:footnote w:id="21">
    <w:p w:rsidR="00D515CF" w:rsidRPr="00D515CF" w:rsidRDefault="00D515CF" w:rsidP="009D2948">
      <w:pPr>
        <w:pStyle w:val="FootnoteText"/>
      </w:pPr>
      <w:r w:rsidRPr="00D515CF">
        <w:rPr>
          <w:rStyle w:val="FootnoteReference"/>
        </w:rPr>
        <w:footnoteRef/>
      </w:r>
      <w:r w:rsidRPr="00D515CF">
        <w:tab/>
      </w:r>
      <w:r w:rsidRPr="00D515CF">
        <w:t xml:space="preserve">În conformitate cu </w:t>
      </w:r>
      <w:hyperlink r:id="rId15">
        <w:r w:rsidRPr="00D515CF">
          <w:rPr>
            <w:rStyle w:val="Hyperlink2"/>
            <w:lang w:val="ro-RO"/>
          </w:rPr>
          <w:t>lista orientativă a ESMA cu CPC din țări terțe care au depus o cerere de recunoaștere</w:t>
        </w:r>
      </w:hyperlink>
      <w:r w:rsidRPr="00D515CF">
        <w:t xml:space="preserve"> în temeiul articolului 25 din EMIR. </w:t>
      </w:r>
    </w:p>
  </w:footnote>
  <w:footnote w:id="22">
    <w:p w:rsidR="00D515CF" w:rsidRPr="00D515CF" w:rsidRDefault="00D515CF" w:rsidP="009D2948">
      <w:pPr>
        <w:pStyle w:val="FootnoteText"/>
      </w:pPr>
      <w:r w:rsidRPr="00D515CF">
        <w:rPr>
          <w:rStyle w:val="FootnoteReference"/>
        </w:rPr>
        <w:footnoteRef/>
      </w:r>
      <w:r w:rsidRPr="00D515CF">
        <w:tab/>
      </w:r>
      <w:hyperlink r:id="rId16">
        <w:r w:rsidRPr="00D515CF">
          <w:rPr>
            <w:rStyle w:val="Hyperlink2"/>
            <w:lang w:val="ro-RO"/>
          </w:rPr>
          <w:t>Comunicare din partea Comisiei către Parlamentul European, Consiliu și Banca Centrală Europeană</w:t>
        </w:r>
      </w:hyperlink>
      <w:r w:rsidRPr="00D515CF">
        <w:t xml:space="preserve"> intitulată „Răspunsul la provocările cu care se confruntă infrastructurile critice ale piețelor financiare și dezvoltarea în continuare a uniunii piețelor de capital”, Bruxelles, 4.5.2017, COM(2017) 225 final. </w:t>
      </w:r>
    </w:p>
  </w:footnote>
  <w:footnote w:id="23">
    <w:p w:rsidR="00D515CF" w:rsidRPr="00D515CF" w:rsidRDefault="00D515CF" w:rsidP="009D2948">
      <w:pPr>
        <w:pStyle w:val="FootnoteText"/>
      </w:pPr>
      <w:r w:rsidRPr="00D515CF">
        <w:rPr>
          <w:rStyle w:val="FootnoteReference"/>
        </w:rPr>
        <w:footnoteRef/>
      </w:r>
      <w:r w:rsidRPr="00D515CF">
        <w:tab/>
      </w:r>
      <w:r w:rsidRPr="00D515CF">
        <w:t>Regulamentul (UE) nr. 1095/2010 al Parlamentului European și al Consiliului din 24 noiembrie 2010 de instituire a Autorității europene de supraveghere (Autoritatea europeană pentru valori mobiliare și piețe), de modificare a Deciziei nr. 716/2009/CE și de abrogare a Deciziei 2009/77/CE a Comisiei, JO L 331, 15.12.2010, p. 84-119.</w:t>
      </w:r>
    </w:p>
  </w:footnote>
  <w:footnote w:id="24">
    <w:p w:rsidR="00D515CF" w:rsidRPr="00D515CF" w:rsidRDefault="00D515CF" w:rsidP="009D2948">
      <w:pPr>
        <w:pStyle w:val="FootnoteText"/>
      </w:pPr>
      <w:r w:rsidRPr="00D515CF">
        <w:rPr>
          <w:rStyle w:val="FootnoteReference"/>
        </w:rPr>
        <w:footnoteRef/>
      </w:r>
      <w:r w:rsidRPr="00D515CF">
        <w:tab/>
      </w:r>
      <w:r w:rsidRPr="00D515CF">
        <w:t>Propunere de Regulament al Parlamentului European și al Consiliului de instituire a unui cadru pentru redresarea și rezoluția contrapărților centrale și de modificare a Regulamentelor (UE) nr. 1095/2010, (UE) nr. 648/2012 și (UE) 2015/2365.</w:t>
      </w:r>
    </w:p>
  </w:footnote>
  <w:footnote w:id="25">
    <w:p w:rsidR="00D515CF" w:rsidRPr="00D515CF" w:rsidRDefault="00D515CF" w:rsidP="009D2948">
      <w:pPr>
        <w:pStyle w:val="FootnoteText"/>
      </w:pPr>
      <w:r w:rsidRPr="00D515CF">
        <w:rPr>
          <w:rStyle w:val="FootnoteReference"/>
        </w:rPr>
        <w:footnoteRef/>
      </w:r>
      <w:r w:rsidRPr="00D515CF">
        <w:tab/>
      </w:r>
      <w:r w:rsidRPr="00D515CF">
        <w:t>Propunere de Regulament al Parlamentului European și al Consiliului de modificare a Regulamentului (UE) nr. 575/2013 în ceea ce privește indicatorul efectului de levier, indicatorul de finanțare stabilă netă, cerințele privind fondurile proprii și pasivele eligibile, riscul de credit al contrapărții, riscul de piață, expunerile față de contrapărți centrale, expunerile față de organisme de plasament colectiv, expunerile mari, raportarea și cerințele de publicare a informațiilor și de modificare a Regulamentului (UE) nr. 648/2012.</w:t>
      </w:r>
    </w:p>
  </w:footnote>
  <w:footnote w:id="26">
    <w:p w:rsidR="00D515CF" w:rsidRPr="00D515CF" w:rsidRDefault="00D515CF" w:rsidP="009D2948">
      <w:pPr>
        <w:pStyle w:val="FootnoteText"/>
      </w:pPr>
      <w:r w:rsidRPr="00D515CF">
        <w:rPr>
          <w:rStyle w:val="FootnoteReference"/>
        </w:rPr>
        <w:footnoteRef/>
      </w:r>
      <w:r w:rsidRPr="00D515CF">
        <w:tab/>
      </w:r>
      <w:r w:rsidRPr="00D515CF">
        <w:t>Regulamentul (UE) nr. 575/2013 al Parlamentului European și al Consiliului din 26 iunie 2013 privind cerințele prudențiale pentru instituțiile de credit și firmele de investiții.</w:t>
      </w:r>
    </w:p>
  </w:footnote>
  <w:footnote w:id="27">
    <w:p w:rsidR="00D515CF" w:rsidRPr="00D515CF" w:rsidRDefault="00D515CF" w:rsidP="009D2948">
      <w:pPr>
        <w:pStyle w:val="FootnoteText"/>
      </w:pPr>
      <w:r w:rsidRPr="00D515CF">
        <w:rPr>
          <w:rStyle w:val="FootnoteReference"/>
        </w:rPr>
        <w:footnoteRef/>
      </w:r>
      <w:r w:rsidRPr="00D515CF">
        <w:tab/>
      </w:r>
      <w:r w:rsidRPr="00D515CF">
        <w:t>Propunere de Regulament al Parlamentului European și al Consiliului de modificare a Regulamentului (UE) nr. 648/2012 al Consiliului în ceea ce privește obligația de compensare, suspendarea obligației de compensare, cerințele de raportare, tehnicile de atenuare a riscurilor pentru contractele derivate extrabursiere care nu sunt compensate de o contraparte centrală, înregistrarea și supravegherea registrelor centrale de tranzacții și cerințele aplicabile registrelor centrale de tranzacții.</w:t>
      </w:r>
    </w:p>
  </w:footnote>
  <w:footnote w:id="28">
    <w:p w:rsidR="00D515CF" w:rsidRPr="00D515CF" w:rsidRDefault="00D515CF" w:rsidP="009D2948">
      <w:pPr>
        <w:pStyle w:val="FootnoteText"/>
      </w:pPr>
      <w:r w:rsidRPr="00D515CF">
        <w:rPr>
          <w:rStyle w:val="FootnoteReference"/>
        </w:rPr>
        <w:footnoteRef/>
      </w:r>
      <w:r w:rsidRPr="00D515CF">
        <w:tab/>
      </w:r>
      <w:r w:rsidRPr="00D515CF">
        <w:t xml:space="preserve">„Consultare publică cu privire la operațiunile autorităților europene de supraveghere”, 21.3.2017, disponibilă la </w:t>
      </w:r>
      <w:hyperlink r:id="rId17">
        <w:r w:rsidRPr="00D515CF">
          <w:rPr>
            <w:rStyle w:val="Hyperlink2"/>
            <w:lang w:val="ro-RO"/>
          </w:rPr>
          <w:t>https://ec.europa.eu/info/finance-consultations-2017-esas-operations_en</w:t>
        </w:r>
      </w:hyperlink>
      <w:r w:rsidRPr="00D515CF">
        <w:t xml:space="preserve"> </w:t>
      </w:r>
    </w:p>
  </w:footnote>
  <w:footnote w:id="29">
    <w:p w:rsidR="00D515CF" w:rsidRPr="00D515CF" w:rsidRDefault="00D515CF" w:rsidP="009D2948">
      <w:pPr>
        <w:pStyle w:val="FootnoteText"/>
      </w:pPr>
      <w:r w:rsidRPr="00D515CF">
        <w:rPr>
          <w:rStyle w:val="FootnoteReference"/>
        </w:rPr>
        <w:footnoteRef/>
      </w:r>
      <w:r w:rsidRPr="00D515CF">
        <w:tab/>
      </w:r>
      <w:r w:rsidRPr="00D515CF">
        <w:t xml:space="preserve">„Deciziile de echivalență ale UE în politica în domeniul serviciilor financiare: o evaluare”, 27.2.2017, SWD (2017) 102 final, disponibil la adresa: </w:t>
      </w:r>
    </w:p>
    <w:p w:rsidR="00D515CF" w:rsidRPr="00D515CF" w:rsidRDefault="00BF6E58" w:rsidP="009D2948">
      <w:pPr>
        <w:pStyle w:val="FootnoteText"/>
        <w:ind w:firstLine="0"/>
      </w:pPr>
      <w:hyperlink r:id="rId18">
        <w:r w:rsidR="00D515CF" w:rsidRPr="00D515CF">
          <w:rPr>
            <w:rStyle w:val="Hyperlink2"/>
            <w:lang w:val="ro-RO"/>
          </w:rPr>
          <w:t>https://ec.europa.eu/info/sites/info/files/eu-equivalence-decisions-assessment-27022017_en.pdf</w:t>
        </w:r>
      </w:hyperlink>
      <w:r w:rsidR="00D515CF" w:rsidRPr="00D515CF">
        <w:t xml:space="preserve"> </w:t>
      </w:r>
    </w:p>
  </w:footnote>
  <w:footnote w:id="30">
    <w:p w:rsidR="00D515CF" w:rsidRPr="00D515CF" w:rsidRDefault="00D515CF" w:rsidP="009D2948">
      <w:pPr>
        <w:pStyle w:val="FootnoteText"/>
      </w:pPr>
      <w:r w:rsidRPr="00D515CF">
        <w:rPr>
          <w:rStyle w:val="FootnoteReference"/>
        </w:rPr>
        <w:footnoteRef/>
      </w:r>
      <w:r w:rsidRPr="00D515CF">
        <w:tab/>
      </w:r>
      <w:r w:rsidRPr="00D515CF">
        <w:t xml:space="preserve">„Uniunea piețelor de capital - Accelerarea reformelor”, 14.9.2016, COM(2016) 601 final, disponibilă la adresa: </w:t>
      </w:r>
    </w:p>
    <w:p w:rsidR="00D515CF" w:rsidRPr="00D515CF" w:rsidRDefault="00D515CF" w:rsidP="009D2948">
      <w:pPr>
        <w:pStyle w:val="FootnoteText"/>
      </w:pPr>
      <w:r w:rsidRPr="00D515CF">
        <w:tab/>
      </w:r>
      <w:hyperlink r:id="rId19">
        <w:r w:rsidRPr="00D515CF">
          <w:rPr>
            <w:rStyle w:val="Hyperlink2"/>
            <w:lang w:val="ro-RO"/>
          </w:rPr>
          <w:t>https://ec.europa.eu/transparency/regdoc/rep/1/2016/RO/1-2016-601-RO-F1-1.PDF</w:t>
        </w:r>
      </w:hyperlink>
    </w:p>
  </w:footnote>
  <w:footnote w:id="31">
    <w:p w:rsidR="00D515CF" w:rsidRPr="00D515CF" w:rsidRDefault="00D515CF" w:rsidP="009D2948">
      <w:pPr>
        <w:pStyle w:val="FootnoteText"/>
      </w:pPr>
      <w:r w:rsidRPr="00D515CF">
        <w:rPr>
          <w:rStyle w:val="FootnoteReference"/>
        </w:rPr>
        <w:footnoteRef/>
      </w:r>
      <w:r w:rsidRPr="00D515CF">
        <w:tab/>
      </w:r>
      <w:r w:rsidRPr="00D515CF">
        <w:t xml:space="preserve">Comunicare a Comisiei către Parlamentul European, Consiliu, Comitetul Economic și Social European și Comitetul Regiunilor referitoare la evaluarea la jumătatea perioadei a Planului de acțiune privind uniunea piețelor de capital, COM(2017) 292 final, 8 iunie 2017, disponibilă la: </w:t>
      </w:r>
      <w:hyperlink r:id="rId20">
        <w:r w:rsidRPr="00D515CF">
          <w:rPr>
            <w:rStyle w:val="Hyperlink"/>
          </w:rPr>
          <w:t>https://ec.europa.eu/info/sites/info/files/communication-cmu-mid-term-review-june2017_en.pdf</w:t>
        </w:r>
      </w:hyperlink>
      <w:r w:rsidRPr="00D515CF">
        <w:t xml:space="preserve"> </w:t>
      </w:r>
    </w:p>
  </w:footnote>
  <w:footnote w:id="32">
    <w:p w:rsidR="00D515CF" w:rsidRPr="00D515CF" w:rsidRDefault="00D515CF" w:rsidP="009D2948">
      <w:pPr>
        <w:pStyle w:val="FootnoteText"/>
      </w:pPr>
      <w:r w:rsidRPr="00D515CF">
        <w:rPr>
          <w:rStyle w:val="FootnoteReference"/>
        </w:rPr>
        <w:footnoteRef/>
      </w:r>
      <w:r w:rsidRPr="00D515CF">
        <w:tab/>
      </w:r>
      <w:r w:rsidRPr="00D515CF">
        <w:t>Document de reflecție privind aprofundarea uniunii economice și monetare, Comisia Europeană, 31 mai 2017, disponibil la adresa: https://ec.europa.eu/commission/sites/beta-political/files/reflection-paper-emu_en_2.pdf</w:t>
      </w:r>
    </w:p>
  </w:footnote>
  <w:footnote w:id="33">
    <w:p w:rsidR="00D515CF" w:rsidRPr="00D515CF" w:rsidRDefault="00D515CF" w:rsidP="009D2948">
      <w:pPr>
        <w:pStyle w:val="FootnoteText"/>
      </w:pPr>
      <w:r w:rsidRPr="00D515CF">
        <w:rPr>
          <w:rStyle w:val="FootnoteReference"/>
        </w:rPr>
        <w:footnoteRef/>
      </w:r>
      <w:r w:rsidRPr="00D515CF">
        <w:tab/>
      </w:r>
      <w:r w:rsidRPr="00D515CF">
        <w:t>Revizuirea efectuată de ESMA în temeiul EMIR cu privire la colegiile pentru CPC, ianuarie 2015</w:t>
      </w:r>
    </w:p>
    <w:p w:rsidR="00D515CF" w:rsidRPr="00D515CF" w:rsidRDefault="00BF6E58" w:rsidP="009D2948">
      <w:pPr>
        <w:pStyle w:val="FootnoteText"/>
        <w:ind w:firstLine="0"/>
      </w:pPr>
      <w:hyperlink r:id="rId21">
        <w:r w:rsidR="00D515CF" w:rsidRPr="00D515CF">
          <w:rPr>
            <w:rStyle w:val="Hyperlink"/>
          </w:rPr>
          <w:t>https://www.esma.europa.eu/sites/default/files/library/2015/11/2015-20-_report_on_esma_review_of_ccp_colleges.pdf</w:t>
        </w:r>
      </w:hyperlink>
      <w:r w:rsidR="00D515CF" w:rsidRPr="00D515CF">
        <w:t xml:space="preserve"> </w:t>
      </w:r>
    </w:p>
  </w:footnote>
  <w:footnote w:id="34">
    <w:p w:rsidR="00D515CF" w:rsidRPr="00D515CF" w:rsidRDefault="00D515CF" w:rsidP="009D2948">
      <w:pPr>
        <w:pStyle w:val="FootnoteText"/>
      </w:pPr>
      <w:r w:rsidRPr="00D515CF">
        <w:rPr>
          <w:rStyle w:val="FootnoteReference"/>
        </w:rPr>
        <w:footnoteRef/>
      </w:r>
      <w:r w:rsidRPr="00D515CF">
        <w:tab/>
      </w:r>
      <w:r w:rsidRPr="00D515CF">
        <w:t xml:space="preserve">Evaluare </w:t>
      </w:r>
      <w:r w:rsidRPr="00D515CF">
        <w:rPr>
          <w:i/>
        </w:rPr>
        <w:t>inter pares</w:t>
      </w:r>
      <w:r w:rsidRPr="00D515CF">
        <w:t xml:space="preserve"> realizată de ESMA în temeiul articolului 21 din EMIR - Activități de supraveghere cu privire la cerințele de marjă și de garanții în sarcina CPC, 22 decembrie 2016, ESMA/2016/1683 (evaluare </w:t>
      </w:r>
      <w:r w:rsidRPr="00D515CF">
        <w:rPr>
          <w:i/>
        </w:rPr>
        <w:t>inter pares</w:t>
      </w:r>
      <w:r w:rsidRPr="00D515CF">
        <w:t xml:space="preserve"> a ESMA 2016)</w:t>
      </w:r>
    </w:p>
    <w:p w:rsidR="00D515CF" w:rsidRPr="00D515CF" w:rsidRDefault="00BF6E58" w:rsidP="009D2948">
      <w:pPr>
        <w:pStyle w:val="FootnoteText"/>
        <w:ind w:firstLine="0"/>
      </w:pPr>
      <w:hyperlink r:id="rId22">
        <w:r w:rsidR="00D515CF" w:rsidRPr="00D515CF">
          <w:rPr>
            <w:rStyle w:val="Hyperlink"/>
          </w:rPr>
          <w:t>https://www.esma.europa.eu/sites/default/files/library/2016-1683_ccp_peer_review_report.pdf</w:t>
        </w:r>
      </w:hyperlink>
    </w:p>
  </w:footnote>
  <w:footnote w:id="35">
    <w:p w:rsidR="00D515CF" w:rsidRPr="00D515CF" w:rsidRDefault="00D515CF" w:rsidP="009D2948">
      <w:pPr>
        <w:pStyle w:val="FootnoteText"/>
      </w:pPr>
      <w:r w:rsidRPr="00D515CF">
        <w:rPr>
          <w:rStyle w:val="FootnoteReference"/>
        </w:rPr>
        <w:footnoteRef/>
      </w:r>
      <w:r w:rsidRPr="00D515CF">
        <w:tab/>
      </w:r>
      <w:r w:rsidRPr="00D515CF">
        <w:t>ESMA, Raportul nr. 4 de evaluare în temeiul EMIR, Contribuția ESMA la consultarea lansată de Comisie cu privire la revizuirea EMIR, 13 august 2015, ESMA/2015/1254</w:t>
      </w:r>
    </w:p>
    <w:p w:rsidR="00D515CF" w:rsidRPr="00D515CF" w:rsidRDefault="00BF6E58" w:rsidP="009D2948">
      <w:pPr>
        <w:pStyle w:val="FootnoteText"/>
        <w:ind w:firstLine="0"/>
      </w:pPr>
      <w:hyperlink r:id="rId23">
        <w:r w:rsidR="00D515CF" w:rsidRPr="00D515CF">
          <w:rPr>
            <w:rStyle w:val="Hyperlink"/>
          </w:rPr>
          <w:t>https://www.esma.europa.eu/sites/default/files/library/2015/11/esma-2015-1254_-_emir_review_report_no.4_on_other_issues.pdf</w:t>
        </w:r>
      </w:hyperlink>
    </w:p>
  </w:footnote>
  <w:footnote w:id="36">
    <w:p w:rsidR="00D515CF" w:rsidRPr="00D515CF" w:rsidRDefault="00D515CF" w:rsidP="009D2948">
      <w:pPr>
        <w:pStyle w:val="FootnoteText"/>
      </w:pPr>
      <w:r w:rsidRPr="00D515CF">
        <w:rPr>
          <w:rStyle w:val="FootnoteReference"/>
        </w:rPr>
        <w:footnoteRef/>
      </w:r>
      <w:r w:rsidRPr="00D515CF">
        <w:tab/>
      </w:r>
      <w:r w:rsidRPr="00D515CF">
        <w:t xml:space="preserve">Evaluare </w:t>
      </w:r>
      <w:r w:rsidRPr="00D515CF">
        <w:rPr>
          <w:i/>
        </w:rPr>
        <w:t>inter pares</w:t>
      </w:r>
      <w:r w:rsidRPr="00D515CF">
        <w:t xml:space="preserve"> a ESMA, 2015, p. 16, punctul 30.</w:t>
      </w:r>
    </w:p>
  </w:footnote>
  <w:footnote w:id="37">
    <w:p w:rsidR="00D515CF" w:rsidRPr="00D515CF" w:rsidRDefault="00D515CF" w:rsidP="009D2948">
      <w:pPr>
        <w:pStyle w:val="FootnoteText"/>
      </w:pPr>
      <w:r w:rsidRPr="00D515CF">
        <w:rPr>
          <w:rStyle w:val="FootnoteReference"/>
        </w:rPr>
        <w:footnoteRef/>
      </w:r>
      <w:r w:rsidRPr="00D515CF">
        <w:tab/>
      </w:r>
      <w:hyperlink r:id="rId24">
        <w:r w:rsidRPr="00D515CF">
          <w:rPr>
            <w:rStyle w:val="Hyperlink2"/>
            <w:lang w:val="ro-RO"/>
          </w:rPr>
          <w:t>Comunicare din partea Comisiei către Parlamentul European, Consiliu și Banca Centrală Europeană</w:t>
        </w:r>
      </w:hyperlink>
      <w:r w:rsidRPr="00D515CF">
        <w:t xml:space="preserve"> intitulată „Răspunsul la provocările cu care se confruntă infrastructurile critice ale piețelor financiare și dezvoltarea în continuare a uniunii piețelor de capital”, Bruxelles, 4.5.2017, COM(2017) 225 final. </w:t>
      </w:r>
    </w:p>
  </w:footnote>
  <w:footnote w:id="38">
    <w:p w:rsidR="00D515CF" w:rsidRPr="00D515CF" w:rsidRDefault="00D515CF" w:rsidP="009D2948">
      <w:pPr>
        <w:pStyle w:val="FootnoteText"/>
        <w:rPr>
          <w:rFonts w:eastAsia="Times New Roman"/>
        </w:rPr>
      </w:pPr>
      <w:r w:rsidRPr="00D515CF">
        <w:rPr>
          <w:rStyle w:val="FootnoteReference"/>
        </w:rPr>
        <w:footnoteRef/>
      </w:r>
      <w:r w:rsidRPr="00D515CF">
        <w:tab/>
      </w:r>
      <w:r w:rsidRPr="00D515CF">
        <w:t xml:space="preserve">Consultarea și sinteza observațiilor primite sunt disponibile la adresa: </w:t>
      </w:r>
    </w:p>
    <w:p w:rsidR="00D515CF" w:rsidRPr="00D515CF" w:rsidRDefault="00BF6E58" w:rsidP="009D2948">
      <w:pPr>
        <w:pStyle w:val="FootnoteText"/>
        <w:ind w:firstLine="0"/>
      </w:pPr>
      <w:hyperlink r:id="rId25">
        <w:r w:rsidR="00D515CF" w:rsidRPr="00D515CF">
          <w:rPr>
            <w:rStyle w:val="Hyperlink"/>
          </w:rPr>
          <w:t>https://ec.europa.eu/info/finance-consultations-2017-esas-operations_en</w:t>
        </w:r>
      </w:hyperlink>
    </w:p>
  </w:footnote>
  <w:footnote w:id="39">
    <w:p w:rsidR="00D515CF" w:rsidRPr="00D515CF" w:rsidRDefault="00D515CF" w:rsidP="009D2948">
      <w:pPr>
        <w:pStyle w:val="FootnoteText"/>
      </w:pPr>
      <w:r w:rsidRPr="00D515CF">
        <w:rPr>
          <w:rStyle w:val="FootnoteReference"/>
        </w:rPr>
        <w:footnoteRef/>
      </w:r>
      <w:r w:rsidRPr="00D515CF">
        <w:tab/>
      </w:r>
      <w:r w:rsidRPr="00D515CF">
        <w:t xml:space="preserve">Consultarea este disponibilă la adresa: </w:t>
      </w:r>
      <w:hyperlink r:id="rId26">
        <w:r w:rsidRPr="00D515CF">
          <w:rPr>
            <w:rStyle w:val="Hyperlink"/>
          </w:rPr>
          <w:t>https://ec.europa.eu/info/finance-consultations-2017-cmu-mid-term-review_en</w:t>
        </w:r>
      </w:hyperlink>
      <w:r w:rsidRPr="00D515CF">
        <w:t xml:space="preserve"> </w:t>
      </w:r>
    </w:p>
  </w:footnote>
  <w:footnote w:id="40">
    <w:p w:rsidR="00D515CF" w:rsidRPr="00D515CF" w:rsidRDefault="00D515CF" w:rsidP="009D2948">
      <w:pPr>
        <w:pStyle w:val="FootnoteText"/>
      </w:pPr>
      <w:r w:rsidRPr="00D515CF">
        <w:rPr>
          <w:rStyle w:val="FootnoteReference"/>
        </w:rPr>
        <w:footnoteRef/>
      </w:r>
      <w:r w:rsidRPr="00D515CF">
        <w:tab/>
      </w:r>
      <w:r w:rsidRPr="00D515CF">
        <w:t xml:space="preserve">Consultarea și un rezumat al răspunsurilor pot fi găsite la adresa: </w:t>
      </w:r>
      <w:hyperlink r:id="rId27">
        <w:r w:rsidRPr="00D515CF">
          <w:rPr>
            <w:rStyle w:val="Hyperlink"/>
          </w:rPr>
          <w:t>http://ec.europa.eu/finance/consultations/2015/emir-revision/index_en.htm</w:t>
        </w:r>
      </w:hyperlink>
    </w:p>
  </w:footnote>
  <w:footnote w:id="41">
    <w:p w:rsidR="00D515CF" w:rsidRPr="00D515CF" w:rsidRDefault="00D515CF" w:rsidP="009D2948">
      <w:pPr>
        <w:pStyle w:val="FootnoteText"/>
      </w:pPr>
      <w:r w:rsidRPr="00D515CF">
        <w:rPr>
          <w:rStyle w:val="FootnoteReference"/>
        </w:rPr>
        <w:footnoteRef/>
      </w:r>
      <w:r w:rsidRPr="00D515CF">
        <w:tab/>
      </w:r>
      <w:r w:rsidRPr="00D515CF">
        <w:t>A se vedea Raportul nr. 4 privind revizuirea EMIR din 13 august 2015, ca parte a consultării Comisiei cu privire la revizuirea EMIR, p. 19-21, disponibil la adresa:</w:t>
      </w:r>
    </w:p>
    <w:p w:rsidR="00D515CF" w:rsidRPr="00D515CF" w:rsidRDefault="00D515CF" w:rsidP="009D2948">
      <w:pPr>
        <w:pStyle w:val="FootnoteText"/>
        <w:ind w:firstLine="0"/>
      </w:pPr>
      <w:r w:rsidRPr="00D515CF">
        <w:t xml:space="preserve"> </w:t>
      </w:r>
      <w:hyperlink r:id="rId28">
        <w:r w:rsidRPr="00D515CF">
          <w:rPr>
            <w:rStyle w:val="Hyperlink"/>
          </w:rPr>
          <w:t>https://www.esma.europa.eu/sites/default/files/library/2015/11/esma-2015-1254_-_emir_review_report_no.4_on_other_issues.pdf</w:t>
        </w:r>
      </w:hyperlink>
      <w:r w:rsidRPr="00D515CF">
        <w:t xml:space="preserve"> </w:t>
      </w:r>
    </w:p>
    <w:p w:rsidR="00D515CF" w:rsidRPr="00D515CF" w:rsidRDefault="00D515CF" w:rsidP="009D2948">
      <w:pPr>
        <w:pStyle w:val="FootnoteText"/>
      </w:pPr>
      <w:r w:rsidRPr="00D515CF">
        <w:tab/>
      </w:r>
    </w:p>
  </w:footnote>
  <w:footnote w:id="42">
    <w:p w:rsidR="00D515CF" w:rsidRPr="00D515CF" w:rsidRDefault="00D515CF" w:rsidP="009D2948">
      <w:pPr>
        <w:pStyle w:val="FootnoteText"/>
      </w:pPr>
      <w:r w:rsidRPr="00D515CF">
        <w:rPr>
          <w:rStyle w:val="FootnoteReference"/>
        </w:rPr>
        <w:footnoteRef/>
      </w:r>
      <w:r w:rsidRPr="00D515CF">
        <w:tab/>
      </w:r>
      <w:r w:rsidRPr="00D515CF">
        <w:t>A se vedea, de asemenea, documentul de lucru al serviciilor Comisiei „Deciziile de echivalență ale UE în politica în domeniul serviciilor financiare: o evaluare”, SWD(2017) 102 final, 27 februarie 2017.</w:t>
      </w:r>
    </w:p>
  </w:footnote>
  <w:footnote w:id="43">
    <w:p w:rsidR="00D515CF" w:rsidRPr="00D515CF" w:rsidRDefault="00D515CF" w:rsidP="009D2948">
      <w:pPr>
        <w:ind w:left="720" w:hanging="720"/>
      </w:pPr>
      <w:r w:rsidRPr="00D515CF">
        <w:rPr>
          <w:rStyle w:val="FootnoteReference"/>
        </w:rPr>
        <w:footnoteRef/>
      </w:r>
      <w:r w:rsidRPr="00D515CF">
        <w:tab/>
      </w:r>
      <w:r w:rsidRPr="00D515CF">
        <w:rPr>
          <w:color w:val="000000"/>
          <w:sz w:val="20"/>
          <w:u w:color="000000"/>
        </w:rPr>
        <w:t>JO C […], […], p. […].</w:t>
      </w:r>
    </w:p>
  </w:footnote>
  <w:footnote w:id="44">
    <w:p w:rsidR="00D515CF" w:rsidRPr="00D515CF" w:rsidRDefault="00D515CF" w:rsidP="009D2948">
      <w:pPr>
        <w:pStyle w:val="FootnoteText"/>
      </w:pPr>
      <w:r w:rsidRPr="00D515CF">
        <w:rPr>
          <w:rStyle w:val="FootnoteReference"/>
        </w:rPr>
        <w:footnoteRef/>
      </w:r>
      <w:r w:rsidRPr="00D515CF">
        <w:tab/>
      </w:r>
      <w:r w:rsidRPr="00D515CF">
        <w:t>JO C, , p. .</w:t>
      </w:r>
    </w:p>
  </w:footnote>
  <w:footnote w:id="45">
    <w:p w:rsidR="00D515CF" w:rsidRPr="00D515CF" w:rsidRDefault="00D515CF" w:rsidP="009D2948">
      <w:pPr>
        <w:ind w:left="720" w:hanging="720"/>
      </w:pPr>
      <w:r w:rsidRPr="00D515CF">
        <w:rPr>
          <w:rStyle w:val="FootnoteReference"/>
        </w:rPr>
        <w:footnoteRef/>
      </w:r>
      <w:r w:rsidRPr="00D515CF">
        <w:tab/>
      </w:r>
      <w:r w:rsidRPr="00D515CF">
        <w:rPr>
          <w:color w:val="000000"/>
          <w:sz w:val="20"/>
          <w:u w:color="000000"/>
        </w:rPr>
        <w:t>Poziția Parlamentului European din ... (JO...) și Decizia Consiliului din ...</w:t>
      </w:r>
    </w:p>
  </w:footnote>
  <w:footnote w:id="46">
    <w:p w:rsidR="00D515CF" w:rsidRPr="00D515CF" w:rsidRDefault="00D515CF" w:rsidP="009D2948">
      <w:pPr>
        <w:pStyle w:val="FootnoteText"/>
      </w:pPr>
      <w:r w:rsidRPr="00D515CF">
        <w:rPr>
          <w:rStyle w:val="FootnoteReference"/>
        </w:rPr>
        <w:footnoteRef/>
      </w:r>
      <w:r w:rsidRPr="00D515CF">
        <w:tab/>
      </w:r>
      <w:r w:rsidRPr="00D515CF">
        <w:t>Regulamentul (UE) nr. 648/2012 al Parlamentului European și al Consiliului din 4 iulie 2012 privind instrumentele financiare derivate extrabursiere, contrapărțile centrale și registrele centrale de tranzacții (JO L 201, 27.7.2012, p. 1).</w:t>
      </w:r>
    </w:p>
  </w:footnote>
  <w:footnote w:id="47">
    <w:p w:rsidR="00D515CF" w:rsidRPr="00D515CF" w:rsidRDefault="00D515CF" w:rsidP="009D2948">
      <w:pPr>
        <w:rPr>
          <w:sz w:val="20"/>
          <w:szCs w:val="20"/>
        </w:rPr>
      </w:pPr>
      <w:r w:rsidRPr="00D515CF">
        <w:rPr>
          <w:rStyle w:val="FootnoteReference"/>
        </w:rPr>
        <w:footnoteRef/>
      </w:r>
      <w:r w:rsidRPr="00D515CF">
        <w:tab/>
      </w:r>
      <w:r w:rsidRPr="00D515CF">
        <w:rPr>
          <w:color w:val="000000"/>
          <w:sz w:val="20"/>
          <w:u w:color="000000"/>
        </w:rPr>
        <w:t>Propunere de Regulament al Parlamentului European și al Consiliului de modificare a Regulamentului (UE) nr. 648/2012 în ceea ce privește obligația de compensare, suspendarea obligației de compensare, cerințele de raportare, tehnicile de atenuare a riscurilor pentru contractele derivate extrabursiere care nu sunt compensate de o contraparte centrală, înregistrarea și supravegherea registrelor centrale de tranzacții și cerințele aplicabile registrelor centrale de tranzacții, COM(2017) 208 final.</w:t>
      </w:r>
    </w:p>
  </w:footnote>
  <w:footnote w:id="48">
    <w:p w:rsidR="00D515CF" w:rsidRPr="00D515CF" w:rsidRDefault="00D515CF" w:rsidP="009D2948">
      <w:pPr>
        <w:rPr>
          <w:sz w:val="20"/>
          <w:szCs w:val="20"/>
        </w:rPr>
      </w:pPr>
      <w:r w:rsidRPr="00D515CF">
        <w:rPr>
          <w:rStyle w:val="FootnoteReference"/>
        </w:rPr>
        <w:footnoteRef/>
      </w:r>
      <w:r w:rsidRPr="00D515CF">
        <w:tab/>
      </w:r>
      <w:r w:rsidRPr="00D515CF">
        <w:rPr>
          <w:color w:val="000000"/>
          <w:sz w:val="20"/>
          <w:u w:color="000000"/>
        </w:rPr>
        <w:t>În conformitate cu Regulamentul (UE) nr. 648/2012, ESMA furnizează</w:t>
      </w:r>
      <w:r w:rsidRPr="00D515CF">
        <w:t xml:space="preserve"> </w:t>
      </w:r>
      <w:hyperlink r:id="rId29">
        <w:r w:rsidRPr="00D515CF">
          <w:rPr>
            <w:color w:val="000000"/>
            <w:sz w:val="20"/>
            <w:u w:color="000000"/>
          </w:rPr>
          <w:t>o listă a CPC din țări terțe care au fost recunoscute pentru a oferi servicii și activități în Uniune</w:t>
        </w:r>
      </w:hyperlink>
      <w:r w:rsidRPr="00D515CF">
        <w:rPr>
          <w:color w:val="000000"/>
          <w:sz w:val="20"/>
          <w:u w:color="000000"/>
        </w:rPr>
        <w:t xml:space="preserve">. CPC din țări terțe sunt stabilite în 15 țări care intră sub incidența deciziilor de echivalență adoptate de către Comisie, printre care Australia, Hong Kong, Singapore, Japonia, Canada, Elveția, Coreea de Sud, Mexic, Africa de Sud, Comisia pentru tranzacții cu contracte futures pe mărfuri din SUA, Brazilia, Emiratele Arabe Unite, Centrul Financiar Internațional din Dubai (DIFC), India și Noua Zeelandă. </w:t>
      </w:r>
    </w:p>
  </w:footnote>
  <w:footnote w:id="49">
    <w:p w:rsidR="00D515CF" w:rsidRPr="00D515CF" w:rsidRDefault="00D515CF" w:rsidP="009D2948">
      <w:pPr>
        <w:rPr>
          <w:sz w:val="20"/>
          <w:szCs w:val="20"/>
        </w:rPr>
      </w:pPr>
      <w:r w:rsidRPr="00D515CF">
        <w:rPr>
          <w:rStyle w:val="FootnoteReference"/>
        </w:rPr>
        <w:footnoteRef/>
      </w:r>
      <w:r w:rsidRPr="00D515CF">
        <w:tab/>
      </w:r>
      <w:r w:rsidRPr="00D515CF">
        <w:rPr>
          <w:color w:val="000000"/>
          <w:sz w:val="20"/>
          <w:u w:color="000000"/>
        </w:rPr>
        <w:t>Propunere de regulament al Parlamentului European și al Consiliului privind un cadru pentru redresarea și rezoluția contrapărților centrale și de modificare a Regulamentelor (UE) nr. 1095/2010, (UE) nr. 648/2012 și (UE) 2015/2365. COM(2016) 856 final.</w:t>
      </w:r>
    </w:p>
  </w:footnote>
  <w:footnote w:id="50">
    <w:p w:rsidR="00D515CF" w:rsidRPr="00D515CF" w:rsidRDefault="00D515CF" w:rsidP="009D2948">
      <w:pPr>
        <w:rPr>
          <w:sz w:val="20"/>
          <w:szCs w:val="20"/>
        </w:rPr>
      </w:pPr>
      <w:r w:rsidRPr="00D515CF">
        <w:rPr>
          <w:rStyle w:val="FootnoteReference"/>
        </w:rPr>
        <w:footnoteRef/>
      </w:r>
      <w:r w:rsidRPr="00D515CF">
        <w:tab/>
      </w:r>
      <w:hyperlink r:id="rId30">
        <w:r w:rsidRPr="00D515CF">
          <w:rPr>
            <w:color w:val="000000"/>
            <w:sz w:val="20"/>
            <w:u w:color="000000"/>
          </w:rPr>
          <w:t>Comunicare din partea Comisiei către Parlamentul European, Consiliu și Banca Centrală Europeană</w:t>
        </w:r>
      </w:hyperlink>
      <w:r w:rsidRPr="00D515CF">
        <w:t xml:space="preserve"> </w:t>
      </w:r>
      <w:r w:rsidRPr="00D515CF">
        <w:rPr>
          <w:color w:val="000000"/>
          <w:sz w:val="20"/>
          <w:u w:color="000000"/>
        </w:rPr>
        <w:t xml:space="preserve">intitulată „Răspunsul la provocările cu care se confruntă infrastructurile critice ale piețelor financiare și dezvoltarea în continuare a uniunii piețelor de capital”, Bruxelles, 4.5.2017, COM(2017) 225 final. </w:t>
      </w:r>
    </w:p>
  </w:footnote>
  <w:footnote w:id="51">
    <w:p w:rsidR="00D515CF" w:rsidRPr="00D515CF" w:rsidRDefault="00D515CF" w:rsidP="009D2948">
      <w:pPr>
        <w:rPr>
          <w:sz w:val="20"/>
          <w:szCs w:val="20"/>
        </w:rPr>
      </w:pPr>
      <w:r w:rsidRPr="00D515CF">
        <w:rPr>
          <w:rStyle w:val="FootnoteReference"/>
        </w:rPr>
        <w:footnoteRef/>
      </w:r>
      <w:r w:rsidRPr="00D515CF">
        <w:tab/>
      </w:r>
      <w:r w:rsidRPr="00D515CF">
        <w:rPr>
          <w:color w:val="000000"/>
          <w:sz w:val="20"/>
          <w:u w:color="000000"/>
        </w:rPr>
        <w:t>Comunicarea intitulată „Starea Uniunii 2016: Finalizarea uniunii piețelor de capital – Comisia accelerează procesul de reformă”; 14 septembrie 2016.</w:t>
      </w:r>
    </w:p>
  </w:footnote>
  <w:footnote w:id="52">
    <w:p w:rsidR="00D515CF" w:rsidRPr="00D515CF" w:rsidRDefault="00D515CF" w:rsidP="009D2948">
      <w:pPr>
        <w:rPr>
          <w:sz w:val="20"/>
          <w:szCs w:val="20"/>
        </w:rPr>
      </w:pPr>
      <w:r w:rsidRPr="00D515CF">
        <w:rPr>
          <w:rStyle w:val="FootnoteReference"/>
        </w:rPr>
        <w:footnoteRef/>
      </w:r>
      <w:r w:rsidRPr="00D515CF">
        <w:tab/>
      </w:r>
      <w:r w:rsidRPr="00D515CF">
        <w:rPr>
          <w:color w:val="000000"/>
          <w:sz w:val="20"/>
          <w:u w:color="000000"/>
        </w:rPr>
        <w:t>Consultare publică cu privire la operațiunile autorităților europene de supraveghere; 21.3.2017-16.5.2017.</w:t>
      </w:r>
    </w:p>
  </w:footnote>
  <w:footnote w:id="53">
    <w:p w:rsidR="00D515CF" w:rsidRPr="00D515CF" w:rsidRDefault="00D515CF" w:rsidP="009D2948">
      <w:pPr>
        <w:pStyle w:val="FootnoteText"/>
        <w:rPr>
          <w:rFonts w:ascii="Lucida Sans Unicode" w:hAnsi="Lucida Sans Unicode" w:cs="Lucida Sans Unicode"/>
          <w:b/>
          <w:bCs/>
          <w:color w:val="444444"/>
          <w:sz w:val="19"/>
          <w:szCs w:val="19"/>
        </w:rPr>
      </w:pPr>
      <w:r w:rsidRPr="00D515CF">
        <w:rPr>
          <w:rStyle w:val="FootnoteReference"/>
        </w:rPr>
        <w:footnoteRef/>
      </w:r>
      <w:r w:rsidRPr="00D515CF">
        <w:tab/>
      </w:r>
      <w:r w:rsidRPr="00D515CF">
        <w:rPr>
          <w:color w:val="000000"/>
          <w:u w:color="000000"/>
        </w:rPr>
        <w:t>Regulamentul (UE) nr. 1095/2010 al Parlamentului European și al Consiliului din 24 noiembrie 2010 de instituire a Autorității europene de supraveghere (Autoritatea europeană pentru valori mobiliare și piețe), de modificare a Deciziei nr. 716/2009/CE și de abrogare a Deciziei 2009/77/CE a Comisiei (JO L 331, 15.12.2010, p. 84).</w:t>
      </w:r>
    </w:p>
  </w:footnote>
  <w:footnote w:id="54">
    <w:p w:rsidR="00D515CF" w:rsidRPr="00D515CF" w:rsidRDefault="00D515CF" w:rsidP="009D2948">
      <w:r w:rsidRPr="00D515CF">
        <w:rPr>
          <w:rStyle w:val="FootnoteReference"/>
        </w:rPr>
        <w:footnoteRef/>
      </w:r>
      <w:r w:rsidRPr="00D515CF">
        <w:tab/>
      </w:r>
      <w:r w:rsidRPr="00D515CF">
        <w:t>Regulamentul (UE) nr. 1024/2013 al Consiliului din 15 octombrie 2013 de conferire a unor atribuții specifice Băncii Centrale Europene în ceea ce privește politicile legate de supravegherea prudențială a instituțiilor de credit, JO L 287, 29.10.2013, p. 63.”</w:t>
      </w:r>
    </w:p>
  </w:footnote>
  <w:footnote w:id="55">
    <w:p w:rsidR="00D515CF" w:rsidRPr="00D515CF" w:rsidRDefault="00D515CF" w:rsidP="009D2948">
      <w:pPr>
        <w:pStyle w:val="FootnoteText"/>
        <w:rPr>
          <w:szCs w:val="24"/>
        </w:rPr>
      </w:pPr>
      <w:r w:rsidRPr="00D515CF">
        <w:rPr>
          <w:rStyle w:val="FootnoteReference"/>
        </w:rPr>
        <w:footnoteRef/>
      </w:r>
      <w:r w:rsidRPr="00D515CF">
        <w:tab/>
      </w:r>
      <w:r w:rsidRPr="00D515CF">
        <w:t>Astfel cum sunt menționate la articolul 54 alineatul (2) litera (a) sau (b) din Regulamentul financiar.</w:t>
      </w:r>
    </w:p>
  </w:footnote>
  <w:footnote w:id="56">
    <w:p w:rsidR="00D515CF" w:rsidRPr="00D515CF" w:rsidRDefault="00D515CF" w:rsidP="009D2948">
      <w:pPr>
        <w:pStyle w:val="FootnoteText"/>
      </w:pPr>
      <w:r w:rsidRPr="00D515CF">
        <w:rPr>
          <w:rStyle w:val="FootnoteReference"/>
        </w:rPr>
        <w:footnoteRef/>
      </w:r>
      <w:r w:rsidRPr="00D515CF">
        <w:tab/>
      </w:r>
      <w:r w:rsidRPr="00D515CF">
        <w:t>Propunere de regulament al Parlamentului European și al Consiliului de instituire a unui cadru pentru redresarea și rezoluția contrapărților centrale și de modificare a Regulamentelor (UE) nr. 1095/2010, (UE) nr. 648/2012 și (UE) 2015/2365.</w:t>
      </w:r>
    </w:p>
  </w:footnote>
  <w:footnote w:id="57">
    <w:p w:rsidR="00D515CF" w:rsidRPr="00D515CF" w:rsidRDefault="00D515CF" w:rsidP="009D2948">
      <w:pPr>
        <w:pStyle w:val="FootnoteText"/>
      </w:pPr>
      <w:r w:rsidRPr="00D515CF">
        <w:rPr>
          <w:rStyle w:val="FootnoteReference"/>
        </w:rPr>
        <w:footnoteRef/>
      </w:r>
      <w:r w:rsidRPr="00D515CF">
        <w:tab/>
      </w:r>
      <w:r w:rsidRPr="00D515CF">
        <w:t xml:space="preserve">„Uniunea piețelor de capital - Accelerarea reformelor”, 14.9.2016, COM(2016) 601 final, disponibilă la adresa </w:t>
      </w:r>
    </w:p>
    <w:p w:rsidR="00D515CF" w:rsidRPr="00D515CF" w:rsidRDefault="00D515CF" w:rsidP="009D2948">
      <w:pPr>
        <w:pStyle w:val="FootnoteText"/>
      </w:pPr>
      <w:r w:rsidRPr="00D515CF">
        <w:tab/>
      </w:r>
      <w:hyperlink r:id="rId31">
        <w:r w:rsidRPr="00D515CF">
          <w:rPr>
            <w:rStyle w:val="Hyperlink"/>
          </w:rPr>
          <w:t>https://ec.europa.eu/transparency/regdoc/rep/1/2016/EN/1-2016-601-EN-F1-1.PDF</w:t>
        </w:r>
      </w:hyperlink>
      <w:r w:rsidRPr="00D515CF">
        <w:t xml:space="preserve"> </w:t>
      </w:r>
    </w:p>
    <w:p w:rsidR="00D515CF" w:rsidRPr="00D515CF" w:rsidRDefault="00D515CF" w:rsidP="009D2948">
      <w:pPr>
        <w:pStyle w:val="FootnoteText"/>
      </w:pPr>
    </w:p>
  </w:footnote>
  <w:footnote w:id="58">
    <w:p w:rsidR="00D515CF" w:rsidRPr="00D515CF" w:rsidRDefault="00D515CF" w:rsidP="009D2948">
      <w:pPr>
        <w:pStyle w:val="FootnoteText"/>
      </w:pPr>
      <w:r w:rsidRPr="00D515CF">
        <w:rPr>
          <w:rStyle w:val="FootnoteReference"/>
        </w:rPr>
        <w:footnoteRef/>
      </w:r>
      <w:r w:rsidRPr="00D515CF">
        <w:tab/>
      </w:r>
      <w:r w:rsidRPr="00D515CF">
        <w:t xml:space="preserve">„Consultare publică cu privire la operațiunile autorităților europene de supraveghere”, 21.3.2017, disponibilă la </w:t>
      </w:r>
      <w:hyperlink r:id="rId32">
        <w:r w:rsidRPr="00D515CF">
          <w:rPr>
            <w:rStyle w:val="Hyperlink"/>
          </w:rPr>
          <w:t>https://ec.europa.eu/info/finance-consultations-2017-esas-operations_en</w:t>
        </w:r>
      </w:hyperlink>
      <w:r w:rsidRPr="00D515CF">
        <w:t xml:space="preserve"> </w:t>
      </w:r>
    </w:p>
    <w:p w:rsidR="00D515CF" w:rsidRPr="00D515CF" w:rsidRDefault="00D515CF" w:rsidP="009D2948">
      <w:pPr>
        <w:pStyle w:val="FootnoteText"/>
      </w:pPr>
    </w:p>
  </w:footnote>
  <w:footnote w:id="59">
    <w:p w:rsidR="00D515CF" w:rsidRPr="00D515CF" w:rsidRDefault="00D515CF" w:rsidP="009D2948">
      <w:pPr>
        <w:pStyle w:val="FootnoteText"/>
      </w:pPr>
      <w:r w:rsidRPr="00D515CF">
        <w:rPr>
          <w:rStyle w:val="FootnoteReference"/>
        </w:rPr>
        <w:footnoteRef/>
      </w:r>
      <w:r w:rsidRPr="00D515CF">
        <w:tab/>
      </w:r>
      <w:r w:rsidRPr="00D515CF">
        <w:t xml:space="preserve">„Deciziile de echivalență ale UE în politica în domeniul serviciilor financiare: o evaluare”, 27.2.2017, SWD(2017) 102 final, disponibil la adresa </w:t>
      </w:r>
    </w:p>
    <w:p w:rsidR="00D515CF" w:rsidRPr="00D515CF" w:rsidRDefault="00BF6E58" w:rsidP="009D2948">
      <w:pPr>
        <w:pStyle w:val="FootnoteText"/>
        <w:ind w:firstLine="0"/>
      </w:pPr>
      <w:hyperlink r:id="rId33">
        <w:r w:rsidR="00D515CF" w:rsidRPr="00D515CF">
          <w:rPr>
            <w:rStyle w:val="Hyperlink"/>
          </w:rPr>
          <w:t>https://ec.europa.eu/info/sites/info/files/eu-equivalence-decisions-assessment-27022017_en.pdf</w:t>
        </w:r>
      </w:hyperlink>
      <w:r w:rsidR="00D515CF" w:rsidRPr="00D515CF">
        <w:t xml:space="preserve"> </w:t>
      </w:r>
    </w:p>
    <w:p w:rsidR="00D515CF" w:rsidRPr="00D515CF" w:rsidRDefault="00D515CF" w:rsidP="009D2948">
      <w:pPr>
        <w:pStyle w:val="FootnoteText"/>
      </w:pPr>
    </w:p>
  </w:footnote>
  <w:footnote w:id="60">
    <w:p w:rsidR="00D515CF" w:rsidRPr="00D515CF" w:rsidRDefault="00D515CF" w:rsidP="009D2948">
      <w:pPr>
        <w:pStyle w:val="FootnoteText"/>
      </w:pPr>
      <w:r w:rsidRPr="00D515CF">
        <w:rPr>
          <w:rStyle w:val="FootnoteReference"/>
        </w:rPr>
        <w:footnoteRef/>
      </w:r>
      <w:r w:rsidRPr="00D515CF">
        <w:tab/>
      </w:r>
      <w:r w:rsidRPr="00D515CF">
        <w:t>Propunere de Regulament al Parlamentului European și al Consiliului de modificare a Regulamentului (UE) nr. 575/2013 în ceea ce privește indicatorul efectului de levier, indicatorul de finanțare stabilă netă, cerințele privind fondurile proprii și pasivele eligibile, riscul de credit al contrapărții, riscul de piață, expunerile față de contrapărți centrale, expunerile față de organisme de plasament colectiv, expunerile mari, raportarea și cerințele de publicare a informațiilor și de modificare a Regulamentului (UE) nr. 648/2012.</w:t>
      </w:r>
    </w:p>
  </w:footnote>
  <w:footnote w:id="61">
    <w:p w:rsidR="00D515CF" w:rsidRPr="00D515CF" w:rsidRDefault="00D515CF" w:rsidP="009D2948">
      <w:pPr>
        <w:pStyle w:val="FootnoteText"/>
      </w:pPr>
      <w:r w:rsidRPr="00D515CF">
        <w:rPr>
          <w:rStyle w:val="FootnoteReference"/>
        </w:rPr>
        <w:footnoteRef/>
      </w:r>
      <w:r w:rsidRPr="00D515CF">
        <w:tab/>
      </w:r>
      <w:r w:rsidRPr="00D515CF">
        <w:t>Regulamentul (UE) nr. 575/2013 al Parlamentului European și al Consiliului din 26 iunie 2013 privind cerințele prudențiale pentru instituțiile de credit și firmele de investiții.</w:t>
      </w:r>
    </w:p>
  </w:footnote>
  <w:footnote w:id="62">
    <w:p w:rsidR="00D515CF" w:rsidRPr="00D515CF" w:rsidRDefault="00D515CF" w:rsidP="009D2948">
      <w:pPr>
        <w:pStyle w:val="FootnoteText"/>
        <w:jc w:val="left"/>
        <w:rPr>
          <w:szCs w:val="24"/>
        </w:rPr>
      </w:pPr>
      <w:r w:rsidRPr="00D515CF">
        <w:rPr>
          <w:rStyle w:val="FootnoteReference"/>
        </w:rPr>
        <w:footnoteRef/>
      </w:r>
      <w:r w:rsidRPr="00D515CF">
        <w:tab/>
      </w:r>
      <w:r w:rsidRPr="00D515CF">
        <w:t xml:space="preserve">Explicațiile privind modurile de gestiune, precum și trimiterile la Regulamentul financiar sunt disponibile pe site-ul BudgWeb: </w:t>
      </w:r>
      <w:hyperlink r:id="rId34">
        <w:r w:rsidRPr="00D515CF">
          <w:rPr>
            <w:rStyle w:val="Hyperlink"/>
          </w:rPr>
          <w:t>https://myintracomm.ec.europa.eu/budgweb/EN/man/budgmanag/Pages/budgmanag.aspx</w:t>
        </w:r>
      </w:hyperlink>
      <w:r w:rsidRPr="00D515CF">
        <w:t xml:space="preserve"> </w:t>
      </w:r>
    </w:p>
  </w:footnote>
  <w:footnote w:id="63">
    <w:p w:rsidR="00D515CF" w:rsidRPr="00D515CF" w:rsidRDefault="00D515CF" w:rsidP="009D2948">
      <w:pPr>
        <w:pStyle w:val="FootnoteText"/>
        <w:rPr>
          <w:szCs w:val="24"/>
        </w:rPr>
      </w:pPr>
      <w:r w:rsidRPr="00D515CF">
        <w:rPr>
          <w:rStyle w:val="FootnoteReference"/>
        </w:rPr>
        <w:footnoteRef/>
      </w:r>
      <w:r w:rsidRPr="00D515CF">
        <w:tab/>
      </w:r>
      <w:r w:rsidRPr="00D515CF">
        <w:t>Dif. = credite diferențiate / Nedif.= credite nediferențiate.</w:t>
      </w:r>
    </w:p>
  </w:footnote>
  <w:footnote w:id="64">
    <w:p w:rsidR="00D515CF" w:rsidRPr="00D515CF" w:rsidRDefault="00D515CF" w:rsidP="009D2948">
      <w:pPr>
        <w:pStyle w:val="FootnoteText"/>
        <w:rPr>
          <w:szCs w:val="24"/>
        </w:rPr>
      </w:pPr>
      <w:r w:rsidRPr="00D515CF">
        <w:rPr>
          <w:rStyle w:val="FootnoteReference"/>
        </w:rPr>
        <w:footnoteRef/>
      </w:r>
      <w:r w:rsidRPr="00D515CF">
        <w:tab/>
      </w:r>
      <w:r w:rsidRPr="00D515CF">
        <w:t xml:space="preserve">AELS: Asociația Europeană a Liberului Schimb. </w:t>
      </w:r>
    </w:p>
  </w:footnote>
  <w:footnote w:id="65">
    <w:p w:rsidR="00D515CF" w:rsidRPr="00D515CF" w:rsidRDefault="00D515CF" w:rsidP="009D2948">
      <w:pPr>
        <w:pStyle w:val="FootnoteText"/>
        <w:rPr>
          <w:szCs w:val="24"/>
        </w:rPr>
      </w:pPr>
      <w:r w:rsidRPr="00D515CF">
        <w:rPr>
          <w:rStyle w:val="FootnoteReference"/>
        </w:rPr>
        <w:footnoteRef/>
      </w:r>
      <w:r w:rsidRPr="00D515CF">
        <w:tab/>
      </w:r>
      <w:r w:rsidRPr="00D515CF">
        <w:t>Țările candidate și, după caz, țările potențial candidate din Balcanii de Vest.</w:t>
      </w:r>
    </w:p>
  </w:footnote>
  <w:footnote w:id="66">
    <w:p w:rsidR="00D515CF" w:rsidRPr="00D515CF" w:rsidRDefault="00D515CF" w:rsidP="009D2948">
      <w:pPr>
        <w:pStyle w:val="FootnoteText"/>
        <w:rPr>
          <w:szCs w:val="24"/>
        </w:rPr>
      </w:pPr>
      <w:r w:rsidRPr="00D515CF">
        <w:rPr>
          <w:rStyle w:val="FootnoteReference"/>
        </w:rPr>
        <w:footnoteRef/>
      </w:r>
      <w:r w:rsidRPr="00D515CF">
        <w:tab/>
      </w:r>
      <w:r w:rsidRPr="00D515CF">
        <w:t>Asistență tehnică și/sau administrativă și cheltuieli de sprijin pentru punerea în aplicare a programelor și/sau a acțiunilor UE (fostele linii „BA”), cercetare indirectă și cercetare directă.</w:t>
      </w:r>
    </w:p>
  </w:footnote>
  <w:footnote w:id="67">
    <w:p w:rsidR="00D515CF" w:rsidRPr="00D515CF" w:rsidRDefault="00D515CF" w:rsidP="009D2948">
      <w:pPr>
        <w:pStyle w:val="FootnoteText"/>
        <w:rPr>
          <w:szCs w:val="24"/>
        </w:rPr>
      </w:pPr>
      <w:r w:rsidRPr="00D515CF">
        <w:rPr>
          <w:rStyle w:val="FootnoteReference"/>
        </w:rPr>
        <w:footnoteRef/>
      </w:r>
      <w:r w:rsidRPr="00D515CF">
        <w:tab/>
      </w:r>
      <w:r w:rsidRPr="00D515CF">
        <w:t>Anul N este anul în care începe punerea în aplicare a propunerii/inițiativei.</w:t>
      </w:r>
    </w:p>
  </w:footnote>
  <w:footnote w:id="68">
    <w:p w:rsidR="00D515CF" w:rsidRPr="00D515CF" w:rsidRDefault="00D515CF" w:rsidP="009D2948">
      <w:pPr>
        <w:pStyle w:val="FootnoteText"/>
        <w:rPr>
          <w:szCs w:val="24"/>
        </w:rPr>
      </w:pPr>
      <w:r w:rsidRPr="00D515CF">
        <w:rPr>
          <w:rStyle w:val="FootnoteReference"/>
        </w:rPr>
        <w:footnoteRef/>
      </w:r>
      <w:r w:rsidRPr="00D515CF">
        <w:tab/>
      </w:r>
      <w:r w:rsidRPr="00D515CF">
        <w:t>Realizările se referă la produsele și serviciile care vor fi furnizate (de exemplu: numărul de schimburi de studenți finanțate, numărul de km de străzi construiți etc.).</w:t>
      </w:r>
    </w:p>
  </w:footnote>
  <w:footnote w:id="69">
    <w:p w:rsidR="00D515CF" w:rsidRPr="00D515CF" w:rsidRDefault="00D515CF" w:rsidP="009D2948">
      <w:pPr>
        <w:pStyle w:val="FootnoteText"/>
        <w:rPr>
          <w:szCs w:val="24"/>
        </w:rPr>
      </w:pPr>
      <w:r w:rsidRPr="00D515CF">
        <w:rPr>
          <w:rStyle w:val="FootnoteReference"/>
        </w:rPr>
        <w:footnoteRef/>
      </w:r>
      <w:r w:rsidRPr="00D515CF">
        <w:tab/>
      </w:r>
      <w:r w:rsidRPr="00D515CF">
        <w:t xml:space="preserve">Conform descrierii de la punctul 1.4.2. „Obiectiv(e) specific(e)…” </w:t>
      </w:r>
    </w:p>
  </w:footnote>
  <w:footnote w:id="70">
    <w:p w:rsidR="00D515CF" w:rsidRPr="00D515CF" w:rsidRDefault="00D515CF" w:rsidP="009D2948">
      <w:pPr>
        <w:pStyle w:val="FootnoteText"/>
        <w:rPr>
          <w:szCs w:val="24"/>
        </w:rPr>
      </w:pPr>
      <w:r w:rsidRPr="00D515CF">
        <w:rPr>
          <w:rStyle w:val="FootnoteReference"/>
        </w:rPr>
        <w:footnoteRef/>
      </w:r>
      <w:r w:rsidRPr="00D515CF">
        <w:tab/>
      </w:r>
      <w:r w:rsidRPr="00D515CF">
        <w:t>Anul N este anul în care începe punerea în aplicare a propunerii/inițiativei.</w:t>
      </w:r>
    </w:p>
  </w:footnote>
  <w:footnote w:id="71">
    <w:p w:rsidR="00D515CF" w:rsidRPr="00D515CF" w:rsidRDefault="00D515CF" w:rsidP="009D2948">
      <w:pPr>
        <w:pStyle w:val="FootnoteText"/>
        <w:rPr>
          <w:szCs w:val="24"/>
        </w:rPr>
      </w:pPr>
      <w:r w:rsidRPr="00D515CF">
        <w:rPr>
          <w:rStyle w:val="FootnoteReference"/>
        </w:rPr>
        <w:footnoteRef/>
      </w:r>
      <w:r w:rsidRPr="00D515CF">
        <w:tab/>
      </w:r>
      <w:r w:rsidRPr="00D515CF">
        <w:t>Asistență tehnică și/sau administrativă și cheltuieli de sprijin pentru punerea în aplicare a programelor și/sau a acțiunilor UE (fostele linii „BA”), cercetare indirectă și cercetare directă.</w:t>
      </w:r>
    </w:p>
  </w:footnote>
  <w:footnote w:id="72">
    <w:p w:rsidR="00D515CF" w:rsidRPr="00D515CF" w:rsidRDefault="00D515CF" w:rsidP="009D2948">
      <w:pPr>
        <w:pStyle w:val="FootnoteText"/>
        <w:rPr>
          <w:szCs w:val="24"/>
        </w:rPr>
      </w:pPr>
      <w:r w:rsidRPr="00D515CF">
        <w:rPr>
          <w:rStyle w:val="FootnoteReference"/>
        </w:rPr>
        <w:footnoteRef/>
      </w:r>
      <w:r w:rsidRPr="00D515CF">
        <w:tab/>
      </w:r>
      <w:r w:rsidRPr="00D515CF">
        <w:t xml:space="preserve">AC = agent contractual; AL = agent local; END= expert național detașat; INT = personal pus la dispoziție de agenții de muncă temporară; JED = expert tânăr în delegații. </w:t>
      </w:r>
    </w:p>
  </w:footnote>
  <w:footnote w:id="73">
    <w:p w:rsidR="00D515CF" w:rsidRPr="00D515CF" w:rsidRDefault="00D515CF" w:rsidP="009D2948">
      <w:pPr>
        <w:pStyle w:val="FootnoteText"/>
        <w:rPr>
          <w:szCs w:val="24"/>
        </w:rPr>
      </w:pPr>
      <w:r w:rsidRPr="00D515CF">
        <w:rPr>
          <w:rStyle w:val="FootnoteReference"/>
        </w:rPr>
        <w:footnoteRef/>
      </w:r>
      <w:r w:rsidRPr="00D515CF">
        <w:tab/>
      </w:r>
      <w:proofErr w:type="spellStart"/>
      <w:r w:rsidRPr="00D515CF">
        <w:t>Subplafonul</w:t>
      </w:r>
      <w:proofErr w:type="spellEnd"/>
      <w:r w:rsidRPr="00D515CF">
        <w:t xml:space="preserve"> pentru personal extern acoperit din creditele operaționale (fostele linii „BA”).</w:t>
      </w:r>
    </w:p>
  </w:footnote>
  <w:footnote w:id="74">
    <w:p w:rsidR="00D515CF" w:rsidRPr="00D515CF" w:rsidRDefault="00D515CF" w:rsidP="009D2948">
      <w:pPr>
        <w:pStyle w:val="FootnoteText"/>
        <w:rPr>
          <w:szCs w:val="24"/>
        </w:rPr>
      </w:pPr>
      <w:r w:rsidRPr="00D515CF">
        <w:rPr>
          <w:rStyle w:val="FootnoteReference"/>
        </w:rPr>
        <w:footnoteRef/>
      </w:r>
      <w:r w:rsidRPr="00D515CF">
        <w:tab/>
      </w:r>
      <w:r w:rsidRPr="00D515CF">
        <w:t>În ceea ce privește resursele proprii tradiționale (taxe vamale, cotizații pentru zahăr), sumele indicate trebuie să fie sume nete, și anume sume brute după deducerea unei cote de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58" w:rsidRDefault="00BF6E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CF" w:rsidRPr="00673BBA" w:rsidRDefault="00D515CF" w:rsidP="006B1E4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D" w:rsidRPr="006B1E4D" w:rsidRDefault="006B1E4D" w:rsidP="006B1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58" w:rsidRDefault="00BF6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58" w:rsidRDefault="00BF6E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CF" w:rsidRPr="00673BBA" w:rsidRDefault="00D515CF" w:rsidP="006B1E4D">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D" w:rsidRPr="006B1E4D" w:rsidRDefault="006B1E4D" w:rsidP="006B1E4D">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CF" w:rsidRPr="00673BBA" w:rsidRDefault="00D515CF" w:rsidP="006B1E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D" w:rsidRPr="006B1E4D" w:rsidRDefault="006B1E4D" w:rsidP="006B1E4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D" w:rsidRPr="00673BBA" w:rsidRDefault="006B1E4D" w:rsidP="006B1E4D">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4D" w:rsidRPr="006B1E4D" w:rsidRDefault="006B1E4D" w:rsidP="006B1E4D">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14AD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34FC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094A97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A9E1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BA54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2B6956"/>
    <w:multiLevelType w:val="hybridMultilevel"/>
    <w:tmpl w:val="B3C8AA5C"/>
    <w:styleLink w:val="ImportedStyle9"/>
    <w:lvl w:ilvl="0" w:tplc="18142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08E917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9842B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8CF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E2EC43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7AC2D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0E2A90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ACC25E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EA9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lvlOverride w:ilvl="0">
      <w:startOverride w:val="1"/>
    </w:lvlOverride>
  </w:num>
  <w:num w:numId="2">
    <w:abstractNumId w:val="5"/>
  </w:num>
  <w:num w:numId="3">
    <w:abstractNumId w:val="15"/>
  </w:num>
  <w:num w:numId="4">
    <w:abstractNumId w:val="24"/>
  </w:num>
  <w:num w:numId="5">
    <w:abstractNumId w:val="21"/>
  </w:num>
  <w:num w:numId="6">
    <w:abstractNumId w:val="25"/>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16"/>
  </w:num>
  <w:num w:numId="18">
    <w:abstractNumId w:val="20"/>
  </w:num>
  <w:num w:numId="19">
    <w:abstractNumId w:val="12"/>
  </w:num>
  <w:num w:numId="20">
    <w:abstractNumId w:val="23"/>
  </w:num>
  <w:num w:numId="21">
    <w:abstractNumId w:val="10"/>
  </w:num>
  <w:num w:numId="22">
    <w:abstractNumId w:val="13"/>
  </w:num>
  <w:num w:numId="23">
    <w:abstractNumId w:val="7"/>
  </w:num>
  <w:num w:numId="24">
    <w:abstractNumId w:val="22"/>
  </w:num>
  <w:num w:numId="25">
    <w:abstractNumId w:val="6"/>
  </w:num>
  <w:num w:numId="26">
    <w:abstractNumId w:val="14"/>
  </w:num>
  <w:num w:numId="27">
    <w:abstractNumId w:val="18"/>
  </w:num>
  <w:num w:numId="28">
    <w:abstractNumId w:val="19"/>
  </w:num>
  <w:num w:numId="29">
    <w:abstractNumId w:val="9"/>
  </w:num>
  <w:num w:numId="30">
    <w:abstractNumId w:val="17"/>
  </w:num>
  <w:num w:numId="31">
    <w:abstractNumId w:val="26"/>
  </w:num>
  <w:num w:numId="32">
    <w:abstractNumId w:val="20"/>
  </w:num>
  <w:num w:numId="33">
    <w:abstractNumId w:val="12"/>
  </w:num>
  <w:num w:numId="34">
    <w:abstractNumId w:val="23"/>
  </w:num>
  <w:num w:numId="35">
    <w:abstractNumId w:val="10"/>
  </w:num>
  <w:num w:numId="36">
    <w:abstractNumId w:val="13"/>
  </w:num>
  <w:num w:numId="37">
    <w:abstractNumId w:val="7"/>
  </w:num>
  <w:num w:numId="38">
    <w:abstractNumId w:val="22"/>
  </w:num>
  <w:num w:numId="39">
    <w:abstractNumId w:val="6"/>
  </w:num>
  <w:num w:numId="40">
    <w:abstractNumId w:val="14"/>
  </w:num>
  <w:num w:numId="41">
    <w:abstractNumId w:val="18"/>
  </w:num>
  <w:num w:numId="42">
    <w:abstractNumId w:val="19"/>
  </w:num>
  <w:num w:numId="43">
    <w:abstractNumId w:val="9"/>
  </w:num>
  <w:num w:numId="44">
    <w:abstractNumId w:val="17"/>
  </w:num>
  <w:num w:numId="4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30"/>
  <w:displayBackgroundShape/>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12 11:08: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
    <w:docVar w:name="DQCResult_ModifiedMarkers" w:val="0;0"/>
    <w:docVar w:name="DQCResult_ModifiedNumbering" w:val="0;0"/>
    <w:docVar w:name="DQCResult_Objects" w:val="0;0"/>
    <w:docVar w:name="DQCResult_Sections" w:val="0;0"/>
    <w:docVar w:name="DQCResult_StructureCheck" w:val="0;0"/>
    <w:docVar w:name="DQCResult_SuperfluousWhitespace" w:val="0;25"/>
    <w:docVar w:name="DQCResult_UnknownFonts" w:val="0;0"/>
    <w:docVar w:name="DQCResult_UnknownStyles" w:val="0;9"/>
    <w:docVar w:name="DQCStatus" w:val="Green"/>
    <w:docVar w:name="DQCVersion" w:val="3"/>
    <w:docVar w:name="DQCWithWarnings" w:val="0"/>
    <w:docVar w:name="LW_CONFIDENCE" w:val=" "/>
    <w:docVar w:name="LW_CONST_RESTREINT_UE" w:val="RESTREINT UE/EU RESTRICTED"/>
    <w:docVar w:name="LW_CORRIGENDUM" w:val="Propunere modificat\u259? a Comisiei ca urmare a adopt\u259?rii COM(2017)539 din 20.9.2017._x000b_Versiunea consolidat\u259? se cite\u537?te împreun\u259? cu expunerea de motive a COM(2017)539._x000b_Textul se cite\u537?te dup\u259? cum urmeaz\u259?."/>
    <w:docVar w:name="LW_COVERPAGE_GUID" w:val="F5DD551323474605B05A10F3092F85FF"/>
    <w:docVar w:name="LW_CROSSREFERENCE" w:val="&lt;UNUSED&gt;"/>
    <w:docVar w:name="LW_DocType" w:val="COM"/>
    <w:docVar w:name="LW_EMISSION" w:val="20.9.2017"/>
    <w:docVar w:name="LW_EMISSION_ISODATE" w:val="2017-09-20"/>
    <w:docVar w:name="LW_EMISSION_LOCATION" w:val="BRX"/>
    <w:docVar w:name="LW_EMISSION_PREFIX" w:val="Bruxelles,"/>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136"/>
    <w:docVar w:name="LW_REF.II.NEW.CP_YEAR" w:val="2017"/>
    <w:docVar w:name="LW_REF.INST.NEW" w:val="COM"/>
    <w:docVar w:name="LW_REF.INST.NEW_ADOPTED" w:val="final/2"/>
    <w:docVar w:name="LW_REF.INST.NEW_TEXT" w:val="(2017) 331"/>
    <w:docVar w:name="LW_REF.INTERNE" w:val="&lt;UNUSED&gt;"/>
    <w:docVar w:name="LW_SOUS.TITRE.OBJ.CP" w:val="&lt;UNUSED&gt;"/>
    <w:docVar w:name="LW_STATUT.CP" w:val="Propunere de"/>
    <w:docVar w:name="LW_SUPERTITRE" w:val="&lt;UNUSED&gt;"/>
    <w:docVar w:name="LW_TITRE.OBJ.CP" w:val="de modificare a Regulamentului (UE) nr. 1095/2010 de instituire a Autorit\u259?\u539?ii europene de supraveghere (Autoritatea european\u259? pentru valori mobiliare \u537?i pie\u539?e) \u537?i a Regulamentului (UE) nr. 648/2012 în ceea ce prive\u537?te procedurile \u537?i autorit\u259?\u539?ile implicate în autorizarea contrap\u259?r\u539?ilor centrale \u537?i cerin\u539?ele pentru recunoa\u537?terea contrap\u259?r\u539?ilor centrale din \u539?\u259?ri ter\u539?e"/>
    <w:docVar w:name="LW_TYPE.DOC.CP" w:val="REGULAMENT AL PARLAMENTULUI EUROPEAN \u350?I AL CONSILIULUI"/>
  </w:docVars>
  <w:rsids>
    <w:rsidRoot w:val="00F97C7F"/>
    <w:rsid w:val="00066112"/>
    <w:rsid w:val="000B5188"/>
    <w:rsid w:val="000B7CEE"/>
    <w:rsid w:val="000D3B73"/>
    <w:rsid w:val="0011782E"/>
    <w:rsid w:val="00171635"/>
    <w:rsid w:val="00202ED3"/>
    <w:rsid w:val="00274A9A"/>
    <w:rsid w:val="0029393E"/>
    <w:rsid w:val="00296CBB"/>
    <w:rsid w:val="002D05A4"/>
    <w:rsid w:val="002D5F6E"/>
    <w:rsid w:val="002E14CF"/>
    <w:rsid w:val="00301C02"/>
    <w:rsid w:val="00312130"/>
    <w:rsid w:val="0034445E"/>
    <w:rsid w:val="003C33DE"/>
    <w:rsid w:val="00517968"/>
    <w:rsid w:val="00583226"/>
    <w:rsid w:val="00611094"/>
    <w:rsid w:val="00673264"/>
    <w:rsid w:val="006B1E4D"/>
    <w:rsid w:val="006C3B34"/>
    <w:rsid w:val="006D4CE6"/>
    <w:rsid w:val="00715D61"/>
    <w:rsid w:val="007A1A92"/>
    <w:rsid w:val="007A7C2F"/>
    <w:rsid w:val="007D53B6"/>
    <w:rsid w:val="008B1AF6"/>
    <w:rsid w:val="008B2642"/>
    <w:rsid w:val="008D40D8"/>
    <w:rsid w:val="008D5730"/>
    <w:rsid w:val="00935814"/>
    <w:rsid w:val="009D2948"/>
    <w:rsid w:val="00A2102B"/>
    <w:rsid w:val="00AF5EB7"/>
    <w:rsid w:val="00B04DCA"/>
    <w:rsid w:val="00B376BA"/>
    <w:rsid w:val="00B44CFD"/>
    <w:rsid w:val="00BB3697"/>
    <w:rsid w:val="00BF6E58"/>
    <w:rsid w:val="00C120E1"/>
    <w:rsid w:val="00C45928"/>
    <w:rsid w:val="00C605F5"/>
    <w:rsid w:val="00CB24A5"/>
    <w:rsid w:val="00CE1AF7"/>
    <w:rsid w:val="00D515CF"/>
    <w:rsid w:val="00D62C38"/>
    <w:rsid w:val="00DA34EE"/>
    <w:rsid w:val="00E064B8"/>
    <w:rsid w:val="00E63EB8"/>
    <w:rsid w:val="00EA7470"/>
    <w:rsid w:val="00F675F2"/>
    <w:rsid w:val="00F87183"/>
    <w:rsid w:val="00F95475"/>
    <w:rsid w:val="00F97C7F"/>
    <w:rsid w:val="00FF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rsid w:val="007D53B6"/>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7C7F"/>
    <w:rPr>
      <w:color w:val="0000FF"/>
      <w:u w:val="single"/>
    </w:rPr>
  </w:style>
  <w:style w:type="character" w:customStyle="1" w:styleId="None">
    <w:name w:val="None"/>
    <w:rsid w:val="00F97C7F"/>
  </w:style>
  <w:style w:type="character" w:customStyle="1" w:styleId="Hyperlink2">
    <w:name w:val="Hyperlink.2"/>
    <w:basedOn w:val="Hyperlink"/>
    <w:rsid w:val="00F97C7F"/>
    <w:rPr>
      <w:rFonts w:cs="Times New Roman"/>
      <w:color w:val="0000FF"/>
      <w:u w:val="single" w:color="0000FF"/>
      <w:lang w:val="en-GB" w:eastAsia="en-GB"/>
    </w:rPr>
  </w:style>
  <w:style w:type="character" w:customStyle="1" w:styleId="Hyperlink0">
    <w:name w:val="Hyperlink.0"/>
    <w:basedOn w:val="None"/>
    <w:rsid w:val="00F97C7F"/>
  </w:style>
  <w:style w:type="character" w:customStyle="1" w:styleId="Hyperlink1">
    <w:name w:val="Hyperlink.1"/>
    <w:basedOn w:val="None"/>
    <w:rsid w:val="00F97C7F"/>
    <w:rPr>
      <w:rFonts w:ascii="Times New Roman" w:eastAsia="Times New Roman" w:hAnsi="Times New Roman" w:cs="Times New Roman"/>
      <w:color w:val="0000FF"/>
      <w:u w:val="single" w:color="0000FF"/>
      <w:lang w:val="en-US"/>
    </w:rPr>
  </w:style>
  <w:style w:type="character" w:customStyle="1" w:styleId="Hyperlink3">
    <w:name w:val="Hyperlink.3"/>
    <w:basedOn w:val="None"/>
    <w:rsid w:val="00F97C7F"/>
    <w:rPr>
      <w:rFonts w:ascii="Times New Roman" w:eastAsia="Times New Roman" w:hAnsi="Times New Roman" w:cs="Times New Roman"/>
      <w:color w:val="0000FF"/>
      <w:u w:val="single" w:color="0000FF"/>
    </w:rPr>
  </w:style>
  <w:style w:type="character" w:customStyle="1" w:styleId="Hyperlink4">
    <w:name w:val="Hyperlink.4"/>
    <w:basedOn w:val="None"/>
    <w:rsid w:val="00F97C7F"/>
    <w:rPr>
      <w:color w:val="0000FF"/>
      <w:u w:val="single" w:color="0000FF"/>
      <w:lang w:val="en-US"/>
    </w:rPr>
  </w:style>
  <w:style w:type="character" w:customStyle="1" w:styleId="Hyperlink5">
    <w:name w:val="Hyperlink.5"/>
    <w:basedOn w:val="None"/>
    <w:rsid w:val="00F97C7F"/>
    <w:rPr>
      <w:color w:val="0000FF"/>
      <w:u w:val="single" w:color="0000FF"/>
    </w:rPr>
  </w:style>
  <w:style w:type="paragraph" w:styleId="ListNumber">
    <w:name w:val="List Number"/>
    <w:basedOn w:val="Normal"/>
    <w:rsid w:val="00F97C7F"/>
    <w:pPr>
      <w:numPr>
        <w:numId w:val="4"/>
      </w:numPr>
    </w:pPr>
    <w:rPr>
      <w:rFonts w:eastAsia="Times New Roman"/>
      <w:lang w:eastAsia="de-DE"/>
    </w:rPr>
  </w:style>
  <w:style w:type="paragraph" w:customStyle="1" w:styleId="ListBullet1">
    <w:name w:val="List Bullet 1"/>
    <w:basedOn w:val="Normal"/>
    <w:rsid w:val="00F97C7F"/>
    <w:pPr>
      <w:numPr>
        <w:numId w:val="2"/>
      </w:numPr>
    </w:pPr>
    <w:rPr>
      <w:rFonts w:eastAsia="Times New Roman"/>
      <w:lang w:eastAsia="de-DE"/>
    </w:rPr>
  </w:style>
  <w:style w:type="paragraph" w:customStyle="1" w:styleId="ListDash2">
    <w:name w:val="List Dash 2"/>
    <w:basedOn w:val="Normal"/>
    <w:rsid w:val="00F97C7F"/>
    <w:pPr>
      <w:numPr>
        <w:numId w:val="3"/>
      </w:numPr>
    </w:pPr>
    <w:rPr>
      <w:rFonts w:eastAsia="Times New Roman"/>
      <w:lang w:eastAsia="de-DE"/>
    </w:rPr>
  </w:style>
  <w:style w:type="paragraph" w:customStyle="1" w:styleId="ListNumberLevel2">
    <w:name w:val="List Number (Level 2)"/>
    <w:basedOn w:val="Normal"/>
    <w:rsid w:val="00F97C7F"/>
    <w:pPr>
      <w:numPr>
        <w:ilvl w:val="1"/>
        <w:numId w:val="4"/>
      </w:numPr>
    </w:pPr>
    <w:rPr>
      <w:rFonts w:eastAsia="Times New Roman"/>
      <w:lang w:eastAsia="de-DE"/>
    </w:rPr>
  </w:style>
  <w:style w:type="paragraph" w:customStyle="1" w:styleId="ListNumberLevel3">
    <w:name w:val="List Number (Level 3)"/>
    <w:basedOn w:val="Normal"/>
    <w:rsid w:val="00F97C7F"/>
    <w:pPr>
      <w:numPr>
        <w:ilvl w:val="2"/>
        <w:numId w:val="4"/>
      </w:numPr>
    </w:pPr>
    <w:rPr>
      <w:rFonts w:eastAsia="Times New Roman"/>
      <w:lang w:eastAsia="de-DE"/>
    </w:rPr>
  </w:style>
  <w:style w:type="paragraph" w:customStyle="1" w:styleId="ListNumberLevel4">
    <w:name w:val="List Number (Level 4)"/>
    <w:basedOn w:val="Normal"/>
    <w:rsid w:val="00F97C7F"/>
    <w:pPr>
      <w:numPr>
        <w:ilvl w:val="3"/>
        <w:numId w:val="4"/>
      </w:numPr>
    </w:pPr>
    <w:rPr>
      <w:rFonts w:eastAsia="Times New Roman"/>
      <w:lang w:eastAsia="de-DE"/>
    </w:rPr>
  </w:style>
  <w:style w:type="paragraph" w:styleId="ListBullet">
    <w:name w:val="List Bullet"/>
    <w:basedOn w:val="Normal"/>
    <w:uiPriority w:val="99"/>
    <w:rsid w:val="00F97C7F"/>
    <w:pPr>
      <w:numPr>
        <w:numId w:val="5"/>
      </w:numPr>
    </w:pPr>
    <w:rPr>
      <w:rFonts w:eastAsia="Times New Roman"/>
      <w:lang w:val="fr-FR" w:eastAsia="en-GB"/>
    </w:rPr>
  </w:style>
  <w:style w:type="paragraph" w:styleId="ListBullet2">
    <w:name w:val="List Bullet 2"/>
    <w:basedOn w:val="Normal"/>
    <w:uiPriority w:val="99"/>
    <w:rsid w:val="00F97C7F"/>
    <w:pPr>
      <w:numPr>
        <w:numId w:val="6"/>
      </w:numPr>
    </w:pPr>
    <w:rPr>
      <w:rFonts w:eastAsia="Times New Roman"/>
      <w:lang w:val="fr-FR" w:eastAsia="en-GB"/>
    </w:rPr>
  </w:style>
  <w:style w:type="paragraph" w:customStyle="1" w:styleId="ListDash">
    <w:name w:val="List Dash"/>
    <w:basedOn w:val="Normal"/>
    <w:rsid w:val="00F97C7F"/>
    <w:pPr>
      <w:numPr>
        <w:numId w:val="7"/>
      </w:numPr>
    </w:pPr>
    <w:rPr>
      <w:rFonts w:eastAsia="Times New Roman"/>
      <w:lang w:eastAsia="en-GB"/>
    </w:rPr>
  </w:style>
  <w:style w:type="character" w:styleId="CommentReference">
    <w:name w:val="annotation reference"/>
    <w:uiPriority w:val="99"/>
    <w:rsid w:val="00F97C7F"/>
    <w:rPr>
      <w:rFonts w:cs="Times New Roman"/>
      <w:sz w:val="16"/>
      <w:szCs w:val="16"/>
      <w:lang w:val="en-GB" w:eastAsia="en-GB"/>
    </w:rPr>
  </w:style>
  <w:style w:type="paragraph" w:styleId="CommentText">
    <w:name w:val="annotation text"/>
    <w:basedOn w:val="Normal"/>
    <w:link w:val="CommentTextChar"/>
    <w:uiPriority w:val="99"/>
    <w:rsid w:val="00F97C7F"/>
    <w:rPr>
      <w:rFonts w:eastAsia="Times New Roman"/>
      <w:sz w:val="20"/>
      <w:lang w:eastAsia="en-GB"/>
    </w:rPr>
  </w:style>
  <w:style w:type="character" w:customStyle="1" w:styleId="CommentTextChar">
    <w:name w:val="Comment Text Char"/>
    <w:basedOn w:val="DefaultParagraphFont"/>
    <w:link w:val="CommentText"/>
    <w:uiPriority w:val="99"/>
    <w:rsid w:val="00F97C7F"/>
    <w:rPr>
      <w:rFonts w:ascii="Times New Roman" w:eastAsia="Times New Roman" w:hAnsi="Times New Roman" w:cs="Times New Roman"/>
      <w:sz w:val="20"/>
      <w:lang w:val="en-GB" w:eastAsia="en-GB"/>
    </w:rPr>
  </w:style>
  <w:style w:type="paragraph" w:styleId="BalloonText">
    <w:name w:val="Balloon Text"/>
    <w:basedOn w:val="Normal"/>
    <w:link w:val="BalloonTextChar"/>
    <w:uiPriority w:val="99"/>
    <w:rsid w:val="00F97C7F"/>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F97C7F"/>
    <w:rPr>
      <w:rFonts w:ascii="Tahoma" w:eastAsia="Times New Roman" w:hAnsi="Tahoma" w:cs="Tahoma"/>
      <w:sz w:val="16"/>
      <w:szCs w:val="16"/>
      <w:lang w:val="en-GB" w:eastAsia="en-GB"/>
    </w:rPr>
  </w:style>
  <w:style w:type="paragraph" w:styleId="TableofFigures">
    <w:name w:val="table of figures"/>
    <w:basedOn w:val="Normal"/>
    <w:next w:val="Normal"/>
    <w:rsid w:val="00F97C7F"/>
    <w:rPr>
      <w:rFonts w:eastAsia="Times New Roman"/>
      <w:lang w:eastAsia="en-GB"/>
    </w:rPr>
  </w:style>
  <w:style w:type="paragraph" w:styleId="ListBullet3">
    <w:name w:val="List Bullet 3"/>
    <w:basedOn w:val="Normal"/>
    <w:uiPriority w:val="99"/>
    <w:rsid w:val="00F97C7F"/>
    <w:pPr>
      <w:numPr>
        <w:numId w:val="8"/>
      </w:numPr>
      <w:contextualSpacing/>
    </w:pPr>
    <w:rPr>
      <w:rFonts w:eastAsia="Times New Roman"/>
      <w:lang w:eastAsia="en-GB"/>
    </w:rPr>
  </w:style>
  <w:style w:type="paragraph" w:styleId="ListBullet4">
    <w:name w:val="List Bullet 4"/>
    <w:basedOn w:val="Normal"/>
    <w:uiPriority w:val="99"/>
    <w:rsid w:val="00F97C7F"/>
    <w:pPr>
      <w:numPr>
        <w:numId w:val="9"/>
      </w:numPr>
      <w:contextualSpacing/>
    </w:pPr>
    <w:rPr>
      <w:rFonts w:eastAsia="Times New Roman"/>
      <w:lang w:eastAsia="en-GB"/>
    </w:rPr>
  </w:style>
  <w:style w:type="paragraph" w:styleId="ListNumber2">
    <w:name w:val="List Number 2"/>
    <w:basedOn w:val="Normal"/>
    <w:rsid w:val="00F97C7F"/>
    <w:pPr>
      <w:numPr>
        <w:numId w:val="10"/>
      </w:numPr>
      <w:contextualSpacing/>
    </w:pPr>
    <w:rPr>
      <w:rFonts w:eastAsia="Times New Roman"/>
      <w:lang w:eastAsia="en-GB"/>
    </w:rPr>
  </w:style>
  <w:style w:type="paragraph" w:styleId="ListNumber3">
    <w:name w:val="List Number 3"/>
    <w:basedOn w:val="Normal"/>
    <w:rsid w:val="00F97C7F"/>
    <w:pPr>
      <w:numPr>
        <w:numId w:val="11"/>
      </w:numPr>
      <w:contextualSpacing/>
    </w:pPr>
    <w:rPr>
      <w:rFonts w:eastAsia="Times New Roman"/>
      <w:lang w:eastAsia="en-GB"/>
    </w:rPr>
  </w:style>
  <w:style w:type="paragraph" w:styleId="ListNumber4">
    <w:name w:val="List Number 4"/>
    <w:basedOn w:val="Normal"/>
    <w:rsid w:val="00F97C7F"/>
    <w:pPr>
      <w:numPr>
        <w:numId w:val="12"/>
      </w:numPr>
      <w:contextualSpacing/>
    </w:pPr>
    <w:rPr>
      <w:rFonts w:eastAsia="Times New Roman"/>
      <w:lang w:eastAsia="en-GB"/>
    </w:rPr>
  </w:style>
  <w:style w:type="paragraph" w:styleId="CommentSubject">
    <w:name w:val="annotation subject"/>
    <w:basedOn w:val="CommentText"/>
    <w:next w:val="CommentText"/>
    <w:link w:val="CommentSubjectChar"/>
    <w:uiPriority w:val="99"/>
    <w:rsid w:val="00F97C7F"/>
    <w:rPr>
      <w:b/>
      <w:bCs/>
    </w:rPr>
  </w:style>
  <w:style w:type="character" w:customStyle="1" w:styleId="CommentSubjectChar">
    <w:name w:val="Comment Subject Char"/>
    <w:basedOn w:val="CommentTextChar"/>
    <w:link w:val="CommentSubject"/>
    <w:uiPriority w:val="99"/>
    <w:rsid w:val="00F97C7F"/>
    <w:rPr>
      <w:rFonts w:ascii="Times New Roman" w:eastAsia="Times New Roman" w:hAnsi="Times New Roman" w:cs="Times New Roman"/>
      <w:b/>
      <w:bCs/>
      <w:sz w:val="20"/>
      <w:lang w:val="en-GB" w:eastAsia="en-GB"/>
    </w:rPr>
  </w:style>
  <w:style w:type="character" w:styleId="FollowedHyperlink">
    <w:name w:val="FollowedHyperlink"/>
    <w:rsid w:val="00F97C7F"/>
    <w:rPr>
      <w:color w:val="800080"/>
      <w:u w:val="single"/>
    </w:rPr>
  </w:style>
  <w:style w:type="paragraph" w:customStyle="1" w:styleId="Default">
    <w:name w:val="Default"/>
    <w:rsid w:val="00F97C7F"/>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BodyA">
    <w:name w:val="Body A"/>
    <w:rsid w:val="00F97C7F"/>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numbering" w:customStyle="1" w:styleId="ImportedStyle9">
    <w:name w:val="Imported Style 9"/>
    <w:rsid w:val="00F97C7F"/>
    <w:pPr>
      <w:numPr>
        <w:numId w:val="13"/>
      </w:numPr>
    </w:pPr>
  </w:style>
  <w:style w:type="paragraph" w:styleId="Revision">
    <w:name w:val="Revision"/>
    <w:hidden/>
    <w:uiPriority w:val="99"/>
    <w:semiHidden/>
    <w:rsid w:val="00F97C7F"/>
    <w:pPr>
      <w:spacing w:after="0" w:line="240" w:lineRule="auto"/>
    </w:pPr>
    <w:rPr>
      <w:rFonts w:ascii="Times New Roman" w:eastAsia="Times New Roman" w:hAnsi="Times New Roman" w:cs="Times New Roman"/>
      <w:sz w:val="24"/>
      <w:lang w:val="en-GB" w:eastAsia="en-GB"/>
    </w:rPr>
  </w:style>
  <w:style w:type="paragraph" w:customStyle="1" w:styleId="Body">
    <w:name w:val="Body"/>
    <w:rsid w:val="00F97C7F"/>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F97C7F"/>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rsid w:val="00F97C7F"/>
    <w:pPr>
      <w:autoSpaceDE w:val="0"/>
      <w:autoSpaceDN w:val="0"/>
      <w:adjustRightInd w:val="0"/>
      <w:spacing w:before="0" w:after="0"/>
      <w:jc w:val="left"/>
    </w:pPr>
    <w:rPr>
      <w:szCs w:val="24"/>
    </w:rPr>
  </w:style>
  <w:style w:type="paragraph" w:customStyle="1" w:styleId="ListDash1">
    <w:name w:val="List Dash 1"/>
    <w:basedOn w:val="Normal"/>
    <w:qFormat/>
    <w:rsid w:val="002D5F6E"/>
    <w:pPr>
      <w:numPr>
        <w:numId w:val="17"/>
      </w:numPr>
    </w:pPr>
    <w:rPr>
      <w:rFonts w:eastAsia="Times New Roman"/>
      <w:lang w:eastAsia="de-DE"/>
    </w:rPr>
  </w:style>
  <w:style w:type="paragraph" w:styleId="Caption">
    <w:name w:val="caption"/>
    <w:basedOn w:val="Normal"/>
    <w:next w:val="Normal"/>
    <w:unhideWhenUsed/>
    <w:qFormat/>
    <w:rsid w:val="002D5F6E"/>
    <w:pPr>
      <w:spacing w:before="0" w:after="200"/>
    </w:pPr>
    <w:rPr>
      <w:b/>
      <w:bCs/>
      <w:color w:val="4F81BD" w:themeColor="accent1"/>
      <w:sz w:val="18"/>
      <w:szCs w:val="18"/>
    </w:rPr>
  </w:style>
  <w:style w:type="character" w:styleId="Strong">
    <w:name w:val="Strong"/>
    <w:basedOn w:val="DefaultParagraphFont"/>
    <w:uiPriority w:val="22"/>
    <w:qFormat/>
    <w:rsid w:val="002D5F6E"/>
    <w:rPr>
      <w:b/>
      <w:bCs/>
    </w:rPr>
  </w:style>
  <w:style w:type="paragraph" w:styleId="ListParagraph">
    <w:name w:val="List Paragraph"/>
    <w:basedOn w:val="Normal"/>
    <w:link w:val="ListParagraphChar"/>
    <w:uiPriority w:val="34"/>
    <w:qFormat/>
    <w:rsid w:val="002D5F6E"/>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sid w:val="002D5F6E"/>
    <w:rPr>
      <w:rFonts w:ascii="Calibri" w:eastAsia="Times New Roman" w:hAnsi="Calibri" w:cs="Times New Roman"/>
      <w:lang w:val="en-GB"/>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2"/>
      </w:numPr>
    </w:pPr>
  </w:style>
  <w:style w:type="paragraph" w:customStyle="1" w:styleId="Tiret1">
    <w:name w:val="Tiret 1"/>
    <w:basedOn w:val="Point1"/>
    <w:rsid w:val="007D53B6"/>
    <w:pPr>
      <w:numPr>
        <w:numId w:val="33"/>
      </w:numPr>
    </w:pPr>
  </w:style>
  <w:style w:type="paragraph" w:customStyle="1" w:styleId="Tiret2">
    <w:name w:val="Tiret 2"/>
    <w:basedOn w:val="Point2"/>
    <w:rsid w:val="007D53B6"/>
    <w:pPr>
      <w:numPr>
        <w:numId w:val="34"/>
      </w:numPr>
    </w:pPr>
  </w:style>
  <w:style w:type="paragraph" w:customStyle="1" w:styleId="Tiret3">
    <w:name w:val="Tiret 3"/>
    <w:basedOn w:val="Point3"/>
    <w:rsid w:val="007D53B6"/>
    <w:pPr>
      <w:numPr>
        <w:numId w:val="35"/>
      </w:numPr>
    </w:pPr>
  </w:style>
  <w:style w:type="paragraph" w:customStyle="1" w:styleId="Tiret4">
    <w:name w:val="Tiret 4"/>
    <w:basedOn w:val="Point4"/>
    <w:rsid w:val="007D53B6"/>
    <w:pPr>
      <w:numPr>
        <w:numId w:val="36"/>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7"/>
      </w:numPr>
    </w:pPr>
  </w:style>
  <w:style w:type="paragraph" w:customStyle="1" w:styleId="NumPar2">
    <w:name w:val="NumPar 2"/>
    <w:basedOn w:val="Normal"/>
    <w:next w:val="Text1"/>
    <w:rsid w:val="007D53B6"/>
    <w:pPr>
      <w:numPr>
        <w:ilvl w:val="1"/>
        <w:numId w:val="37"/>
      </w:numPr>
    </w:pPr>
  </w:style>
  <w:style w:type="paragraph" w:customStyle="1" w:styleId="NumPar3">
    <w:name w:val="NumPar 3"/>
    <w:basedOn w:val="Normal"/>
    <w:next w:val="Text1"/>
    <w:rsid w:val="007D53B6"/>
    <w:pPr>
      <w:numPr>
        <w:ilvl w:val="2"/>
        <w:numId w:val="37"/>
      </w:numPr>
    </w:pPr>
  </w:style>
  <w:style w:type="paragraph" w:customStyle="1" w:styleId="NumPar4">
    <w:name w:val="NumPar 4"/>
    <w:basedOn w:val="Normal"/>
    <w:next w:val="Text1"/>
    <w:rsid w:val="007D53B6"/>
    <w:pPr>
      <w:numPr>
        <w:ilvl w:val="3"/>
        <w:numId w:val="37"/>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9"/>
      </w:numPr>
    </w:pPr>
  </w:style>
  <w:style w:type="paragraph" w:customStyle="1" w:styleId="Point1number">
    <w:name w:val="Point 1 (number)"/>
    <w:basedOn w:val="Normal"/>
    <w:rsid w:val="007D53B6"/>
    <w:pPr>
      <w:numPr>
        <w:ilvl w:val="2"/>
        <w:numId w:val="39"/>
      </w:numPr>
    </w:pPr>
  </w:style>
  <w:style w:type="paragraph" w:customStyle="1" w:styleId="Point2number">
    <w:name w:val="Point 2 (number)"/>
    <w:basedOn w:val="Normal"/>
    <w:rsid w:val="007D53B6"/>
    <w:pPr>
      <w:numPr>
        <w:ilvl w:val="4"/>
        <w:numId w:val="39"/>
      </w:numPr>
    </w:pPr>
  </w:style>
  <w:style w:type="paragraph" w:customStyle="1" w:styleId="Point3number">
    <w:name w:val="Point 3 (number)"/>
    <w:basedOn w:val="Normal"/>
    <w:rsid w:val="007D53B6"/>
    <w:pPr>
      <w:numPr>
        <w:ilvl w:val="6"/>
        <w:numId w:val="39"/>
      </w:numPr>
    </w:pPr>
  </w:style>
  <w:style w:type="paragraph" w:customStyle="1" w:styleId="Point0letter">
    <w:name w:val="Point 0 (letter)"/>
    <w:basedOn w:val="Normal"/>
    <w:rsid w:val="007D53B6"/>
    <w:pPr>
      <w:numPr>
        <w:ilvl w:val="1"/>
        <w:numId w:val="39"/>
      </w:numPr>
    </w:pPr>
  </w:style>
  <w:style w:type="paragraph" w:customStyle="1" w:styleId="Point1letter">
    <w:name w:val="Point 1 (letter)"/>
    <w:basedOn w:val="Normal"/>
    <w:rsid w:val="007D53B6"/>
    <w:pPr>
      <w:numPr>
        <w:ilvl w:val="3"/>
        <w:numId w:val="39"/>
      </w:numPr>
    </w:pPr>
  </w:style>
  <w:style w:type="paragraph" w:customStyle="1" w:styleId="Point2letter">
    <w:name w:val="Point 2 (letter)"/>
    <w:basedOn w:val="Normal"/>
    <w:rsid w:val="007D53B6"/>
    <w:pPr>
      <w:numPr>
        <w:ilvl w:val="5"/>
        <w:numId w:val="39"/>
      </w:numPr>
    </w:pPr>
  </w:style>
  <w:style w:type="paragraph" w:customStyle="1" w:styleId="Point3letter">
    <w:name w:val="Point 3 (letter)"/>
    <w:basedOn w:val="Normal"/>
    <w:rsid w:val="007D53B6"/>
    <w:pPr>
      <w:numPr>
        <w:ilvl w:val="7"/>
        <w:numId w:val="39"/>
      </w:numPr>
    </w:pPr>
  </w:style>
  <w:style w:type="paragraph" w:customStyle="1" w:styleId="Point4letter">
    <w:name w:val="Point 4 (letter)"/>
    <w:basedOn w:val="Normal"/>
    <w:rsid w:val="007D53B6"/>
    <w:pPr>
      <w:numPr>
        <w:ilvl w:val="8"/>
        <w:numId w:val="39"/>
      </w:numPr>
    </w:pPr>
  </w:style>
  <w:style w:type="paragraph" w:customStyle="1" w:styleId="Bullet0">
    <w:name w:val="Bullet 0"/>
    <w:basedOn w:val="Normal"/>
    <w:rsid w:val="007D53B6"/>
    <w:pPr>
      <w:numPr>
        <w:numId w:val="40"/>
      </w:numPr>
    </w:pPr>
  </w:style>
  <w:style w:type="paragraph" w:customStyle="1" w:styleId="Bullet1">
    <w:name w:val="Bullet 1"/>
    <w:basedOn w:val="Normal"/>
    <w:rsid w:val="007D53B6"/>
    <w:pPr>
      <w:numPr>
        <w:numId w:val="41"/>
      </w:numPr>
    </w:pPr>
  </w:style>
  <w:style w:type="paragraph" w:customStyle="1" w:styleId="Bullet2">
    <w:name w:val="Bullet 2"/>
    <w:basedOn w:val="Normal"/>
    <w:rsid w:val="007D53B6"/>
    <w:pPr>
      <w:numPr>
        <w:numId w:val="42"/>
      </w:numPr>
    </w:pPr>
  </w:style>
  <w:style w:type="paragraph" w:customStyle="1" w:styleId="Bullet3">
    <w:name w:val="Bullet 3"/>
    <w:basedOn w:val="Normal"/>
    <w:rsid w:val="007D53B6"/>
    <w:pPr>
      <w:numPr>
        <w:numId w:val="43"/>
      </w:numPr>
    </w:pPr>
  </w:style>
  <w:style w:type="paragraph" w:customStyle="1" w:styleId="Bullet4">
    <w:name w:val="Bullet 4"/>
    <w:basedOn w:val="Normal"/>
    <w:rsid w:val="007D53B6"/>
    <w:pPr>
      <w:numPr>
        <w:numId w:val="44"/>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5"/>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rsid w:val="007D53B6"/>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3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7C7F"/>
    <w:rPr>
      <w:color w:val="0000FF"/>
      <w:u w:val="single"/>
    </w:rPr>
  </w:style>
  <w:style w:type="character" w:customStyle="1" w:styleId="None">
    <w:name w:val="None"/>
    <w:rsid w:val="00F97C7F"/>
  </w:style>
  <w:style w:type="character" w:customStyle="1" w:styleId="Hyperlink2">
    <w:name w:val="Hyperlink.2"/>
    <w:basedOn w:val="Hyperlink"/>
    <w:rsid w:val="00F97C7F"/>
    <w:rPr>
      <w:rFonts w:cs="Times New Roman"/>
      <w:color w:val="0000FF"/>
      <w:u w:val="single" w:color="0000FF"/>
      <w:lang w:val="en-GB" w:eastAsia="en-GB"/>
    </w:rPr>
  </w:style>
  <w:style w:type="character" w:customStyle="1" w:styleId="Hyperlink0">
    <w:name w:val="Hyperlink.0"/>
    <w:basedOn w:val="None"/>
    <w:rsid w:val="00F97C7F"/>
  </w:style>
  <w:style w:type="character" w:customStyle="1" w:styleId="Hyperlink1">
    <w:name w:val="Hyperlink.1"/>
    <w:basedOn w:val="None"/>
    <w:rsid w:val="00F97C7F"/>
    <w:rPr>
      <w:rFonts w:ascii="Times New Roman" w:eastAsia="Times New Roman" w:hAnsi="Times New Roman" w:cs="Times New Roman"/>
      <w:color w:val="0000FF"/>
      <w:u w:val="single" w:color="0000FF"/>
      <w:lang w:val="en-US"/>
    </w:rPr>
  </w:style>
  <w:style w:type="character" w:customStyle="1" w:styleId="Hyperlink3">
    <w:name w:val="Hyperlink.3"/>
    <w:basedOn w:val="None"/>
    <w:rsid w:val="00F97C7F"/>
    <w:rPr>
      <w:rFonts w:ascii="Times New Roman" w:eastAsia="Times New Roman" w:hAnsi="Times New Roman" w:cs="Times New Roman"/>
      <w:color w:val="0000FF"/>
      <w:u w:val="single" w:color="0000FF"/>
    </w:rPr>
  </w:style>
  <w:style w:type="character" w:customStyle="1" w:styleId="Hyperlink4">
    <w:name w:val="Hyperlink.4"/>
    <w:basedOn w:val="None"/>
    <w:rsid w:val="00F97C7F"/>
    <w:rPr>
      <w:color w:val="0000FF"/>
      <w:u w:val="single" w:color="0000FF"/>
      <w:lang w:val="en-US"/>
    </w:rPr>
  </w:style>
  <w:style w:type="character" w:customStyle="1" w:styleId="Hyperlink5">
    <w:name w:val="Hyperlink.5"/>
    <w:basedOn w:val="None"/>
    <w:rsid w:val="00F97C7F"/>
    <w:rPr>
      <w:color w:val="0000FF"/>
      <w:u w:val="single" w:color="0000FF"/>
    </w:rPr>
  </w:style>
  <w:style w:type="paragraph" w:styleId="ListNumber">
    <w:name w:val="List Number"/>
    <w:basedOn w:val="Normal"/>
    <w:rsid w:val="00F97C7F"/>
    <w:pPr>
      <w:numPr>
        <w:numId w:val="4"/>
      </w:numPr>
    </w:pPr>
    <w:rPr>
      <w:rFonts w:eastAsia="Times New Roman"/>
      <w:lang w:eastAsia="de-DE"/>
    </w:rPr>
  </w:style>
  <w:style w:type="paragraph" w:customStyle="1" w:styleId="ListBullet1">
    <w:name w:val="List Bullet 1"/>
    <w:basedOn w:val="Normal"/>
    <w:rsid w:val="00F97C7F"/>
    <w:pPr>
      <w:numPr>
        <w:numId w:val="2"/>
      </w:numPr>
    </w:pPr>
    <w:rPr>
      <w:rFonts w:eastAsia="Times New Roman"/>
      <w:lang w:eastAsia="de-DE"/>
    </w:rPr>
  </w:style>
  <w:style w:type="paragraph" w:customStyle="1" w:styleId="ListDash2">
    <w:name w:val="List Dash 2"/>
    <w:basedOn w:val="Normal"/>
    <w:rsid w:val="00F97C7F"/>
    <w:pPr>
      <w:numPr>
        <w:numId w:val="3"/>
      </w:numPr>
    </w:pPr>
    <w:rPr>
      <w:rFonts w:eastAsia="Times New Roman"/>
      <w:lang w:eastAsia="de-DE"/>
    </w:rPr>
  </w:style>
  <w:style w:type="paragraph" w:customStyle="1" w:styleId="ListNumberLevel2">
    <w:name w:val="List Number (Level 2)"/>
    <w:basedOn w:val="Normal"/>
    <w:rsid w:val="00F97C7F"/>
    <w:pPr>
      <w:numPr>
        <w:ilvl w:val="1"/>
        <w:numId w:val="4"/>
      </w:numPr>
    </w:pPr>
    <w:rPr>
      <w:rFonts w:eastAsia="Times New Roman"/>
      <w:lang w:eastAsia="de-DE"/>
    </w:rPr>
  </w:style>
  <w:style w:type="paragraph" w:customStyle="1" w:styleId="ListNumberLevel3">
    <w:name w:val="List Number (Level 3)"/>
    <w:basedOn w:val="Normal"/>
    <w:rsid w:val="00F97C7F"/>
    <w:pPr>
      <w:numPr>
        <w:ilvl w:val="2"/>
        <w:numId w:val="4"/>
      </w:numPr>
    </w:pPr>
    <w:rPr>
      <w:rFonts w:eastAsia="Times New Roman"/>
      <w:lang w:eastAsia="de-DE"/>
    </w:rPr>
  </w:style>
  <w:style w:type="paragraph" w:customStyle="1" w:styleId="ListNumberLevel4">
    <w:name w:val="List Number (Level 4)"/>
    <w:basedOn w:val="Normal"/>
    <w:rsid w:val="00F97C7F"/>
    <w:pPr>
      <w:numPr>
        <w:ilvl w:val="3"/>
        <w:numId w:val="4"/>
      </w:numPr>
    </w:pPr>
    <w:rPr>
      <w:rFonts w:eastAsia="Times New Roman"/>
      <w:lang w:eastAsia="de-DE"/>
    </w:rPr>
  </w:style>
  <w:style w:type="paragraph" w:styleId="ListBullet">
    <w:name w:val="List Bullet"/>
    <w:basedOn w:val="Normal"/>
    <w:uiPriority w:val="99"/>
    <w:rsid w:val="00F97C7F"/>
    <w:pPr>
      <w:numPr>
        <w:numId w:val="5"/>
      </w:numPr>
    </w:pPr>
    <w:rPr>
      <w:rFonts w:eastAsia="Times New Roman"/>
      <w:lang w:val="fr-FR" w:eastAsia="en-GB"/>
    </w:rPr>
  </w:style>
  <w:style w:type="paragraph" w:styleId="ListBullet2">
    <w:name w:val="List Bullet 2"/>
    <w:basedOn w:val="Normal"/>
    <w:uiPriority w:val="99"/>
    <w:rsid w:val="00F97C7F"/>
    <w:pPr>
      <w:numPr>
        <w:numId w:val="6"/>
      </w:numPr>
    </w:pPr>
    <w:rPr>
      <w:rFonts w:eastAsia="Times New Roman"/>
      <w:lang w:val="fr-FR" w:eastAsia="en-GB"/>
    </w:rPr>
  </w:style>
  <w:style w:type="paragraph" w:customStyle="1" w:styleId="ListDash">
    <w:name w:val="List Dash"/>
    <w:basedOn w:val="Normal"/>
    <w:rsid w:val="00F97C7F"/>
    <w:pPr>
      <w:numPr>
        <w:numId w:val="7"/>
      </w:numPr>
    </w:pPr>
    <w:rPr>
      <w:rFonts w:eastAsia="Times New Roman"/>
      <w:lang w:eastAsia="en-GB"/>
    </w:rPr>
  </w:style>
  <w:style w:type="character" w:styleId="CommentReference">
    <w:name w:val="annotation reference"/>
    <w:uiPriority w:val="99"/>
    <w:rsid w:val="00F97C7F"/>
    <w:rPr>
      <w:rFonts w:cs="Times New Roman"/>
      <w:sz w:val="16"/>
      <w:szCs w:val="16"/>
      <w:lang w:val="en-GB" w:eastAsia="en-GB"/>
    </w:rPr>
  </w:style>
  <w:style w:type="paragraph" w:styleId="CommentText">
    <w:name w:val="annotation text"/>
    <w:basedOn w:val="Normal"/>
    <w:link w:val="CommentTextChar"/>
    <w:uiPriority w:val="99"/>
    <w:rsid w:val="00F97C7F"/>
    <w:rPr>
      <w:rFonts w:eastAsia="Times New Roman"/>
      <w:sz w:val="20"/>
      <w:lang w:eastAsia="en-GB"/>
    </w:rPr>
  </w:style>
  <w:style w:type="character" w:customStyle="1" w:styleId="CommentTextChar">
    <w:name w:val="Comment Text Char"/>
    <w:basedOn w:val="DefaultParagraphFont"/>
    <w:link w:val="CommentText"/>
    <w:uiPriority w:val="99"/>
    <w:rsid w:val="00F97C7F"/>
    <w:rPr>
      <w:rFonts w:ascii="Times New Roman" w:eastAsia="Times New Roman" w:hAnsi="Times New Roman" w:cs="Times New Roman"/>
      <w:sz w:val="20"/>
      <w:lang w:val="en-GB" w:eastAsia="en-GB"/>
    </w:rPr>
  </w:style>
  <w:style w:type="paragraph" w:styleId="BalloonText">
    <w:name w:val="Balloon Text"/>
    <w:basedOn w:val="Normal"/>
    <w:link w:val="BalloonTextChar"/>
    <w:uiPriority w:val="99"/>
    <w:rsid w:val="00F97C7F"/>
    <w:pPr>
      <w:spacing w:before="0" w:after="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F97C7F"/>
    <w:rPr>
      <w:rFonts w:ascii="Tahoma" w:eastAsia="Times New Roman" w:hAnsi="Tahoma" w:cs="Tahoma"/>
      <w:sz w:val="16"/>
      <w:szCs w:val="16"/>
      <w:lang w:val="en-GB" w:eastAsia="en-GB"/>
    </w:rPr>
  </w:style>
  <w:style w:type="paragraph" w:styleId="TableofFigures">
    <w:name w:val="table of figures"/>
    <w:basedOn w:val="Normal"/>
    <w:next w:val="Normal"/>
    <w:rsid w:val="00F97C7F"/>
    <w:rPr>
      <w:rFonts w:eastAsia="Times New Roman"/>
      <w:lang w:eastAsia="en-GB"/>
    </w:rPr>
  </w:style>
  <w:style w:type="paragraph" w:styleId="ListBullet3">
    <w:name w:val="List Bullet 3"/>
    <w:basedOn w:val="Normal"/>
    <w:uiPriority w:val="99"/>
    <w:rsid w:val="00F97C7F"/>
    <w:pPr>
      <w:numPr>
        <w:numId w:val="8"/>
      </w:numPr>
      <w:contextualSpacing/>
    </w:pPr>
    <w:rPr>
      <w:rFonts w:eastAsia="Times New Roman"/>
      <w:lang w:eastAsia="en-GB"/>
    </w:rPr>
  </w:style>
  <w:style w:type="paragraph" w:styleId="ListBullet4">
    <w:name w:val="List Bullet 4"/>
    <w:basedOn w:val="Normal"/>
    <w:uiPriority w:val="99"/>
    <w:rsid w:val="00F97C7F"/>
    <w:pPr>
      <w:numPr>
        <w:numId w:val="9"/>
      </w:numPr>
      <w:contextualSpacing/>
    </w:pPr>
    <w:rPr>
      <w:rFonts w:eastAsia="Times New Roman"/>
      <w:lang w:eastAsia="en-GB"/>
    </w:rPr>
  </w:style>
  <w:style w:type="paragraph" w:styleId="ListNumber2">
    <w:name w:val="List Number 2"/>
    <w:basedOn w:val="Normal"/>
    <w:rsid w:val="00F97C7F"/>
    <w:pPr>
      <w:numPr>
        <w:numId w:val="10"/>
      </w:numPr>
      <w:contextualSpacing/>
    </w:pPr>
    <w:rPr>
      <w:rFonts w:eastAsia="Times New Roman"/>
      <w:lang w:eastAsia="en-GB"/>
    </w:rPr>
  </w:style>
  <w:style w:type="paragraph" w:styleId="ListNumber3">
    <w:name w:val="List Number 3"/>
    <w:basedOn w:val="Normal"/>
    <w:rsid w:val="00F97C7F"/>
    <w:pPr>
      <w:numPr>
        <w:numId w:val="11"/>
      </w:numPr>
      <w:contextualSpacing/>
    </w:pPr>
    <w:rPr>
      <w:rFonts w:eastAsia="Times New Roman"/>
      <w:lang w:eastAsia="en-GB"/>
    </w:rPr>
  </w:style>
  <w:style w:type="paragraph" w:styleId="ListNumber4">
    <w:name w:val="List Number 4"/>
    <w:basedOn w:val="Normal"/>
    <w:rsid w:val="00F97C7F"/>
    <w:pPr>
      <w:numPr>
        <w:numId w:val="12"/>
      </w:numPr>
      <w:contextualSpacing/>
    </w:pPr>
    <w:rPr>
      <w:rFonts w:eastAsia="Times New Roman"/>
      <w:lang w:eastAsia="en-GB"/>
    </w:rPr>
  </w:style>
  <w:style w:type="paragraph" w:styleId="CommentSubject">
    <w:name w:val="annotation subject"/>
    <w:basedOn w:val="CommentText"/>
    <w:next w:val="CommentText"/>
    <w:link w:val="CommentSubjectChar"/>
    <w:uiPriority w:val="99"/>
    <w:rsid w:val="00F97C7F"/>
    <w:rPr>
      <w:b/>
      <w:bCs/>
    </w:rPr>
  </w:style>
  <w:style w:type="character" w:customStyle="1" w:styleId="CommentSubjectChar">
    <w:name w:val="Comment Subject Char"/>
    <w:basedOn w:val="CommentTextChar"/>
    <w:link w:val="CommentSubject"/>
    <w:uiPriority w:val="99"/>
    <w:rsid w:val="00F97C7F"/>
    <w:rPr>
      <w:rFonts w:ascii="Times New Roman" w:eastAsia="Times New Roman" w:hAnsi="Times New Roman" w:cs="Times New Roman"/>
      <w:b/>
      <w:bCs/>
      <w:sz w:val="20"/>
      <w:lang w:val="en-GB" w:eastAsia="en-GB"/>
    </w:rPr>
  </w:style>
  <w:style w:type="character" w:styleId="FollowedHyperlink">
    <w:name w:val="FollowedHyperlink"/>
    <w:rsid w:val="00F97C7F"/>
    <w:rPr>
      <w:color w:val="800080"/>
      <w:u w:val="single"/>
    </w:rPr>
  </w:style>
  <w:style w:type="paragraph" w:customStyle="1" w:styleId="Default">
    <w:name w:val="Default"/>
    <w:rsid w:val="00F97C7F"/>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customStyle="1" w:styleId="BodyA">
    <w:name w:val="Body A"/>
    <w:rsid w:val="00F97C7F"/>
    <w:pPr>
      <w:pBdr>
        <w:top w:val="nil"/>
        <w:left w:val="nil"/>
        <w:bottom w:val="nil"/>
        <w:right w:val="nil"/>
        <w:between w:val="nil"/>
        <w:bar w:val="nil"/>
      </w:pBdr>
      <w:jc w:val="both"/>
    </w:pPr>
    <w:rPr>
      <w:rFonts w:ascii="Calibri" w:eastAsia="Calibri" w:hAnsi="Calibri" w:cs="Calibri"/>
      <w:color w:val="000000"/>
      <w:u w:color="000000"/>
      <w:bdr w:val="nil"/>
      <w:lang w:val="fr-FR" w:eastAsia="en-GB"/>
    </w:rPr>
  </w:style>
  <w:style w:type="numbering" w:customStyle="1" w:styleId="ImportedStyle9">
    <w:name w:val="Imported Style 9"/>
    <w:rsid w:val="00F97C7F"/>
    <w:pPr>
      <w:numPr>
        <w:numId w:val="13"/>
      </w:numPr>
    </w:pPr>
  </w:style>
  <w:style w:type="paragraph" w:styleId="Revision">
    <w:name w:val="Revision"/>
    <w:hidden/>
    <w:uiPriority w:val="99"/>
    <w:semiHidden/>
    <w:rsid w:val="00F97C7F"/>
    <w:pPr>
      <w:spacing w:after="0" w:line="240" w:lineRule="auto"/>
    </w:pPr>
    <w:rPr>
      <w:rFonts w:ascii="Times New Roman" w:eastAsia="Times New Roman" w:hAnsi="Times New Roman" w:cs="Times New Roman"/>
      <w:sz w:val="24"/>
      <w:lang w:val="en-GB" w:eastAsia="en-GB"/>
    </w:rPr>
  </w:style>
  <w:style w:type="paragraph" w:customStyle="1" w:styleId="Body">
    <w:name w:val="Body"/>
    <w:rsid w:val="00F97C7F"/>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F97C7F"/>
    <w:pPr>
      <w:spacing w:before="100" w:beforeAutospacing="1" w:after="100" w:afterAutospacing="1"/>
      <w:jc w:val="left"/>
    </w:pPr>
    <w:rPr>
      <w:rFonts w:eastAsia="Times New Roman"/>
      <w:szCs w:val="24"/>
      <w:lang w:eastAsia="en-GB"/>
    </w:rPr>
  </w:style>
  <w:style w:type="paragraph" w:customStyle="1" w:styleId="CM4">
    <w:name w:val="CM4"/>
    <w:basedOn w:val="Normal"/>
    <w:next w:val="Normal"/>
    <w:uiPriority w:val="99"/>
    <w:rsid w:val="00F97C7F"/>
    <w:pPr>
      <w:autoSpaceDE w:val="0"/>
      <w:autoSpaceDN w:val="0"/>
      <w:adjustRightInd w:val="0"/>
      <w:spacing w:before="0" w:after="0"/>
      <w:jc w:val="left"/>
    </w:pPr>
    <w:rPr>
      <w:szCs w:val="24"/>
    </w:rPr>
  </w:style>
  <w:style w:type="paragraph" w:customStyle="1" w:styleId="ListDash1">
    <w:name w:val="List Dash 1"/>
    <w:basedOn w:val="Normal"/>
    <w:qFormat/>
    <w:rsid w:val="002D5F6E"/>
    <w:pPr>
      <w:numPr>
        <w:numId w:val="17"/>
      </w:numPr>
    </w:pPr>
    <w:rPr>
      <w:rFonts w:eastAsia="Times New Roman"/>
      <w:lang w:eastAsia="de-DE"/>
    </w:rPr>
  </w:style>
  <w:style w:type="paragraph" w:styleId="Caption">
    <w:name w:val="caption"/>
    <w:basedOn w:val="Normal"/>
    <w:next w:val="Normal"/>
    <w:unhideWhenUsed/>
    <w:qFormat/>
    <w:rsid w:val="002D5F6E"/>
    <w:pPr>
      <w:spacing w:before="0" w:after="200"/>
    </w:pPr>
    <w:rPr>
      <w:b/>
      <w:bCs/>
      <w:color w:val="4F81BD" w:themeColor="accent1"/>
      <w:sz w:val="18"/>
      <w:szCs w:val="18"/>
    </w:rPr>
  </w:style>
  <w:style w:type="character" w:styleId="Strong">
    <w:name w:val="Strong"/>
    <w:basedOn w:val="DefaultParagraphFont"/>
    <w:uiPriority w:val="22"/>
    <w:qFormat/>
    <w:rsid w:val="002D5F6E"/>
    <w:rPr>
      <w:b/>
      <w:bCs/>
    </w:rPr>
  </w:style>
  <w:style w:type="paragraph" w:styleId="ListParagraph">
    <w:name w:val="List Paragraph"/>
    <w:basedOn w:val="Normal"/>
    <w:link w:val="ListParagraphChar"/>
    <w:uiPriority w:val="34"/>
    <w:qFormat/>
    <w:rsid w:val="002D5F6E"/>
    <w:pPr>
      <w:spacing w:before="0" w:after="0"/>
      <w:ind w:left="720"/>
      <w:jc w:val="left"/>
    </w:pPr>
    <w:rPr>
      <w:rFonts w:ascii="Calibri" w:eastAsia="Times New Roman" w:hAnsi="Calibri"/>
      <w:sz w:val="22"/>
    </w:rPr>
  </w:style>
  <w:style w:type="character" w:customStyle="1" w:styleId="ListParagraphChar">
    <w:name w:val="List Paragraph Char"/>
    <w:basedOn w:val="DefaultParagraphFont"/>
    <w:link w:val="ListParagraph"/>
    <w:uiPriority w:val="34"/>
    <w:locked/>
    <w:rsid w:val="002D5F6E"/>
    <w:rPr>
      <w:rFonts w:ascii="Calibri" w:eastAsia="Times New Roman" w:hAnsi="Calibri" w:cs="Times New Roman"/>
      <w:lang w:val="en-GB"/>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32"/>
      </w:numPr>
    </w:pPr>
  </w:style>
  <w:style w:type="paragraph" w:customStyle="1" w:styleId="Tiret1">
    <w:name w:val="Tiret 1"/>
    <w:basedOn w:val="Point1"/>
    <w:rsid w:val="007D53B6"/>
    <w:pPr>
      <w:numPr>
        <w:numId w:val="33"/>
      </w:numPr>
    </w:pPr>
  </w:style>
  <w:style w:type="paragraph" w:customStyle="1" w:styleId="Tiret2">
    <w:name w:val="Tiret 2"/>
    <w:basedOn w:val="Point2"/>
    <w:rsid w:val="007D53B6"/>
    <w:pPr>
      <w:numPr>
        <w:numId w:val="34"/>
      </w:numPr>
    </w:pPr>
  </w:style>
  <w:style w:type="paragraph" w:customStyle="1" w:styleId="Tiret3">
    <w:name w:val="Tiret 3"/>
    <w:basedOn w:val="Point3"/>
    <w:rsid w:val="007D53B6"/>
    <w:pPr>
      <w:numPr>
        <w:numId w:val="35"/>
      </w:numPr>
    </w:pPr>
  </w:style>
  <w:style w:type="paragraph" w:customStyle="1" w:styleId="Tiret4">
    <w:name w:val="Tiret 4"/>
    <w:basedOn w:val="Point4"/>
    <w:rsid w:val="007D53B6"/>
    <w:pPr>
      <w:numPr>
        <w:numId w:val="36"/>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37"/>
      </w:numPr>
    </w:pPr>
  </w:style>
  <w:style w:type="paragraph" w:customStyle="1" w:styleId="NumPar2">
    <w:name w:val="NumPar 2"/>
    <w:basedOn w:val="Normal"/>
    <w:next w:val="Text1"/>
    <w:rsid w:val="007D53B6"/>
    <w:pPr>
      <w:numPr>
        <w:ilvl w:val="1"/>
        <w:numId w:val="37"/>
      </w:numPr>
    </w:pPr>
  </w:style>
  <w:style w:type="paragraph" w:customStyle="1" w:styleId="NumPar3">
    <w:name w:val="NumPar 3"/>
    <w:basedOn w:val="Normal"/>
    <w:next w:val="Text1"/>
    <w:rsid w:val="007D53B6"/>
    <w:pPr>
      <w:numPr>
        <w:ilvl w:val="2"/>
        <w:numId w:val="37"/>
      </w:numPr>
    </w:pPr>
  </w:style>
  <w:style w:type="paragraph" w:customStyle="1" w:styleId="NumPar4">
    <w:name w:val="NumPar 4"/>
    <w:basedOn w:val="Normal"/>
    <w:next w:val="Text1"/>
    <w:rsid w:val="007D53B6"/>
    <w:pPr>
      <w:numPr>
        <w:ilvl w:val="3"/>
        <w:numId w:val="37"/>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39"/>
      </w:numPr>
    </w:pPr>
  </w:style>
  <w:style w:type="paragraph" w:customStyle="1" w:styleId="Point1number">
    <w:name w:val="Point 1 (number)"/>
    <w:basedOn w:val="Normal"/>
    <w:rsid w:val="007D53B6"/>
    <w:pPr>
      <w:numPr>
        <w:ilvl w:val="2"/>
        <w:numId w:val="39"/>
      </w:numPr>
    </w:pPr>
  </w:style>
  <w:style w:type="paragraph" w:customStyle="1" w:styleId="Point2number">
    <w:name w:val="Point 2 (number)"/>
    <w:basedOn w:val="Normal"/>
    <w:rsid w:val="007D53B6"/>
    <w:pPr>
      <w:numPr>
        <w:ilvl w:val="4"/>
        <w:numId w:val="39"/>
      </w:numPr>
    </w:pPr>
  </w:style>
  <w:style w:type="paragraph" w:customStyle="1" w:styleId="Point3number">
    <w:name w:val="Point 3 (number)"/>
    <w:basedOn w:val="Normal"/>
    <w:rsid w:val="007D53B6"/>
    <w:pPr>
      <w:numPr>
        <w:ilvl w:val="6"/>
        <w:numId w:val="39"/>
      </w:numPr>
    </w:pPr>
  </w:style>
  <w:style w:type="paragraph" w:customStyle="1" w:styleId="Point0letter">
    <w:name w:val="Point 0 (letter)"/>
    <w:basedOn w:val="Normal"/>
    <w:rsid w:val="007D53B6"/>
    <w:pPr>
      <w:numPr>
        <w:ilvl w:val="1"/>
        <w:numId w:val="39"/>
      </w:numPr>
    </w:pPr>
  </w:style>
  <w:style w:type="paragraph" w:customStyle="1" w:styleId="Point1letter">
    <w:name w:val="Point 1 (letter)"/>
    <w:basedOn w:val="Normal"/>
    <w:rsid w:val="007D53B6"/>
    <w:pPr>
      <w:numPr>
        <w:ilvl w:val="3"/>
        <w:numId w:val="39"/>
      </w:numPr>
    </w:pPr>
  </w:style>
  <w:style w:type="paragraph" w:customStyle="1" w:styleId="Point2letter">
    <w:name w:val="Point 2 (letter)"/>
    <w:basedOn w:val="Normal"/>
    <w:rsid w:val="007D53B6"/>
    <w:pPr>
      <w:numPr>
        <w:ilvl w:val="5"/>
        <w:numId w:val="39"/>
      </w:numPr>
    </w:pPr>
  </w:style>
  <w:style w:type="paragraph" w:customStyle="1" w:styleId="Point3letter">
    <w:name w:val="Point 3 (letter)"/>
    <w:basedOn w:val="Normal"/>
    <w:rsid w:val="007D53B6"/>
    <w:pPr>
      <w:numPr>
        <w:ilvl w:val="7"/>
        <w:numId w:val="39"/>
      </w:numPr>
    </w:pPr>
  </w:style>
  <w:style w:type="paragraph" w:customStyle="1" w:styleId="Point4letter">
    <w:name w:val="Point 4 (letter)"/>
    <w:basedOn w:val="Normal"/>
    <w:rsid w:val="007D53B6"/>
    <w:pPr>
      <w:numPr>
        <w:ilvl w:val="8"/>
        <w:numId w:val="39"/>
      </w:numPr>
    </w:pPr>
  </w:style>
  <w:style w:type="paragraph" w:customStyle="1" w:styleId="Bullet0">
    <w:name w:val="Bullet 0"/>
    <w:basedOn w:val="Normal"/>
    <w:rsid w:val="007D53B6"/>
    <w:pPr>
      <w:numPr>
        <w:numId w:val="40"/>
      </w:numPr>
    </w:pPr>
  </w:style>
  <w:style w:type="paragraph" w:customStyle="1" w:styleId="Bullet1">
    <w:name w:val="Bullet 1"/>
    <w:basedOn w:val="Normal"/>
    <w:rsid w:val="007D53B6"/>
    <w:pPr>
      <w:numPr>
        <w:numId w:val="41"/>
      </w:numPr>
    </w:pPr>
  </w:style>
  <w:style w:type="paragraph" w:customStyle="1" w:styleId="Bullet2">
    <w:name w:val="Bullet 2"/>
    <w:basedOn w:val="Normal"/>
    <w:rsid w:val="007D53B6"/>
    <w:pPr>
      <w:numPr>
        <w:numId w:val="42"/>
      </w:numPr>
    </w:pPr>
  </w:style>
  <w:style w:type="paragraph" w:customStyle="1" w:styleId="Bullet3">
    <w:name w:val="Bullet 3"/>
    <w:basedOn w:val="Normal"/>
    <w:rsid w:val="007D53B6"/>
    <w:pPr>
      <w:numPr>
        <w:numId w:val="43"/>
      </w:numPr>
    </w:pPr>
  </w:style>
  <w:style w:type="paragraph" w:customStyle="1" w:styleId="Bullet4">
    <w:name w:val="Bullet 4"/>
    <w:basedOn w:val="Normal"/>
    <w:rsid w:val="007D53B6"/>
    <w:pPr>
      <w:numPr>
        <w:numId w:val="44"/>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45"/>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s>
</file>

<file path=word/_rels/footnotes.xml.rels><?xml version="1.0" encoding="UTF-8" standalone="yes"?>
<Relationships xmlns="http://schemas.openxmlformats.org/package/2006/relationships"><Relationship Id="rId8" Type="http://schemas.openxmlformats.org/officeDocument/2006/relationships/hyperlink" Target="http://www.fsb.org/wp-content/uploads/OTC-Derivatives-Market-Reforms-Eleventh-Progress-Report.pdf" TargetMode="External"/><Relationship Id="rId13" Type="http://schemas.openxmlformats.org/officeDocument/2006/relationships/hyperlink" Target="https://www.esma.europa.eu/sites/default/files/library/third-country_ccps_recognised_under_emir.pdf" TargetMode="External"/><Relationship Id="rId18" Type="http://schemas.openxmlformats.org/officeDocument/2006/relationships/hyperlink" Target="https://ec.europa.eu/info/sites/info/files/eu-equivalence-decisions-assessment-27022017_en.pdf" TargetMode="External"/><Relationship Id="rId26" Type="http://schemas.openxmlformats.org/officeDocument/2006/relationships/hyperlink" Target="https://ec.europa.eu/info/finance-consultations-2017-cmu-mid-term-review_en" TargetMode="External"/><Relationship Id="rId3" Type="http://schemas.openxmlformats.org/officeDocument/2006/relationships/hyperlink" Target="http://www.bis.org/publ/otc_hy1611.pdf" TargetMode="External"/><Relationship Id="rId21" Type="http://schemas.openxmlformats.org/officeDocument/2006/relationships/hyperlink" Target="https://www.esma.europa.eu/sites/default/files/library/2015/11/2015-20-_report_on_esma_review_of_ccp_colleges.pdf" TargetMode="External"/><Relationship Id="rId34" Type="http://schemas.openxmlformats.org/officeDocument/2006/relationships/hyperlink" Target="https://myintracomm.ec.europa.eu/budgweb/EN/man/budgmanag/Pages/budgmanag.aspx" TargetMode="External"/><Relationship Id="rId7" Type="http://schemas.openxmlformats.org/officeDocument/2006/relationships/hyperlink" Target="http://www.bis.org/publ/otc_hy1611.pdf" TargetMode="External"/><Relationship Id="rId12" Type="http://schemas.openxmlformats.org/officeDocument/2006/relationships/hyperlink" Target="http://eur-lex.europa.eu/legal-content/RO/TXT/HTML/?uri=CELEX:32016R2251&amp;from=RO" TargetMode="External"/><Relationship Id="rId17" Type="http://schemas.openxmlformats.org/officeDocument/2006/relationships/hyperlink" Target="https://ec.europa.eu/info/finance-consultations-2017-esas-operations_en" TargetMode="External"/><Relationship Id="rId25" Type="http://schemas.openxmlformats.org/officeDocument/2006/relationships/hyperlink" Target="https://ec.europa.eu/info/finance-consultations-2017-esas-operations_en" TargetMode="External"/><Relationship Id="rId33" Type="http://schemas.openxmlformats.org/officeDocument/2006/relationships/hyperlink" Target="https://ec.europa.eu/info/sites/info/files/eu-equivalence-decisions-assessment-27022017_en.pdf" TargetMode="External"/><Relationship Id="rId2" Type="http://schemas.openxmlformats.org/officeDocument/2006/relationships/hyperlink" Target="http://eur-lex.europa.eu/legal-content/RO/TXT/PDF/?uri=CELEX:02012R0648-20170103&amp;qid=1492599335405&amp;from=EN" TargetMode="External"/><Relationship Id="rId16" Type="http://schemas.openxmlformats.org/officeDocument/2006/relationships/hyperlink" Target="https://ec.europa.eu/info/sites/info/files/170504-emir-communication_en.pdf" TargetMode="External"/><Relationship Id="rId20" Type="http://schemas.openxmlformats.org/officeDocument/2006/relationships/hyperlink" Target="https://ec.europa.eu/info/sites/info/files/communication-cmu-mid-term-review-june2017_en.pdf" TargetMode="External"/><Relationship Id="rId29" Type="http://schemas.openxmlformats.org/officeDocument/2006/relationships/hyperlink" Target="https://www.esma.europa.eu/sites/default/files/library/third-country_ccps_recognised_under_emir.pdf" TargetMode="External"/><Relationship Id="rId1" Type="http://schemas.openxmlformats.org/officeDocument/2006/relationships/hyperlink" Target="http://www.g20.utoronto.ca/2009/2009communique0925.html" TargetMode="External"/><Relationship Id="rId6" Type="http://schemas.openxmlformats.org/officeDocument/2006/relationships/hyperlink" Target="http://www.bis.org/publ/otc_hy1611.pdf" TargetMode="External"/><Relationship Id="rId11" Type="http://schemas.openxmlformats.org/officeDocument/2006/relationships/hyperlink" Target="https://www.esma.europa.eu/sites/default/files/library/public_register_for_the_clearing_obligation_under_emir.pdf" TargetMode="External"/><Relationship Id="rId24" Type="http://schemas.openxmlformats.org/officeDocument/2006/relationships/hyperlink" Target="https://ec.europa.eu/info/sites/info/files/170504-emir-communication_en.pdf" TargetMode="External"/><Relationship Id="rId32" Type="http://schemas.openxmlformats.org/officeDocument/2006/relationships/hyperlink" Target="https://ec.europa.eu/info/finance-consultations-2017-esas-operations_en" TargetMode="External"/><Relationship Id="rId5" Type="http://schemas.openxmlformats.org/officeDocument/2006/relationships/hyperlink" Target="http://europa.eu/rapid/press-release_MEMO-16-3990_en.htm" TargetMode="External"/><Relationship Id="rId15" Type="http://schemas.openxmlformats.org/officeDocument/2006/relationships/hyperlink" Target="https://www.esma.europa.eu/sites/default/files/library/list_of_applicants_tc-ccps.pdf" TargetMode="External"/><Relationship Id="rId23" Type="http://schemas.openxmlformats.org/officeDocument/2006/relationships/hyperlink" Target="https://www.esma.europa.eu/sites/default/files/library/2015/11/esma-2015-1254_-_emir_review_report_no.4_on_other_issues.pdf" TargetMode="External"/><Relationship Id="rId28" Type="http://schemas.openxmlformats.org/officeDocument/2006/relationships/hyperlink" Target="https://www.esma.europa.eu/sites/default/files/library/2015/11/esma-2015-1254_-_emir_review_report_no.4_on_other_issues.pdf" TargetMode="External"/><Relationship Id="rId10" Type="http://schemas.openxmlformats.org/officeDocument/2006/relationships/hyperlink" Target="https://www.kfw.de/KfW-Group/Newsroom/Aktuelles/Pressemitteilungen/Pressemitteilungen-Details_407936.html" TargetMode="External"/><Relationship Id="rId19" Type="http://schemas.openxmlformats.org/officeDocument/2006/relationships/hyperlink" Target="https://ec.europa.eu/transparency/regdoc/rep/1/2016/RO/1-2016-601-RO-F1-1.PDF" TargetMode="External"/><Relationship Id="rId31" Type="http://schemas.openxmlformats.org/officeDocument/2006/relationships/hyperlink" Target="https://ec.europa.eu/transparency/regdoc/rep/1/2016/EN/1-2016-601-EN-F1-1.PDF" TargetMode="External"/><Relationship Id="rId4" Type="http://schemas.openxmlformats.org/officeDocument/2006/relationships/hyperlink" Target="http://www.bis.org/publ/otc_hy1611.pdf" TargetMode="External"/><Relationship Id="rId9" Type="http://schemas.openxmlformats.org/officeDocument/2006/relationships/hyperlink" Target="http://www.fsb.org/wp-content/uploads/OTC-Derivatives-Market-Reforms-Eleventh-Progress-Report.pdf" TargetMode="External"/><Relationship Id="rId14" Type="http://schemas.openxmlformats.org/officeDocument/2006/relationships/hyperlink" Target="https://www.oecd.org/g20/summits/cannes/Cannes%20Leaders%20Communiqu%C3%A9%204%20%20November%202011.pdf" TargetMode="External"/><Relationship Id="rId22" Type="http://schemas.openxmlformats.org/officeDocument/2006/relationships/hyperlink" Target="https://www.esma.europa.eu/sites/default/files/library/2016-1683_ccp_peer_review_report.pdf" TargetMode="External"/><Relationship Id="rId27" Type="http://schemas.openxmlformats.org/officeDocument/2006/relationships/hyperlink" Target="http://ec.europa.eu/finance/consultations/2015/emir-revision/index_en.htm" TargetMode="External"/><Relationship Id="rId30" Type="http://schemas.openxmlformats.org/officeDocument/2006/relationships/hyperlink" Target="https://ec.europa.eu/info/sites/info/files/170504-emir-communication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1</Pages>
  <Words>37157</Words>
  <Characters>211708</Characters>
  <Application>Microsoft Office Word</Application>
  <DocSecurity>0</DocSecurity>
  <Lines>4228</Lines>
  <Paragraphs>1167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Thalie (FISMA)</dc:creator>
  <cp:lastModifiedBy>POPOVICI Ioana (DGT)</cp:lastModifiedBy>
  <cp:revision>3</cp:revision>
  <dcterms:created xsi:type="dcterms:W3CDTF">2017-10-12T09:07:00Z</dcterms:created>
  <dcterms:modified xsi:type="dcterms:W3CDTF">2017-10-12T09:08:00Z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