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F25F9683-15D6-4DDA-B3E5-6A8671DB2055" style="width:451.25pt;height:365.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 PREDMET UREJANJA PREDLOGA</w:t>
      </w:r>
    </w:p>
    <w:p>
      <w:pPr>
        <w:rPr>
          <w:noProof/>
        </w:rPr>
      </w:pPr>
      <w:r>
        <w:rPr>
          <w:noProof/>
        </w:rPr>
        <w:t>Ta predlog se nanaša na sklep o določitvi stališča, ki naj se v imenu Unije zastopa v Skupnem odboru EU-EFTA za skupni tranzit (v nadaljnjem besedilu: Skupni odbor) v zvezi s predvidenim sprejetjem sklepa o spremembi dodatkov h Konvenciji z dne 20. maja 1987 o skupnem tranzitnem postopku (v nadaljnjem besedilu: Konvencija) s strani Skupnega odbora.</w:t>
      </w:r>
    </w:p>
    <w:p>
      <w:pPr>
        <w:pStyle w:val="ManualHeading1"/>
        <w:rPr>
          <w:noProof/>
        </w:rPr>
      </w:pPr>
      <w:r>
        <w:rPr>
          <w:noProof/>
        </w:rPr>
        <w:t xml:space="preserve">2. </w:t>
      </w:r>
      <w:r>
        <w:rPr>
          <w:noProof/>
        </w:rPr>
        <w:tab/>
        <w:t>OZADJE PREDLOGA</w:t>
      </w:r>
    </w:p>
    <w:p>
      <w:pPr>
        <w:pStyle w:val="ManualHeading2"/>
        <w:rPr>
          <w:rFonts w:eastAsia="Arial Unicode MS"/>
          <w:noProof/>
        </w:rPr>
      </w:pPr>
      <w:r>
        <w:rPr>
          <w:noProof/>
          <w:color w:val="000000"/>
          <w:u w:color="000000"/>
          <w:bdr w:val="nil"/>
        </w:rPr>
        <w:t xml:space="preserve">2.1 </w:t>
      </w:r>
      <w:r>
        <w:rPr>
          <w:strike/>
          <w:noProof/>
          <w:color w:val="000000"/>
          <w:u w:color="000000"/>
          <w:bdr w:val="nil"/>
        </w:rPr>
        <w:t>•</w:t>
      </w:r>
      <w:r>
        <w:rPr>
          <w:noProof/>
        </w:rPr>
        <w:tab/>
      </w:r>
      <w:r>
        <w:rPr>
          <w:noProof/>
          <w:color w:val="000000"/>
          <w:u w:color="000000"/>
          <w:bdr w:val="nil"/>
        </w:rPr>
        <w:t xml:space="preserve">Konvencija o skupnem tranzitnem postopku </w:t>
      </w:r>
    </w:p>
    <w:p>
      <w:pPr>
        <w:rPr>
          <w:noProof/>
        </w:rPr>
      </w:pPr>
      <w:r>
        <w:rPr>
          <w:noProof/>
        </w:rPr>
        <w:t>Namen konvencije je olajšanje pretoka blaga med Evropsko unijo in drugimi državami, ki so pogodbenice Konvencije. Veljati je začela 1. januarja 1988.</w:t>
      </w:r>
    </w:p>
    <w:p>
      <w:pPr>
        <w:rPr>
          <w:noProof/>
        </w:rPr>
      </w:pPr>
      <w:r>
        <w:rPr>
          <w:noProof/>
        </w:rPr>
        <w:t>Evropska unija je pogodbenica Konvencije.</w:t>
      </w:r>
    </w:p>
    <w:p>
      <w:pPr>
        <w:pStyle w:val="ManualHeading2"/>
        <w:rPr>
          <w:noProof/>
        </w:rPr>
      </w:pPr>
      <w:r>
        <w:rPr>
          <w:noProof/>
        </w:rPr>
        <w:t>2.2</w:t>
      </w:r>
      <w:r>
        <w:rPr>
          <w:noProof/>
        </w:rPr>
        <w:tab/>
        <w:t>Skupni odbor EU-EFTA</w:t>
      </w:r>
    </w:p>
    <w:p>
      <w:pPr>
        <w:rPr>
          <w:noProof/>
        </w:rPr>
      </w:pPr>
      <w:r>
        <w:rPr>
          <w:noProof/>
        </w:rPr>
        <w:t xml:space="preserve">Naloga Skupnega odbora EU-EFTA za skupni tranzit je upravljanje Konvencije in zagotavljanje njenega pravilnega izvajanja. Odbor s sklepi sprejema spremembe dodatkov h Konvenciji. </w:t>
      </w:r>
    </w:p>
    <w:p>
      <w:pPr>
        <w:rPr>
          <w:noProof/>
        </w:rPr>
      </w:pPr>
      <w:r>
        <w:rPr>
          <w:noProof/>
        </w:rPr>
        <w:t xml:space="preserve">Odločitve Skupnega odbora sprejemajo pogodbenice soglasno. </w:t>
      </w:r>
    </w:p>
    <w:p>
      <w:pPr>
        <w:pStyle w:val="ManualHeading2"/>
        <w:rPr>
          <w:noProof/>
        </w:rPr>
      </w:pPr>
      <w:r>
        <w:rPr>
          <w:noProof/>
        </w:rPr>
        <w:t>2.3</w:t>
      </w:r>
      <w:r>
        <w:rPr>
          <w:noProof/>
        </w:rPr>
        <w:tab/>
        <w:t>Sklep Skupnega odbora EU-EFTA</w:t>
      </w:r>
    </w:p>
    <w:p>
      <w:pPr>
        <w:rPr>
          <w:noProof/>
        </w:rPr>
      </w:pPr>
      <w:r>
        <w:rPr>
          <w:noProof/>
        </w:rPr>
        <w:t>Pričakuje se, da bo Skupni odbor na 30. zasedanju 5. decembra 2017 sprejel sklep o spremembi dodatkov h Konvenciji.</w:t>
      </w:r>
    </w:p>
    <w:p>
      <w:pPr>
        <w:rPr>
          <w:noProof/>
        </w:rPr>
      </w:pPr>
      <w:r>
        <w:rPr>
          <w:noProof/>
        </w:rPr>
        <w:t>Skupni tranzitni postopek je razširitev postopka tranzita Unije na pogodbenice Konvencije, ki niso članice Unije (v nadaljnjem besedilu: države skupnega tranzita). Posledično je bila Konvencija spremenjena s Sklepom Skupnega odbora EU/EFTA št. 1/2016 z dne 28. aprila 2016</w:t>
      </w:r>
      <w:r>
        <w:rPr>
          <w:rStyle w:val="FootnoteReference"/>
          <w:noProof/>
        </w:rPr>
        <w:footnoteReference w:id="1"/>
      </w:r>
      <w:r>
        <w:rPr>
          <w:noProof/>
        </w:rPr>
        <w:t>, da bi se uskladila z določbami v carinskem zakoniku Unije ter njegovih delegiranih in izvedbenih aktih glede tranzitnih postopkov in carinskega statusa unijskega blaga. Navedeni sklep je začel veljati 1. maja 2016.</w:t>
      </w:r>
    </w:p>
    <w:p>
      <w:pPr>
        <w:rPr>
          <w:noProof/>
        </w:rPr>
      </w:pPr>
      <w:r>
        <w:rPr>
          <w:noProof/>
        </w:rPr>
        <w:t xml:space="preserve">Nekatere določbe zakonodajnega svežnja carinskega zakonika Unije se bodo začele uporabljati po 1. maju 2016, upoštevajoč zahteve gospodarskih subjektov, naj jim bo na voljo dovolj časa, da se pripravijo na nova pravila, ter potrebo po posodobitvi ali uporabi ustreznih carinskih sistemov, ki naj bi bili predvidoma zaključeni v naslednjih nekaj letih. Kar zadeva tranzitni postopek, se bodo določbe v zvezi z uporabo elektronske prevozne listine (ETD) kot tranzitne deklaracije za letalski prevoz uporabljale najpozneje od 1. maja 2018, nekatere določbe o tranzitu pa se bodo začele uporabljati šele po posodobitvi elektronskega tranzitnega sistema. Kar zadeva carinski status unijskega blaga, se nekatere določbe še ne uporabljajo, saj je tudi zanje potrebna uporaba zadevnih elektronskih sistemov. </w:t>
      </w:r>
    </w:p>
    <w:p>
      <w:pPr>
        <w:rPr>
          <w:noProof/>
        </w:rPr>
      </w:pPr>
      <w:r>
        <w:rPr>
          <w:noProof/>
        </w:rPr>
        <w:t>Da bi torej državam skupnega tranzita zagotovili tudi dovolj časa za pripravo na izvajanje spremenjenih določb in dodatnih podatkovnih elementov, ki bodo potrebni, ko se bodo novi sistemi in določbe v celoti uporabljali v skladu s carinsko zakonodajo EU, je treba Konvencijo dodatno spremeniti, da bi jo v celoti uskladili z zakonodajnim svežnjem carinskega zakonika Unije.</w:t>
      </w:r>
    </w:p>
    <w:p>
      <w:pPr>
        <w:rPr>
          <w:noProof/>
        </w:rPr>
      </w:pPr>
      <w:r>
        <w:rPr>
          <w:noProof/>
        </w:rPr>
        <w:lastRenderedPageBreak/>
        <w:t>Postopek za določitev skupnega stališča EU o osnutku sklepa o nadaljnjih spremembah Konvencije bi moral potekati razmeroma nemoteno, saj vsebina temelji na pravilih EU, o katerih so se dogovorile države članice in ki so vključena v carinski zakonik Unije, ki je začel veljati 1. maja 2016.</w:t>
      </w:r>
    </w:p>
    <w:p>
      <w:pPr>
        <w:rPr>
          <w:noProof/>
        </w:rPr>
      </w:pPr>
      <w:r>
        <w:rPr>
          <w:noProof/>
        </w:rPr>
        <w:t>Komisija je pozvana, da sprejme osnutek sklepa in ga posreduje Svetu.</w:t>
      </w:r>
    </w:p>
    <w:p>
      <w:pPr>
        <w:rPr>
          <w:noProof/>
        </w:rPr>
      </w:pPr>
      <w:r>
        <w:rPr>
          <w:noProof/>
        </w:rPr>
        <w:t xml:space="preserve">Sklep Skupnega odbora o spremembi Konvencije bo zavezujoč za pogodbenice v skladu s členom 2 navedenega sklepa, ki določa: „Ta sklep začne veljati na dan sprejetja.“ </w:t>
      </w:r>
    </w:p>
    <w:p>
      <w:pPr>
        <w:rPr>
          <w:noProof/>
        </w:rPr>
      </w:pPr>
      <w:r>
        <w:rPr>
          <w:noProof/>
        </w:rPr>
        <w:t>V skladu s členom 15(3) Konvencije začnejo pogodbenice takšne sklepe izvajati v skladu s svojo zakonodajo.</w:t>
      </w:r>
    </w:p>
    <w:p>
      <w:pPr>
        <w:pStyle w:val="ManualHeading1"/>
        <w:rPr>
          <w:noProof/>
        </w:rPr>
      </w:pPr>
      <w:r>
        <w:rPr>
          <w:noProof/>
        </w:rPr>
        <w:t xml:space="preserve">3. </w:t>
      </w:r>
      <w:r>
        <w:rPr>
          <w:noProof/>
        </w:rPr>
        <w:tab/>
        <w:t>Stališče, ki se zastopa v imenu Unije</w:t>
      </w:r>
    </w:p>
    <w:p>
      <w:pPr>
        <w:rPr>
          <w:noProof/>
        </w:rPr>
      </w:pPr>
      <w:r>
        <w:rPr>
          <w:noProof/>
        </w:rPr>
        <w:t xml:space="preserve">Predlog spreminja določbe v dodatkih h Konvenciji in prilogah k navedenim dodatkom. S spremembami se predlaga uskladitev določb Konvencije z določbami v delegiranih in izvedbenih aktih carinskega zakonika Unije glede postopkov tranzita Unije in carinskega statusa unijskega blaga, ki bodo začele veljati šele na določene datume v prihodnosti. </w:t>
      </w:r>
    </w:p>
    <w:p>
      <w:pPr>
        <w:rPr>
          <w:noProof/>
        </w:rPr>
      </w:pPr>
      <w:r>
        <w:rPr>
          <w:noProof/>
        </w:rPr>
        <w:t>Cilj je izboljšanje delovanja skupnega tranzitnega postopka med pogodbenicami. Spremembe bi morale imeti znatne in oprijemljive koristi za gospodarske subjekte in carinske uprave, in sicer tako, da bi izboljšale jasnost in zagotovile nemoten prehod na nove elektronske postopke.</w:t>
      </w:r>
    </w:p>
    <w:p>
      <w:pPr>
        <w:rPr>
          <w:rFonts w:eastAsia="Arial Unicode MS"/>
          <w:noProof/>
        </w:rPr>
      </w:pPr>
      <w:r>
        <w:rPr>
          <w:noProof/>
        </w:rPr>
        <w:t>Predlagani instrument: Sklep Skupnega odbora EU-EFTA za skupni tranzitni postopek.</w:t>
      </w:r>
    </w:p>
    <w:p>
      <w:pPr>
        <w:rPr>
          <w:rFonts w:eastAsia="Arial Unicode MS"/>
          <w:noProof/>
        </w:rPr>
      </w:pPr>
      <w:r>
        <w:rPr>
          <w:noProof/>
        </w:rPr>
        <w:t>Ni drugih primernejših instrumentov.</w:t>
      </w:r>
    </w:p>
    <w:p>
      <w:pPr>
        <w:rPr>
          <w:rFonts w:eastAsia="Arial Unicode MS"/>
          <w:noProof/>
        </w:rPr>
      </w:pPr>
      <w:r>
        <w:rPr>
          <w:noProof/>
        </w:rPr>
        <w:t>Predlagani sklep je skladen s skupno politiko na področjih trgovine in prevoza.</w:t>
      </w:r>
    </w:p>
    <w:p>
      <w:pPr>
        <w:pStyle w:val="ManualHeading1"/>
        <w:rPr>
          <w:noProof/>
        </w:rPr>
      </w:pPr>
      <w:r>
        <w:rPr>
          <w:noProof/>
        </w:rPr>
        <w:t xml:space="preserve">4. </w:t>
      </w:r>
      <w:r>
        <w:rPr>
          <w:noProof/>
        </w:rPr>
        <w:tab/>
        <w:t xml:space="preserve">PRAVNA PODLAGA  </w:t>
      </w:r>
    </w:p>
    <w:p>
      <w:pPr>
        <w:pStyle w:val="ManualHeading2"/>
        <w:rPr>
          <w:rFonts w:eastAsia="Arial Unicode MS"/>
          <w:noProof/>
          <w:u w:color="000000"/>
          <w:bdr w:val="nil"/>
        </w:rPr>
      </w:pPr>
      <w:r>
        <w:rPr>
          <w:noProof/>
        </w:rPr>
        <w:t>4.1 •</w:t>
      </w:r>
      <w:r>
        <w:rPr>
          <w:noProof/>
        </w:rPr>
        <w:tab/>
        <w:t>Postopkovni pravni vidiki</w:t>
      </w:r>
    </w:p>
    <w:p>
      <w:pPr>
        <w:pStyle w:val="ManualHeading3"/>
        <w:rPr>
          <w:noProof/>
        </w:rPr>
      </w:pPr>
      <w:r>
        <w:rPr>
          <w:noProof/>
        </w:rPr>
        <w:t>4.1.1 Načela</w:t>
      </w:r>
    </w:p>
    <w:p>
      <w:pPr>
        <w:rPr>
          <w:noProof/>
        </w:rPr>
      </w:pPr>
      <w:r>
        <w:rPr>
          <w:noProof/>
        </w:rPr>
        <w:t>V členu 218(9) Pogodbe o delovanju Evropske unije (PDEU) so predvideni sklepi o določitvi „stališč, ki naj se v imenu Unije zastopajo v organu, ustanovljenem s sporazumom, kadar ta organ sprejema akte s pravnim učinkom, razen aktov o spremembah ali dopolnitvah institucionalnega okvira sporazuma“.</w:t>
      </w:r>
    </w:p>
    <w:p>
      <w:pPr>
        <w:rPr>
          <w:b/>
          <w:noProof/>
        </w:rPr>
      </w:pPr>
      <w:r>
        <w:rPr>
          <w:noProof/>
        </w:rPr>
        <w:t xml:space="preserve">Člen 15(3)(a) Konvencije določa, da Skupni odbor EU-EFTA s sklepom sprejme spremembe k dodatkom h Konvenciji. </w:t>
      </w:r>
    </w:p>
    <w:p>
      <w:pPr>
        <w:pStyle w:val="ManualHeading3"/>
        <w:rPr>
          <w:noProof/>
        </w:rPr>
      </w:pPr>
      <w:r>
        <w:rPr>
          <w:noProof/>
        </w:rPr>
        <w:t>4.1.2 Uporaba v obravnavanem primeru</w:t>
      </w:r>
    </w:p>
    <w:p>
      <w:pPr>
        <w:rPr>
          <w:noProof/>
        </w:rPr>
      </w:pPr>
      <w:r>
        <w:rPr>
          <w:noProof/>
        </w:rPr>
        <w:t>Skupni odbor je organ, ustanovljen s členom 14 Konvencije.</w:t>
      </w:r>
    </w:p>
    <w:p>
      <w:pPr>
        <w:rPr>
          <w:noProof/>
        </w:rPr>
      </w:pPr>
      <w:r>
        <w:rPr>
          <w:noProof/>
        </w:rPr>
        <w:t>Sklep, k sprejetju katerega se Skupni odbor poziva, je akt s pravnim učinkom. Ta sklep bo zavezujoč v mednarodnem pravu v skladu s členom 20 Konvencije.</w:t>
      </w:r>
    </w:p>
    <w:p>
      <w:pPr>
        <w:rPr>
          <w:noProof/>
        </w:rPr>
      </w:pPr>
      <w:r>
        <w:rPr>
          <w:noProof/>
        </w:rPr>
        <w:t>Sklep ne dopolnjuje ali spreminja institucionalnega okvira Konvencije.</w:t>
      </w:r>
    </w:p>
    <w:p>
      <w:pPr>
        <w:rPr>
          <w:noProof/>
        </w:rPr>
      </w:pPr>
      <w:r>
        <w:rPr>
          <w:noProof/>
        </w:rPr>
        <w:t>Postopkovna pravna podlaga za predlagani sklep je zato člen 218(9) PDEU.</w:t>
      </w:r>
    </w:p>
    <w:p>
      <w:pPr>
        <w:pStyle w:val="ManualHeading2"/>
        <w:rPr>
          <w:noProof/>
        </w:rPr>
      </w:pPr>
      <w:r>
        <w:rPr>
          <w:noProof/>
        </w:rPr>
        <w:t>4.2 Materialna pravna podlaga</w:t>
      </w:r>
    </w:p>
    <w:p>
      <w:pPr>
        <w:rPr>
          <w:noProof/>
        </w:rPr>
      </w:pPr>
      <w:r>
        <w:rPr>
          <w:noProof/>
        </w:rPr>
        <w:t>Materialna pravna podlaga za sklep iz člena 218(9) PDEU je odvisna predvsem od cilja in vsebine predvidenega akta, glede katerega se zastopa stališče v imenu Unije.</w:t>
      </w:r>
    </w:p>
    <w:p>
      <w:pPr>
        <w:rPr>
          <w:noProof/>
        </w:rPr>
      </w:pPr>
      <w:r>
        <w:rPr>
          <w:noProof/>
        </w:rPr>
        <w:lastRenderedPageBreak/>
        <w:t>Materialna pravna podlaga za predlagani sklep je torej člen 207 PDEU.</w:t>
      </w:r>
    </w:p>
    <w:p>
      <w:pPr>
        <w:rPr>
          <w:noProof/>
        </w:rPr>
      </w:pPr>
      <w:r>
        <w:rPr>
          <w:noProof/>
        </w:rPr>
        <w:t>Poenostavitve, dosežene s Konvencijo, in predvidena sprememba zadevajo učinkovite postopke na mejnih prehodih in s tem skupno trgovinsko politiko EU.</w:t>
      </w:r>
    </w:p>
    <w:p>
      <w:pPr>
        <w:pStyle w:val="ManualHeading2"/>
        <w:rPr>
          <w:noProof/>
        </w:rPr>
      </w:pPr>
      <w:r>
        <w:rPr>
          <w:noProof/>
        </w:rPr>
        <w:t>4.3 Zaključek</w:t>
      </w:r>
    </w:p>
    <w:p>
      <w:pPr>
        <w:rPr>
          <w:noProof/>
        </w:rPr>
      </w:pPr>
      <w:r>
        <w:rPr>
          <w:noProof/>
        </w:rPr>
        <w:t>Pravna podlaga za predlagani sklep bi moral biti člen 207 PDEU v povezavi s členom 218(9) PDEU.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2017/0267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zastopa v Skupnem odboru, ustanovljenem s Konvencijo z dne 20. maja 1987 o skupnem tranzitnem postopku, glede predlogov o spremembah navedene konvencije</w:t>
      </w:r>
    </w:p>
    <w:p>
      <w:pPr>
        <w:pStyle w:val="Institutionquiagit"/>
        <w:rPr>
          <w:noProof/>
        </w:rPr>
      </w:pPr>
      <w:r>
        <w:rPr>
          <w:noProof/>
        </w:rPr>
        <w:t>SVET EVROPSKE UNIJE JE –</w:t>
      </w:r>
    </w:p>
    <w:p>
      <w:pPr>
        <w:rPr>
          <w:noProof/>
        </w:rPr>
      </w:pPr>
      <w:r>
        <w:rPr>
          <w:noProof/>
        </w:rPr>
        <w:t>ob upoštevanju Pogodbe o delovanju Evropske unije in zlasti člena 207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Konvencijo o skupnem tranzitnem postopku (v nadaljnjem besedilu: Konvencija) je Evropska unija sklenila s Sklepom Sveta</w:t>
      </w:r>
      <w:r>
        <w:rPr>
          <w:rStyle w:val="FootnoteReference"/>
          <w:noProof/>
        </w:rPr>
        <w:footnoteReference w:id="2"/>
      </w:r>
      <w:r>
        <w:rPr>
          <w:noProof/>
        </w:rPr>
        <w:t>, veljati pa je začela 1. januarja 1988.</w:t>
      </w:r>
    </w:p>
    <w:p>
      <w:pPr>
        <w:pStyle w:val="ManualConsidrant"/>
        <w:rPr>
          <w:noProof/>
        </w:rPr>
      </w:pPr>
      <w:r>
        <w:t>(2)</w:t>
      </w:r>
      <w:r>
        <w:tab/>
      </w:r>
      <w:r>
        <w:rPr>
          <w:noProof/>
        </w:rPr>
        <w:t>V skladu s členom 15(3)(a) Konvencije lahko Skupni odbor EU-EFTA za skupni tranzit, ustanovljen z navedeno konvencijo (v nadaljnjem besedilu: Skupni odbor), s sklepom sprejme spremembe dodatkov h Konvenciji.</w:t>
      </w:r>
    </w:p>
    <w:p>
      <w:pPr>
        <w:pStyle w:val="ManualConsidrant"/>
        <w:rPr>
          <w:noProof/>
        </w:rPr>
      </w:pPr>
      <w:r>
        <w:t>(3)</w:t>
      </w:r>
      <w:r>
        <w:tab/>
      </w:r>
      <w:r>
        <w:rPr>
          <w:noProof/>
        </w:rPr>
        <w:t>Pričakuje se, da bo Skupni odbor na 30. zasedanju 5. decembra 2017 sprejel sklep o spremembi dodatkov h Konvenciji.</w:t>
      </w:r>
    </w:p>
    <w:p>
      <w:pPr>
        <w:pStyle w:val="ManualConsidrant"/>
        <w:rPr>
          <w:noProof/>
        </w:rPr>
      </w:pPr>
      <w:r>
        <w:t>(4)</w:t>
      </w:r>
      <w:r>
        <w:tab/>
      </w:r>
      <w:r>
        <w:rPr>
          <w:noProof/>
        </w:rPr>
        <w:t>Primerno je, da se določi stališče, ki naj se v imenu Unije zastopa v Skupnem odboru, saj bo njegov sklep zavezujoč za Unijo.</w:t>
      </w:r>
    </w:p>
    <w:p>
      <w:pPr>
        <w:pStyle w:val="ManualConsidrant"/>
        <w:rPr>
          <w:noProof/>
        </w:rPr>
      </w:pPr>
      <w:r>
        <w:t>(5)</w:t>
      </w:r>
      <w:r>
        <w:tab/>
      </w:r>
      <w:r>
        <w:rPr>
          <w:noProof/>
        </w:rPr>
        <w:t>Uredba (EU) št. 952/2013 Evropskega parlamenta in Sveta o carinskem zakoniku Unije</w:t>
      </w:r>
      <w:r>
        <w:rPr>
          <w:rStyle w:val="FootnoteReference"/>
          <w:noProof/>
        </w:rPr>
        <w:footnoteReference w:id="3"/>
      </w:r>
      <w:r>
        <w:rPr>
          <w:noProof/>
        </w:rPr>
        <w:t xml:space="preserve"> ter njegovi delegirani in izvedbeni akti so uvedli možnost uporabe elektronske prevozne listine (ETD) kot tranzitne deklaracije za letalski prevoz. Te določbe se bodo v celoti uporabljale najpozneje od 1. maja 2018. Poleg tega se bodo nekatere določbe o tranzitu in carinskem statusu unijskega blaga začele uporabljati šele, ko bodo posodobljeni ali se bodo začeli uporabljati ustrezni elektronski sistemi, in sicer od datumov, navedenih v Prilogi k Izvedbenemu sklepu Komisije (EU) 2016/578 z dne 11. aprila 2016 o oblikovanju delovnega programa v zvezi z razvojem in uporabo elektronskih sistemov, predvidenih v carinskem zakoniku Unije</w:t>
      </w:r>
      <w:r>
        <w:rPr>
          <w:rStyle w:val="FootnoteReference"/>
          <w:noProof/>
        </w:rPr>
        <w:footnoteReference w:id="4"/>
      </w:r>
      <w:r>
        <w:rPr>
          <w:noProof/>
        </w:rPr>
        <w:t xml:space="preserve">. </w:t>
      </w:r>
    </w:p>
    <w:p>
      <w:pPr>
        <w:pStyle w:val="ManualConsidrant"/>
        <w:rPr>
          <w:noProof/>
        </w:rPr>
      </w:pPr>
      <w:r>
        <w:t>(6)</w:t>
      </w:r>
      <w:r>
        <w:tab/>
      </w:r>
      <w:r>
        <w:rPr>
          <w:noProof/>
        </w:rPr>
        <w:t>Za nemoteno in učinkovito delovanje trgovine med Unijo in pogodbenicami Konvencije, bi morale biti določbe o uporabi elektronske prevozne listine kot tranzitne deklaracije in izvajanju ustreznih elektronskih sistemov vključene v dodatke h Konvenciji. Te spremembe so nujne za nadaljnjo uskladitev Konvencije z zakonodajo Unije.</w:t>
      </w:r>
    </w:p>
    <w:p>
      <w:pPr>
        <w:pStyle w:val="ManualConsidrant"/>
        <w:rPr>
          <w:noProof/>
        </w:rPr>
      </w:pPr>
      <w:r>
        <w:t>(7)</w:t>
      </w:r>
      <w:r>
        <w:tab/>
      </w:r>
      <w:r>
        <w:rPr>
          <w:noProof/>
        </w:rPr>
        <w:t xml:space="preserve">Vse države članice Unije so se strinjale s predlogom sprememb v delovni skupini EU-EFTA za skupni tranzit. </w:t>
      </w:r>
    </w:p>
    <w:p>
      <w:pPr>
        <w:pStyle w:val="ManualConsidrant"/>
        <w:rPr>
          <w:noProof/>
        </w:rPr>
      </w:pPr>
      <w:r>
        <w:lastRenderedPageBreak/>
        <w:t>(8)</w:t>
      </w:r>
      <w:r>
        <w:tab/>
      </w:r>
      <w:r>
        <w:rPr>
          <w:noProof/>
        </w:rPr>
        <w:t xml:space="preserve">Ker bo sklep Skupnega odbora spremenil Konvencijo, je primerno, da se po sprejetju objavi v </w:t>
      </w:r>
      <w:r>
        <w:rPr>
          <w:i/>
          <w:noProof/>
        </w:rPr>
        <w:t>Uradnem listu Evropske unije</w:t>
      </w:r>
      <w:r>
        <w:rPr>
          <w:noProof/>
        </w:rPr>
        <w:t>.</w:t>
      </w:r>
    </w:p>
    <w:p>
      <w:pPr>
        <w:pStyle w:val="ManualConsidrant"/>
        <w:rPr>
          <w:noProof/>
        </w:rPr>
      </w:pPr>
      <w:r>
        <w:t>(9)</w:t>
      </w:r>
      <w:r>
        <w:tab/>
      </w:r>
      <w:r>
        <w:rPr>
          <w:noProof/>
        </w:rPr>
        <w:t>V Skupnem odboru Unijo zastopa Komisija v skladu s členom 17(1) Pogodbe o Evropski uniji (PEU). Stališče Unije glede predlagane spremembe bi zato moralo temeljiti na priloženem osnutku sklepa –</w:t>
      </w:r>
    </w:p>
    <w:p>
      <w:pPr>
        <w:rPr>
          <w:noProof/>
        </w:rPr>
      </w:pPr>
    </w:p>
    <w:p>
      <w:pPr>
        <w:pStyle w:val="Formuledadoption"/>
        <w:rPr>
          <w:noProof/>
        </w:rPr>
      </w:pPr>
      <w:r>
        <w:rPr>
          <w:noProof/>
        </w:rPr>
        <w:t xml:space="preserve">SPREJEL NASLEDNJI SKLEP: </w:t>
      </w:r>
    </w:p>
    <w:p>
      <w:pPr>
        <w:pStyle w:val="Titrearticle"/>
        <w:rPr>
          <w:noProof/>
        </w:rPr>
      </w:pPr>
      <w:r>
        <w:rPr>
          <w:noProof/>
        </w:rPr>
        <w:t>Člen 1</w:t>
      </w:r>
    </w:p>
    <w:p>
      <w:pPr>
        <w:rPr>
          <w:noProof/>
        </w:rPr>
      </w:pPr>
      <w:r>
        <w:rPr>
          <w:noProof/>
        </w:rPr>
        <w:t>Stališče, ki se v imenu Unije zastopa na seji Skupnega odbora EU-EFTA za skupni tranzit (v nadaljnjem besedilu: Skupni odbor) glede sprememb dodatkov h Konvenciji, temelji na osnutku sklepa št. 1/2017 Skupnega odbora EU-EFTA za skupni tranzit, ki je priložen k temu sklepu.</w:t>
      </w:r>
    </w:p>
    <w:p>
      <w:pPr>
        <w:rPr>
          <w:noProof/>
        </w:rPr>
      </w:pPr>
      <w:r>
        <w:rPr>
          <w:noProof/>
        </w:rPr>
        <w:t>Predstavniki Unije v Skupnem odboru lahko sprejmejo manjše spremembe osnutka sklepa brez nadaljnjega sklepa Sveta.</w:t>
      </w:r>
    </w:p>
    <w:p>
      <w:pPr>
        <w:pStyle w:val="Titrearticle"/>
        <w:rPr>
          <w:noProof/>
        </w:rPr>
      </w:pPr>
      <w:r>
        <w:rPr>
          <w:noProof/>
        </w:rPr>
        <w:t>Člen 2</w:t>
      </w:r>
    </w:p>
    <w:p>
      <w:pPr>
        <w:rPr>
          <w:i/>
          <w:noProof/>
        </w:rPr>
      </w:pPr>
      <w:r>
        <w:rPr>
          <w:noProof/>
        </w:rPr>
        <w:t xml:space="preserve">Sklep Skupnega odbora se po sprejetju objavi v </w:t>
      </w:r>
      <w:r>
        <w:rPr>
          <w:i/>
          <w:noProof/>
        </w:rPr>
        <w:t>Uradnem listu Evropske unije</w:t>
      </w:r>
      <w:r>
        <w:rPr>
          <w:noProof/>
        </w:rPr>
        <w:t>.</w:t>
      </w:r>
    </w:p>
    <w:p>
      <w:pPr>
        <w:pStyle w:val="Titrearticle"/>
        <w:rPr>
          <w:noProof/>
        </w:rPr>
      </w:pPr>
      <w:r>
        <w:rPr>
          <w:noProof/>
        </w:rPr>
        <w:t>Člen 3</w:t>
      </w:r>
    </w:p>
    <w:p>
      <w:pPr>
        <w:rPr>
          <w:noProof/>
        </w:rPr>
      </w:pPr>
      <w:r>
        <w:rPr>
          <w:noProof/>
        </w:rPr>
        <w:t>Ta sklep je naslovljen na Komisijo.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142, 31.5.2016, str. 25.</w:t>
      </w:r>
    </w:p>
  </w:footnote>
  <w:footnote w:id="2">
    <w:p>
      <w:pPr>
        <w:pStyle w:val="FootnoteText"/>
      </w:pPr>
      <w:r>
        <w:rPr>
          <w:rStyle w:val="FootnoteReference"/>
        </w:rPr>
        <w:footnoteRef/>
      </w:r>
      <w:r>
        <w:tab/>
        <w:t>UL L 226, 13.8.1987, str. 2.</w:t>
      </w:r>
    </w:p>
  </w:footnote>
  <w:footnote w:id="3">
    <w:p>
      <w:pPr>
        <w:pStyle w:val="FootnoteText"/>
        <w:rPr>
          <w:lang w:val="pl-PL"/>
        </w:rPr>
      </w:pPr>
      <w:r>
        <w:rPr>
          <w:rStyle w:val="FootnoteReference"/>
        </w:rPr>
        <w:footnoteRef/>
      </w:r>
      <w:r>
        <w:tab/>
        <w:t>UL L 269, 10.10.2013, str. 1.</w:t>
      </w:r>
    </w:p>
  </w:footnote>
  <w:footnote w:id="4">
    <w:p>
      <w:pPr>
        <w:pStyle w:val="FootnoteText"/>
        <w:rPr>
          <w:lang w:val="pl-PL"/>
        </w:rPr>
      </w:pPr>
      <w:r>
        <w:rPr>
          <w:rStyle w:val="FootnoteReference"/>
        </w:rPr>
        <w:footnoteRef/>
      </w:r>
      <w:r>
        <w:tab/>
        <w:t>UL L 99, 15.4.2016, str.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8424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450CD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0418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576F6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649BB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2CAA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2C808E4"/>
    <w:lvl w:ilvl="0">
      <w:start w:val="1"/>
      <w:numFmt w:val="decimal"/>
      <w:pStyle w:val="ListNumber"/>
      <w:lvlText w:val="%1."/>
      <w:lvlJc w:val="left"/>
      <w:pPr>
        <w:tabs>
          <w:tab w:val="num" w:pos="360"/>
        </w:tabs>
        <w:ind w:left="360" w:hanging="360"/>
      </w:pPr>
    </w:lvl>
  </w:abstractNum>
  <w:abstractNum w:abstractNumId="7">
    <w:nsid w:val="FFFFFF89"/>
    <w:multiLevelType w:val="singleLevel"/>
    <w:tmpl w:val="5C8C05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0-20 10:16: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25F9683-15D6-4DDA-B3E5-6A8671DB2055"/>
    <w:docVar w:name="LW_COVERPAGE_TYPE" w:val="1"/>
    <w:docVar w:name="LW_CROSSREFERENCE" w:val="&lt;UNUSED&gt;"/>
    <w:docVar w:name="LW_DocType" w:val="COM"/>
    <w:docVar w:name="LW_EMISSION" w:val="20.10.2017"/>
    <w:docVar w:name="LW_EMISSION_ISODATE" w:val="2017-10-20"/>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267"/>
    <w:docVar w:name="LW_REF.II.NEW.CP_YEAR" w:val="2017"/>
    <w:docVar w:name="LW_REF.INST.NEW" w:val="COM"/>
    <w:docVar w:name="LW_REF.INST.NEW_ADOPTED" w:val="final"/>
    <w:docVar w:name="LW_REF.INST.NEW_TEXT" w:val="(2017) 6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stali\u353?\u269?u, ki se v imenu Evropske unije zastopa v Skupnem odboru, ustanovljenem s Konvencijo z dne 20. maja 1987 o skupnem tranzitnem postopku, glede predlogov o spremembah navedene konvencije"/>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DC6A-7471-4680-B453-709179D0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1300</Words>
  <Characters>7481</Characters>
  <Application>Microsoft Office Word</Application>
  <DocSecurity>0</DocSecurity>
  <Lines>146</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2017-10-17T08:08:00Z</dcterms:created>
  <dcterms:modified xsi:type="dcterms:W3CDTF">2017-10-20T08:16:00Z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5.8.4, Build 20150407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DQCStatus">
    <vt:lpwstr>Green (DQC version 03)</vt:lpwstr>
  </property>
  <property fmtid="{D5CDD505-2E9C-101B-9397-08002B2CF9AE}" pid="10" name="Level of sensitivity">
    <vt:lpwstr>Standard treatment</vt:lpwstr>
  </property>
</Properties>
</file>