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4D3C9A96-3D19-42E2-8AAC-6599E482A6DA" style="width:450.75pt;height:433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600"/>
        <w:jc w:val="center"/>
        <w:outlineLvl w:val="0"/>
        <w:rPr>
          <w:rFonts w:ascii="Times New Roman" w:hAnsi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Prilog I.: Nove inicijative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13"/>
        <w:gridCol w:w="3555"/>
        <w:gridCol w:w="10106"/>
      </w:tblGrid>
      <w:tr>
        <w:trPr>
          <w:cantSplit/>
          <w:tblHeader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Br.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Naslov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Opis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2"/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Novi poticaj za zapošljavanje, rast i ulaganja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Provedba akcijskog plana za kružno gospodarstvo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3"/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To uključuje strategiju o uporabi plastike, njezinoj ponovnoj uporabi i recikliranju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4. tromjesečje 2017.);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prijedlog Uredbe o minimalnim zahtjevima kvalitete za ponovnu uporabu vode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192. UFEU-a, 4. tromjesečje 2017.);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reviziju primjerenosti i učinkovitosti Direktive o vodi za piće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192. UFEU-a, 4. tromjesečje 2017.);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inicijativu za rješavanje pravnih, tehničkih ili praktičnih zastoja koji nastaju pri preklapanju zakonodavstva o kemijskim proizvodima, proizvodima i otpadu</w:t>
            </w:r>
            <w:r>
              <w:rPr>
                <w:rFonts w:ascii="Times New Roman" w:hAnsi="Times New Roman"/>
                <w:noProof/>
                <w:sz w:val="20"/>
              </w:rPr>
              <w:t xml:space="preserve"> (nezakonodavna inicijativa, 4. tromjesečje 2017.)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 xml:space="preserve">i </w:t>
            </w:r>
            <w:r>
              <w:rPr>
                <w:rFonts w:ascii="Times New Roman" w:hAnsi="Times New Roman"/>
                <w:b/>
                <w:noProof/>
                <w:sz w:val="20"/>
              </w:rPr>
              <w:t>okvir za praćenje za kružno gospodarstvo</w:t>
            </w:r>
            <w:r>
              <w:rPr>
                <w:rFonts w:ascii="Times New Roman" w:hAnsi="Times New Roman"/>
                <w:noProof/>
                <w:sz w:val="20"/>
              </w:rPr>
              <w:t xml:space="preserve"> (nezakonodavna inicijativa, 4. tromjesečje 2017.)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Višegodišnji financijski okvir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)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Sveobuhvatni prijedlog o budućem višegodišnjem financijskom okviru nakon 2020. (2. tromjesečje 2018.) te prijedlozi o novoj generaciji programa i novih vlastitih sredstava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311. UFEU-a i sektorski temelji, 2.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Održiva europska budućnost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Dokument za razmatranje „Prema održivoj Europi do 2030. o daljnjem djelovanju u pogledu UN-ovih ciljeva održivog razvoja, među ostalim o Pariškom sporazumu o klimatskim promjenama”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2.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Povezano jedinstveno digitalno tržište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Dovršenje jedinstvenog digitalnog tržišta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Prijedlog o pravednosti odnosa između platformi i poduzeća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inicijativa o problemima internetskih platformi povezanima sa širenjem lažnih informacija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 revizija smjernica Komisije za analizu tržišta i procjenu značajne tržišne snage u sektoru elektroničkih komunikacija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2.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Čvrsta energetska unija s naprednom klimatskom politikom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Dovršetak energetske unije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Daljnje djelovanje u pogledu aspekta solidarnosti energetske unije, uključujući prijedlog o zajedničkim pravilima o plinovodima koji ulaze na područje europskog unutarnjeg tržišta plina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194. UFEU-a, 4. tromjesečje 2017.)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Budućnost energetske i klimatske politike EU-a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budućnosti energetske i klimatske politike EU-a, među ostalim o budućnosti Ugovora o Euratomu (uzimajući u obzir Izjavu br. 54 pet država članica priloženu Završnom aktu Ugovora iz Lisabona) i o mogućoj primjeni članka 192. stavka 2. drugog podstavka UFEU-a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2.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Bolje povezano i pravednije unutarnje tržište s jačim industrijskim temeljima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Pravedno oporezivanje u digitalnom gospodarstvu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 Prijedlog o utvrđivanju pravila na razini EU-a kojima se omogućuje oporezivanje dobiti koju ostvaruju multinacionalna poduzeća u području digitalnoga gospodarstva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113. i 115. UFEU-a, 1.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Paket mjera za socijalnu pravednost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Prijedlog o osnivanju Europskog nadzornog tijela za rad (zakonodavna inicijativa, 2. tromjesečje 2018.); inicijativa o pristupu socijalnoj zaštiti za samozaposlene osobe s netipičnim ugovorima o radu </w:t>
            </w:r>
            <w:r>
              <w:rPr>
                <w:rFonts w:ascii="Times New Roman" w:hAnsi="Times New Roman"/>
                <w:noProof/>
                <w:sz w:val="20"/>
              </w:rPr>
              <w:t>(zakonodavna/nezakonodavna inicijativa, čl. 153–155., čl. 352. UFEU-a, 2.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 inicijativa o europskom broju socijalnog osiguranja koju bi se prema potrebi moglo primjenjivati u raznim područjima politika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2. tromjesečje 2018.); </w:t>
            </w:r>
            <w:r>
              <w:rPr>
                <w:rFonts w:ascii="Times New Roman" w:hAnsi="Times New Roman"/>
                <w:b/>
                <w:noProof/>
                <w:sz w:val="20"/>
              </w:rPr>
              <w:t>revizija primjerenosti i učinkovitosti Direktive o pisanoj izjavi kojom se utvrđuje obveza poslodavca da obavijesti radnike o uvjetima koji se primjenjuju na ugovor o radu ili radni odnos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učinka/nezakonodavna inicijativa, čl. 153. i 154. UFEU-a, 4. tromjesečje 2017.)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Lanac opskrbe hranom u EU-u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Prijedlog o poboljšanju lanca opskrbe hranom u EU-u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42. i 43. UFEU-a, 1.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Dovršetak unije tržišta kapitala: 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Revidirani okvir za investicijska društva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4. tromjesečje 2017.);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akcijski plan o održivom financiranju s regulatornim mjerama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učinka/nezakonodavna inicijativa,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inicijativa o financijskoj tehnologiji (FinTech)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prijedlog okvira EU-a o skupnom i uzajamnom financiranju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europski okvir kojim se potiče uporaba pokrivenih obveznica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1.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 inicijativa u okviru Programa za prikladnost i učinkovitost propisa o uklanjanju prepreka prekograničnoj distribuciji alternativnih investicijskih fondova i zajedničkim ulaganjima u prenosive vrijednosne papire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1.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Učinkovitije donošenje propisa o jedinstvenom tržištu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mogućnosti daljnjeg poboljšanja primjene sustava glasovanja kvalificiranom većinom i redovnog zakonodavnog postupka u pitanjima unutarnjeg tržišta na temelju članka 48. stavka 7. UEU-a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3.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rFonts w:ascii="Times New Roman" w:hAnsi="Times New Roman"/>
                <w:b/>
                <w:noProof/>
                <w:sz w:val="20"/>
              </w:rPr>
              <w:t>Bolje povezana i pravednija ekonomska i monetarna unija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Dovršetak ekonomske i monetarne unije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Prijedlozi o zamjeni Europskog stabilizacijskog mehanizma Europskim monetarnim fondom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4. tromjesečje 2017.);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uspostava posebne proračunske linije za europodručje s četiri funkcije: 1. potpora strukturnim reformama, 2. stabilizacijska funkcija, 3. zaštitni mehanizam za bankarsku uniju i 4. instrument konvergencije za pružanje pretpristupne pomoći državama članicama koje se pripremaju za članstvo u europodručju</w:t>
            </w:r>
            <w:r>
              <w:rPr>
                <w:rFonts w:ascii="Times New Roman" w:hAnsi="Times New Roman"/>
                <w:noProof/>
                <w:sz w:val="20"/>
              </w:rPr>
              <w:t xml:space="preserve"> (nezakonodavna inicijativa, 4. tromjesečje 2017.)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 uvođenje sadržaja Ugovora o stabilnosti, koordinaciji i upravljanju u ekonomskoj i monetarnoj uniji u pravo EU-a, uzimajući u obzir odgovarajuću fleksibilnost predviđenu Paktom o stabilnosti i rastu koju je Komisija počela primjenjivati od siječnja 2015.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4. tromjesečje 2017.)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Dovršetak bankarske unije 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Prijedlozi o razvoju sekundarnih tržišta loših kredita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114. UFEU-a, 1.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zaštita osiguranih vjerovnika od neispunjenja obveza poslovnih zajmoprimaca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UFEU-a, 1.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 okvir kojim se potiče razvoj vrijednosnih papira osiguranih državnim obveznicama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čl. 114. UFEU-a, 1.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Uspostava stalne funkcije europskog ministra gospodarstva i financija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 xml:space="preserve"> (inicijativa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mogućoj uspostavi stalne funkcije europskog ministra gospodarstva i financija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4. tromjesečje 2017.)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Trgovina: Uravnotežena i napredna trgovinska politika za svladavanje globalizacije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Provedba strategije Trgovina za sve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Dovršetak pregovora o sporazumima s Japanom, Singapurom i Vijetnamom i nastavak pregovora s Meksikom i zemljama Mercosura te ubrzanje pregovora s Australijom i Novim Zelandom nakon što Vijeće odobri mandate koje je preporučila Komisija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Područje pravosuđa i temeljnih prava utemeljeno na uzajamnom povjerenju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Dovršetak sigurnosne unije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Provedba programa za uspostavu sigurnosne unije i unaprjeđenje borbe protiv terorizma: 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prijedlozi o interoperabilnosti informacijskih sustava EU-a za sigurnost te upravljanje granicama i migracijama 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(zakonodavna inicijativa, uklj. procjenu učinka, čl. 74., 77., 79., 85., 87., 88. 4. tromjesečje 2017.);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prijedlog o poboljšanju prekograničnog pristupa tijela kaznenog progona elektroničkim dokazima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(zakonodavna inicijativa, uklj. procjenu učinka, čl. 82. UFEU-a, 1. tromjesečje 2018.);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revizija primjerenosti i učinkovitosti Uredbe o stavljanju na tržište i uporabi prekursora eksploziva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114. UFEU, 2.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inicijative za lakši prekogranični pristup tijela kaznenog progona finacijskim podacima i njihovu lakšu upotrebu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učinka/nezakonodavna inicijativa, 2.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Mehanizam EU-a za civilnu zaštitu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Style w:val="truncate"/>
                <w:rFonts w:ascii="Times New Roman" w:hAnsi="Times New Roman"/>
                <w:b/>
                <w:noProof/>
                <w:sz w:val="20"/>
              </w:rPr>
              <w:t xml:space="preserve">Prijedlog Odluke Europskog parlamenta i Vijeća o reviziji Odluke br. 1313/2013/EU u području mehanizma Europske unije za civilnu zaštitu s vlastitim operativnim kapacitetima </w:t>
            </w:r>
            <w:r>
              <w:rPr>
                <w:rStyle w:val="truncate"/>
                <w:rFonts w:ascii="Times New Roman" w:hAnsi="Times New Roman"/>
                <w:noProof/>
                <w:sz w:val="20"/>
              </w:rPr>
              <w:t>(zakonodavna inicijativa, čl. 196. UFEU-a, 4. tromjesečje 2017.)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Proširenje zadaća novog Ureda europskog javnog tužitelja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mogućem proširenju zadaća novog Ureda europskog javnog tužitelja na područje borbe protiv terorizma na temelju članka 86. stavka 4. UFEU-a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3.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Vladavina prava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Inicijativa za jačanje vladavine prava u Europskoj uniji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4.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Put prema novoj migracijskoj politici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Provedba Europskog migracijskog programa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Revizija zajedničkog Zakonika o vizama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77. UFEU-a, 1.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; revizija primjerenosti i učinkovitosti viznog informacijskog sustava </w:t>
            </w:r>
            <w:r>
              <w:rPr>
                <w:rFonts w:ascii="Times New Roman" w:hAnsi="Times New Roman"/>
                <w:noProof/>
                <w:sz w:val="20"/>
              </w:rPr>
              <w:t>(zakonodavna inicijativa, uklj. procjenu učinka, čl. 77. i 87. UFEU-a, 2. tromjesečje 2018.);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revizija Uredbe o časnicima za vezu zaduženima za imigraciju</w:t>
            </w:r>
            <w:r>
              <w:rPr>
                <w:rFonts w:ascii="Times New Roman" w:hAnsi="Times New Roman"/>
                <w:noProof/>
                <w:sz w:val="20"/>
              </w:rPr>
              <w:t xml:space="preserve"> (zakonodavna inicijativa, uklj. procjenu učinka, 2.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keepNext/>
              <w:spacing w:before="60" w:after="60"/>
              <w:jc w:val="both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Jači globalni čimbenik 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Provedba globalne strategije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Uključujući strategiju EU-a za povezivanje Europe i Azije; obnovljeno partnerstvo s Latinskom Amerikom i Karibima i nove okvire za odnos s Indijom, Iranom i Irakom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1. i 2.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Vjerodostojna mogućnost proširenja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Strategija za uspješno pristupanje EU-u Srbije i Crne Gore kao zemalja kandidatkinja predvodnica na zapadnom Balkanu, s posebnim naglaskom na vladavinu prava, temeljna prava, borbu protiv korupcije i organiziranog kriminala te opću stabilnost u regiji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1. tromjesečje 2018.)</w:t>
            </w:r>
          </w:p>
        </w:tc>
      </w:tr>
      <w:tr>
        <w:trPr>
          <w:cantSplit/>
        </w:trPr>
        <w:tc>
          <w:tcPr>
            <w:tcW w:w="181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Učinkovitija i dosljednija provedba zajedničke vanjske politike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tcBorders>
              <w:bottom w:val="single" w:sz="4" w:space="0" w:color="auto"/>
            </w:tcBorders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mogućnosti daljnjeg jačanja primjene sustava glasovanja kvalificiranom većinom u području zajedničke vanjske politike na temelju članka 31. stavka 3. UEU-a te o dosljednijoj provedbi zajedničke vanjske politike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3. tromjesečje 2018.)</w:t>
            </w:r>
          </w:p>
        </w:tc>
      </w:tr>
      <w:tr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</w:tcPr>
          <w:p>
            <w:pPr>
              <w:spacing w:before="60"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Unija demokratskih promjena</w:t>
            </w:r>
          </w:p>
        </w:tc>
      </w:tr>
      <w:tr>
        <w:trPr>
          <w:cantSplit/>
        </w:trPr>
        <w:tc>
          <w:tcPr>
            <w:tcW w:w="181" w:type="pc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Komunikacija u Europi</w:t>
            </w:r>
          </w:p>
        </w:tc>
        <w:tc>
          <w:tcPr>
            <w:tcW w:w="3565" w:type="pct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izgradnji ujedinjenije, snažnije i demokratskije Unije u području komunikacije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2. tromjesečje 2018.)</w:t>
            </w:r>
          </w:p>
        </w:tc>
      </w:tr>
      <w:tr>
        <w:trPr>
          <w:cantSplit/>
        </w:trPr>
        <w:tc>
          <w:tcPr>
            <w:tcW w:w="181" w:type="pct"/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Činiti manje, ali učinkovitije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Komunikacija o daljnjem jačanju načela supsidijarnosti, proporcionalnosti i bolje regulative u svakodnevnom radu Europske unije </w:t>
            </w:r>
            <w:r>
              <w:rPr>
                <w:rFonts w:ascii="Times New Roman" w:hAnsi="Times New Roman"/>
                <w:noProof/>
                <w:sz w:val="20"/>
              </w:rPr>
              <w:t>(nezakonodavna inicijativa, 3. tromjesečje 2018.)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</w:p>
        </w:tc>
      </w:tr>
      <w:tr>
        <w:trPr>
          <w:cantSplit/>
        </w:trPr>
        <w:tc>
          <w:tcPr>
            <w:tcW w:w="181" w:type="pct"/>
            <w:shd w:val="pct25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pct25" w:color="auto" w:fill="auto"/>
          </w:tcPr>
          <w:p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Učinkovitija i demokratskija Europa (</w:t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inicijativa koja se odnosi na razdoblje do 2025.</w:t>
            </w:r>
            <w:r>
              <w:rPr>
                <w:rFonts w:ascii="Times New Roman" w:hAnsi="Times New Roman"/>
                <w:b/>
                <w:noProof/>
                <w:sz w:val="20"/>
              </w:rPr>
              <w:t>)</w:t>
            </w:r>
          </w:p>
        </w:tc>
        <w:tc>
          <w:tcPr>
            <w:tcW w:w="3565" w:type="pct"/>
            <w:shd w:val="pct25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Komunikacija o mogućnostima poboljšanja učinkovitosti čelnih institucija Europske unije</w:t>
            </w:r>
            <w:r>
              <w:rPr>
                <w:rFonts w:ascii="Times New Roman" w:hAnsi="Times New Roman"/>
                <w:noProof/>
                <w:sz w:val="20"/>
              </w:rPr>
              <w:t xml:space="preserve"> (nezakonodavna inicijativa, 3. tromjesečje 2018.)</w:t>
            </w:r>
          </w:p>
        </w:tc>
      </w:tr>
    </w:tbl>
    <w:p>
      <w:pPr>
        <w:spacing w:after="480"/>
        <w:outlineLvl w:val="0"/>
        <w:rPr>
          <w:rFonts w:ascii="Times New Roman" w:hAnsi="Times New Roman"/>
          <w:b/>
          <w:noProof/>
          <w:sz w:val="20"/>
          <w:szCs w:val="20"/>
          <w:highlight w:val="yellow"/>
          <w:u w:val="single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3410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60"/>
        <w:jc w:val="both"/>
        <w:rPr>
          <w:sz w:val="18"/>
          <w:szCs w:val="18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U ovom prilogu Komisija iznosi dodatne informacije, u mjeri u kojoj su dostupne, o inicijativama iz programa rada u skladu s Međuinstitucijskim sporazumom o boljoj izradi zakonodavstva. Te su informacije, koje se navode u zagradama uz opis svake inicijative, isključivo indikativne i mogu se mijenjati tijekom pripremnog postupka, osobito s obzirom na postupak procjene učinka.</w:t>
      </w:r>
    </w:p>
  </w:footnote>
  <w:footnote w:id="3">
    <w:p>
      <w:pPr>
        <w:pStyle w:val="FootnoteText"/>
        <w:jc w:val="both"/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Paket o kružnom gospodarstvu već je uključen u Prilog I. Programu rada Komisije za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7742B7DE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4D3C9A96-3D19-42E2-8AAC-6599E482A6DA"/>
    <w:docVar w:name="LW_COVERPAGE_TYPE" w:val="1"/>
    <w:docVar w:name="LW_CROSSREFERENCE" w:val="&lt;UNUSED&gt;"/>
    <w:docVar w:name="LW_DocType" w:val="NORMAL"/>
    <w:docVar w:name="LW_EMISSION" w:val="24.10.2017."/>
    <w:docVar w:name="LW_EMISSION_ISODATE" w:val="2017-10-24"/>
    <w:docVar w:name="LW_EMISSION_LOCATION" w:val="STR"/>
    <w:docVar w:name="LW_EMISSION_PREFIX" w:val="Strasbourg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_x000b_Program rada Komisije za 2018._x000b__x000b_Plan za ujedinjeniju, sna\u382?niju i demokratskiju Europu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VIJE\u262?U, EUROPSKOM GOSPODARSKOM I SOCIJALNOM ODBORU I ODBORU REGIJ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runcate">
    <w:name w:val="truncate"/>
    <w:basedOn w:val="DefaultParagraphFont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2486-4C57-47E5-8CB7-71F56B9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10222</Characters>
  <Application>Microsoft Office Word</Application>
  <DocSecurity>0</DocSecurity>
  <Lines>192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2017-10-24T10:16:00Z</dcterms:created>
  <dcterms:modified xsi:type="dcterms:W3CDTF">2017-11-06T14:00:00Z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</Properties>
</file>