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B46A6B07-2E8E-4653-90E8-9D3E6B66E143" style="width:450.4pt;height:420.3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600"/>
        <w:jc w:val="center"/>
        <w:outlineLvl w:val="0"/>
        <w:rPr>
          <w:rFonts w:ascii="Times New Roman" w:hAnsi="Times New Roman"/>
          <w:b/>
          <w:noProof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Príloha I: Nové iniciatívy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3"/>
        <w:gridCol w:w="3555"/>
        <w:gridCol w:w="10106"/>
      </w:tblGrid>
      <w:tr>
        <w:trPr>
          <w:cantSplit/>
          <w:tblHeader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Č.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Názov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Opis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0"/>
              </w:rPr>
              <w:footnoteReference w:id="2"/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Ďalšie posilnenie zamestnanosti, rastu a investícií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Plnenie cieľov akčného plánu pre obehové hospodárstvo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0"/>
              </w:rPr>
              <w:footnoteReference w:id="3"/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Tento plán zahŕňa stratégiu v oblasti využitia, opätovného využitia a recyklácie plastov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4. kvartál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návrh nariadenia o minimálnych kvalitatívnych požiadavkách na opätovne využívanú vodu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192 ZFEÚ, 4. kvartál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revíziu smernice o pitnej vode v rámci programu REFIT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192 ZFEÚ, 4. kvartál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iniciatívu na riešenie právnych, technických alebo praktických prekážok na rozhraní právnych predpisov v oblasti chemických látok, výrobkov a odpadov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4. kvartál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a monitorovací rámec pre obehové hospodárstvo</w:t>
            </w:r>
            <w:r>
              <w:rPr>
                <w:rFonts w:ascii="Times New Roman" w:hAnsi="Times New Roman"/>
                <w:noProof/>
                <w:sz w:val="20"/>
              </w:rPr>
              <w:t xml:space="preserve"> (nelegislatívna iniciatíva, 4. kvartál 2017).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Viacročný finančný rámec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Komplexný návrh budúceho viacročného finančného rámca na obdobie po roku 2020 (2. kvartál 2018), po ktorom budú nasledovať návrhy pre ďalšiu generáciu programov a nových vlastných zdrojov</w:t>
            </w:r>
            <w:r>
              <w:rPr>
                <w:rFonts w:ascii="Times New Roman" w:hAnsi="Times New Roman"/>
                <w:noProof/>
                <w:sz w:val="20"/>
              </w:rPr>
              <w:t xml:space="preserve"> (legislatívna iniciatíva, vrátane posúdenia vplyvu, článok 311 ZFEÚ a právne základy jednotlivých odvetví, 2. kvartál 2018).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Udržateľná budúcnosť Európy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Diskusný dokument „Smerom k udržateľnej Európe do roku 2030 v nadväznosti na ciele trvalo udržateľného rozvoja OSN vrátane Parížskej dohody o zmene klímy“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2. kvartál 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keepNext/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Prepojený digitálny jednotný trh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Dobudovanie digitálneho jednotného trhu 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Návrh týkajúci sa spravodlivého prístupu vo vzťahoch platforiem voči podnikom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114 ZFEÚ, 1.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iniciatíva na riešenie výziev online platforiem, pokiaľ ide o šírenie falošných informácií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1.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a preskúmanie usmernení Komisie k analýze trhu a posúdeniu významného vplyvu na trhu v sektore elektronických komunikácií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2. kvartál 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Odolná energetická únia s výhľadovo orientovanou politikou v oblasti zmeny klímy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Dobudovanie energetickej únie 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Opatrenia v nadväznosti na aspekt solidarity energetickej únie vrátane návrhu o spoločných pravidlách pre plynovody vstupujúce na vnútorný trh s plynom v Európe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194 ZFEÚ, 4. kvartál 2017)</w:t>
            </w:r>
            <w:r>
              <w:rPr>
                <w:noProof/>
              </w:rPr>
              <w:t>.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Budúcnosť politiky EÚ v oblasti energetiky a klímy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Oznámenie o budúcnosti politiky EÚ v oblasti energetiky a klímy vrátane budúcnosti Zmluvy o Euratome (berúc do úvahy vyhlásenie č. 54 piatich členských štátov pripojené k záverečnému aktu Lisabonskej zmluvy) a o prípadnom použití článku 192 ods. 2 druhého pododseku ZFEÚ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2. kvartál 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Hlbší a spravodlivejší vnútorný trh so silnejšou priemyselnou základňou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Spravodlivé zdaňovanie v digitálnom hospodárstve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Návrh na stanovenie pravidiel na úrovni EÚ umožňujúcich zdaňovanie ziskov, ktoré dosahujú nadnárodné spoločnosti prostredníctvom digitálneho hospodárstva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články 113 a 115 ZFEÚ, 1. kvartál 2018).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Balík opatrení v oblasti sociálnej spravodlivosti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Návrh na vytvorenie európskeho orgánu práce (legislatívna iniciatíva, 2. kvartál 2018); iniciatíva o prístupe k sociálnej ochrane pre atypické samostatne zárobkovo činné osoby </w:t>
            </w:r>
            <w:r>
              <w:rPr>
                <w:rFonts w:ascii="Times New Roman" w:hAnsi="Times New Roman"/>
                <w:noProof/>
                <w:sz w:val="20"/>
              </w:rPr>
              <w:t>(legislatívna/nelegislatívna iniciatíva, články 153 až 155, článok 352 ZFEÚ, 2. kvartál 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iniciatíva týkajúca sa európskeho čísla sociálneho poistenia, ktoré by sa podľa potreby dalo použiť v rôznych oblastiach politiky </w:t>
            </w:r>
            <w:r>
              <w:rPr>
                <w:rFonts w:ascii="Times New Roman" w:hAnsi="Times New Roman"/>
                <w:noProof/>
                <w:sz w:val="20"/>
              </w:rPr>
              <w:t xml:space="preserve">(legislatívna iniciatíva, vrátane posúdenia vplyvu, 2. kvartál 2018);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revízia smernice o písomnom vyhlásení v rámci programu REFIT, ktorou sa pre zamestnávateľov stanovuje povinnosť informovať zamestnancov o podmienkach vzťahujúcich sa na zmluvu alebo na pracovnoprávny vzťah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vplyvu/nelegislatívna iniciatíva, články 153 a 154 ZFEÚ, 4. kvartál 2017).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Potravinový dodávateľský reťazec v EÚ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Návrh na zlepšenie potravinového dodávateľského reťazca v EÚ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články 42 a 43 ZFEÚ, 1. kvartál 2018).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Dobudovanie únie kapitálových trhov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Revidovaný rámec pre investičné spoločnosti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114 ZFEÚ, 4. kvartál 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; akčný plán pre udržateľné financovanie s regulačnými opatreniami</w:t>
            </w:r>
            <w:r>
              <w:rPr>
                <w:rFonts w:ascii="Times New Roman" w:hAnsi="Times New Roman"/>
                <w:noProof/>
                <w:sz w:val="20"/>
              </w:rPr>
              <w:t xml:space="preserve"> (legislatívna iniciatíva, vrátane posúdenia vplyvu/nelegislatívna iniciatíva, 1.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iniciatíva v oblasti finančných technológií (FinTech)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1.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návrh rámca EÚ pre kolektívne financovanie a partnerské financovanie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 114 ZFEÚ, 1. kvartál 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európsky podporný rámec pre kryté dlhopisy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114 ZFEÚ, 1. 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a iniciatíva platformy REFIT o odstraňovaní prekážok cezhraničnej distribúcie alternatívnych investičných fondov a PKIPCP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114 ZFEÚ, 1. kvartál 2018).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Efektívnejšia tvorba právnych predpisov v oblasti jednotného trhu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Oznámenie o možnosti ďalšieho rozšírenia používania hlasovania kvalifikovanou väčšinou a riadneho legislatívneho postupu pri záležitostiach týkajúcich sa vnútorného trhu na základe článku 48 ods. 7 ZEÚ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3. kvartál 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rFonts w:ascii="Times New Roman" w:hAnsi="Times New Roman"/>
                <w:b/>
                <w:noProof/>
                <w:sz w:val="20"/>
              </w:rPr>
              <w:t>Hlbšia a spravodlivejšia hospodárska a menová únia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Dobudovanie hospodárskej a menovej únie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Návrhy na transformáciu Európskeho mechanizmu pre stabilitu na Európsky menový fond v rámci práva EÚ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4. kvartál 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; vytvorenie samostatného rozpočtového riadku eurozóny v rozpočte EÚ, ktorý bude zabezpečovať štyri funkcie: 1. pomoc pri štrukturálnych reformách, 2. stabilizačnú funkciu, 3. zabezpečovací mechanizmus pre bankovú úniu a 4. nástroj konvergencie na poskytovanie predvstupovej pomoci členským štátom pripravujúcim sa na členstvo v eurozóne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4. kvartál 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a na začlenenie podstaty Zmluvy o stabilite, koordinácii a správe v hospodárskej a menovej únii do práva Únie pri zohľadnení flexibility zakotvenej v Pakte stability a rastu, ktorú Komisia vytýčila od januára 2015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4. kvartál 2017).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Dobudovanie bankovej únie 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Návrhy na rozvoj sekundárnych trhov pre nesplácané úvery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114 ZFEÚ, 1.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>; ochrana zabezpečených veriteľov proti riziku platobnej neschopnosti dlžných podnikov</w:t>
            </w:r>
            <w:r>
              <w:rPr>
                <w:rFonts w:ascii="Times New Roman" w:hAnsi="Times New Roman"/>
                <w:noProof/>
                <w:sz w:val="20"/>
              </w:rPr>
              <w:t xml:space="preserve"> (legislatívna iniciatíva, vrátane posúdenia vplyvu, článok 114 ZFEÚ, 1.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a podporný rámec pre vývoj cenných papierov EÚ krytých štátnymi dlhopismi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 114 ZFEÚ, 1. kvartál 2018).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Vytvorenie trvalej pozície európskeho ministra hospodárstva a financií, ktorý bude mať povinnosť zodpovedať sa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 xml:space="preserve"> (iniciatíva, ktorá sa má začať s perspektívou do roku 2025)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Oznámenie o možnom vytvorení trvalej pozície európskeho ministra hospodárstva a financií, ktorý bude mať povinnosť demokratickej zodpovednosti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4. kvartál 2017)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keepNext/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Obchod: Vyvážená a pokroková obchodná politika na využívanie globalizácie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Dosahovanie cieľov stratégie Obchod pre všetkých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Dokončenie dohôd s Japonskom, Singapurom a Vietnamom, pokračovanie v rokovaniach s Mexikom a krajinami Mercosuru, napredovanie v rokovaniach s Austráliou a Novým Zélandom, hneď ako Rada schváli mandáty odporučené Komisiou.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Oblasť spravodlivosti a základných práv založená na vzájomnej dôvere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Dobudovanie bezpečnostnej únie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Vykonávanie programu bezpečnostnej únie a napredovanie v boji proti terorizmu: 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návrhy na umožnenie interoperability medzi informačnými systémami EÚ pre bezpečnosť, riadenie hraníc a migrácie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(legislatívna iniciatíva, vrátane posúdenia vplyvu, články 74, 77, 79, 85, 87, 88, 4. kvartál 2017)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; návrh na zlepšenie cezhraničného prístupu orgánov presadzovania práva k elektronickým dôkazom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(legislatívna iniciatíva, vrátane posúdenia vplyvu, článok 82 ZFEÚ, 1. kvartál 2018)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;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revízia nariadenia o uvádzaní prekurzorov výbušnín na trh a ich používaní v rámci programu REFIT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114 ZFEÚ, 2.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iniciatívy na uľahčenie cezhraničného prístupu k finančným údajom a uľahčenie ich využívania zo strany orgánov presadzovania práva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vplyvu/nelegislatívna iniciatíva, 2. kvartál 2018).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Mechanizmus Únie v oblasti civilnej ochrany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Style w:val="truncate"/>
                <w:rFonts w:ascii="Times New Roman" w:hAnsi="Times New Roman"/>
                <w:b/>
                <w:noProof/>
                <w:sz w:val="20"/>
              </w:rPr>
              <w:t xml:space="preserve">Návrh rozhodnutia Európskeho parlamentu a Rady o revízii rozhodnutia č. 1313/2013/EÚ pre plnohodnotný mechanizmus Európskej únie v oblasti civilnej ochrany s vlastnou operačnou kapacitou </w:t>
            </w:r>
            <w:r>
              <w:rPr>
                <w:rStyle w:val="truncate"/>
                <w:rFonts w:ascii="Times New Roman" w:hAnsi="Times New Roman"/>
                <w:noProof/>
                <w:sz w:val="20"/>
              </w:rPr>
              <w:t>(legislatívna iniciatíva, článok 196 ZFEÚ, 4. kvartál 2017).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Rozšírenie úloh novej Európskej prokuratúry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Oznámenie o možnom rozšírení úloh novej Európskej prokuratúry aj na boj proti terorizmu na základe článku 86 ods. 4 ZFEÚ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3. kvartál 2018).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Právny štát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Iniciatíva na posilnenie presadzovania zásad právneho štátu v Európskej únii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4. kvartál 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Smerom k novej politike v oblasti migrácie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Dosahovanie výsledkov migračnej agendy EÚ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Revízia spoločného vízového kódexu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článok 77 ZFEÚ, 1. kvartál 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revízia vízového informačného systému v rámci programu REFIT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články 77 a 87 ZFEÚ, 2. kvartál 2018)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revízia nariadenia o imigračných styčných dôstojníkoch </w:t>
            </w:r>
            <w:r>
              <w:rPr>
                <w:rFonts w:ascii="Times New Roman" w:hAnsi="Times New Roman"/>
                <w:noProof/>
                <w:sz w:val="20"/>
              </w:rPr>
              <w:t>(legislatívna iniciatíva, vrátane posúdenia vplyvu, 2. kvartál 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keepNext/>
              <w:spacing w:before="60" w:after="60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Silnejší globálny aktér 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Dosahovanie cieľov globálnej stratégie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Vrátane stratégie EÚ na zintenzívnenie vzťahov medzi Európou a Áziou; obnovené partnerstvo s Latinskou Amerikou a Karibikom a nové rámce pre spoluprácu s Indiou, Iránom a Irakom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1. a 2. kvartál 2018).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Dôveryhodná perspektíva rozšírenia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Stratégia pre úspešné pristúpenie Srbska a Čiernej Hory ako najpokročilejších kandidátov na západnom Balkáne k EÚ s osobitným dôrazom na dodržiavanie zásad právneho štátu, základné práva, boj proti korupcii a organizovanej trestnej činnosti a na celkovú stabilitu regiónu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1. kvartál 2018).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Efektívnejšie a konzistentnejšie vykonávanie spoločnej zahraničnej politiky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Oznámenie o možnosti ďalšieho rozšírenia používania hlasovania kvalifikovanou väčšinou pri spoločnej zahraničnej politike na základe článku 31 ods. 3 ZEÚ, ako aj o zvýšení konzistentnosti spoločnej zahraničnej politiky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3. kvartál 2018).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Únia demokratickej zmeny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Komunikovanie posolstva o Európe</w:t>
            </w:r>
          </w:p>
        </w:tc>
        <w:tc>
          <w:tcPr>
            <w:tcW w:w="3565" w:type="pct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Oznámenie o spôsoboch, akými možno dosiahnuť jednotnejšiu, silnejšiu a demokratickejšiu Úniu z hľadiska komunikácie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2. kvartál 2018).</w:t>
            </w:r>
          </w:p>
        </w:tc>
      </w:tr>
      <w:tr>
        <w:trPr>
          <w:cantSplit/>
        </w:trPr>
        <w:tc>
          <w:tcPr>
            <w:tcW w:w="181" w:type="pct"/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Menej, ale efektívnejšie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2025)</w:t>
            </w:r>
          </w:p>
        </w:tc>
        <w:tc>
          <w:tcPr>
            <w:tcW w:w="3565" w:type="pct"/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Oznámenie o ďalšom posilnení subsidiarity, proporcionality a lepšej právnej regulácii v každodennom fungovaní Európskej únie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3. kvartál 2018).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Efektívnejšia a demokratickejšia Európa 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(iniciatíva, ktorá sa má začať s perspektívou do roku 2025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Oznámenie o možnostiach zlepšenia efektívnosti vo vedení Európskej únie </w:t>
            </w:r>
            <w:r>
              <w:rPr>
                <w:rFonts w:ascii="Times New Roman" w:hAnsi="Times New Roman"/>
                <w:noProof/>
                <w:sz w:val="20"/>
              </w:rPr>
              <w:t>(nelegislatívna iniciatíva, 3. kvartál 2018).</w:t>
            </w:r>
          </w:p>
        </w:tc>
      </w:tr>
    </w:tbl>
    <w:p>
      <w:pPr>
        <w:spacing w:after="480"/>
        <w:outlineLvl w:val="0"/>
        <w:rPr>
          <w:rFonts w:ascii="Times New Roman" w:hAnsi="Times New Roman"/>
          <w:b/>
          <w:noProof/>
          <w:sz w:val="20"/>
          <w:szCs w:val="20"/>
          <w:highlight w:val="yellow"/>
          <w:u w:val="single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34106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after="60"/>
        <w:jc w:val="both"/>
        <w:rPr>
          <w:sz w:val="18"/>
          <w:szCs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V súlade s Medziinštitucionálnou dohodou o lepšej tvorbe práva Komisia v tejto prílohe poskytuje ďalšie informácie, ak sú dostupné, o iniciatívach zahrnutých do jej pracovného programu. Tieto informácie, ktoré sa pod opisom každej iniciatívy uvádzajú v zátvorkách, sú len orientačné a môžu sa počas prípravného procesu zmeniť, najmä vzhľadom na výsledok posúdenia vplyvu.</w:t>
      </w:r>
    </w:p>
  </w:footnote>
  <w:footnote w:id="3">
    <w:p>
      <w:pPr>
        <w:pStyle w:val="FootnoteText"/>
        <w:jc w:val="both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Balík predpisov o obehovom hospodárstve bol zahrnutý už v prílohe I k pracovnému programu Komisie na rok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7742B7DE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CORRIGENDUM" w:val="&lt;UNUSED&gt;"/>
    <w:docVar w:name="LW_COVERPAGE_EXISTS" w:val="True"/>
    <w:docVar w:name="LW_COVERPAGE_GUID" w:val="B46A6B07-2E8E-4653-90E8-9D3E6B66E143"/>
    <w:docVar w:name="LW_COVERPAGE_TYPE" w:val="1"/>
    <w:docVar w:name="LW_CROSSREFERENCE" w:val="&lt;UNUSED&gt;"/>
    <w:docVar w:name="LW_DocType" w:val="NORMAL"/>
    <w:docVar w:name="LW_EMISSION" w:val="24. 10. 2017"/>
    <w:docVar w:name="LW_EMISSION_ISODATE" w:val="2017-10-24"/>
    <w:docVar w:name="LW_EMISSION_LOCATION" w:val="STR"/>
    <w:docVar w:name="LW_EMISSION_PREFIX" w:val="V Štrasburgu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_x000b_Pracovný program Komisie na rok 2018_x000b__x000b_Program na vytvorenie jednotnej\u353?ej, silnej\u353?ej a demokratickej\u353?ej Európy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OZNÁMENIU KOMISIE EURÓPSKEMU PARLAMENTU, RADE, EURÓPSKEMU HOSPODÁRSKEMU A SOCIÁLNEMU VÝBORU A VÝBORU REGIÓNOV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runcate">
    <w:name w:val="truncate"/>
    <w:basedOn w:val="DefaultParagraphFont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runcate">
    <w:name w:val="truncate"/>
    <w:basedOn w:val="DefaultParagraphFont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3A17-C5EE-4CEA-A7BE-20F774BE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1545</Words>
  <Characters>10233</Characters>
  <Application>Microsoft Office Word</Application>
  <DocSecurity>0</DocSecurity>
  <Lines>200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2017-10-24T10:16:00Z</dcterms:created>
  <dcterms:modified xsi:type="dcterms:W3CDTF">2017-11-06T14:00:00Z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</Properties>
</file>