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de-DE"/>
        </w:rPr>
      </w:pPr>
      <w:bookmarkStart w:id="0" w:name="LW_BM_COVERPAGE"/>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7C49D10-E30E-45D5-A444-1421EAA20A0E" style="width:450.8pt;height:492.75pt">
            <v:imagedata r:id="rId9" o:title=""/>
          </v:shape>
        </w:pict>
      </w:r>
    </w:p>
    <w:bookmarkEnd w:id="0"/>
    <w:p>
      <w:pPr>
        <w:rPr>
          <w:noProof/>
          <w:lang w:eastAsia="de-D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pStyle w:val="Pagedecouverture"/>
        <w:rPr>
          <w:noProof/>
          <w:lang w:eastAsia="de-DE"/>
        </w:rPr>
      </w:pPr>
      <w:bookmarkStart w:id="1" w:name="_GoBack"/>
      <w:bookmarkEnd w:id="1"/>
    </w:p>
    <w:p>
      <w:pPr>
        <w:spacing w:after="600"/>
        <w:jc w:val="center"/>
        <w:outlineLvl w:val="0"/>
        <w:rPr>
          <w:rFonts w:ascii="Times New Roman" w:hAnsi="Times New Roman"/>
          <w:b/>
          <w:noProof/>
          <w:sz w:val="28"/>
          <w:szCs w:val="28"/>
          <w:u w:val="single"/>
        </w:rPr>
      </w:pPr>
      <w:r>
        <w:rPr>
          <w:rFonts w:ascii="Times New Roman" w:hAnsi="Times New Roman"/>
          <w:b/>
          <w:noProof/>
          <w:sz w:val="28"/>
          <w:u w:val="single"/>
        </w:rPr>
        <w:t>Bilag I: Nye initiativer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13"/>
        <w:gridCol w:w="3555"/>
        <w:gridCol w:w="10106"/>
      </w:tblGrid>
      <w:tr>
        <w:trPr>
          <w:cantSplit/>
          <w:tblHeader/>
        </w:trPr>
        <w:tc>
          <w:tcPr>
            <w:tcW w:w="181"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Nr.</w:t>
            </w:r>
          </w:p>
        </w:tc>
        <w:tc>
          <w:tcPr>
            <w:tcW w:w="1254"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Titel</w:t>
            </w:r>
          </w:p>
        </w:tc>
        <w:tc>
          <w:tcPr>
            <w:tcW w:w="3565"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Beskrivelse</w:t>
            </w:r>
            <w:r>
              <w:rPr>
                <w:rStyle w:val="FootnoteReference"/>
                <w:rFonts w:ascii="Times New Roman" w:hAnsi="Times New Roman"/>
                <w:b/>
                <w:noProof/>
                <w:sz w:val="20"/>
              </w:rPr>
              <w:footnoteReference w:id="2"/>
            </w:r>
          </w:p>
        </w:tc>
      </w:tr>
      <w:tr>
        <w:trPr>
          <w:cantSplit/>
        </w:trPr>
        <w:tc>
          <w:tcPr>
            <w:tcW w:w="5000" w:type="pct"/>
            <w:gridSpan w:val="3"/>
            <w:tcBorders>
              <w:top w:val="single" w:sz="4" w:space="0" w:color="auto"/>
              <w:left w:val="single" w:sz="4" w:space="0" w:color="auto"/>
              <w:bottom w:val="single" w:sz="4" w:space="0" w:color="auto"/>
            </w:tcBorders>
            <w:shd w:val="clear" w:color="auto" w:fill="92D050"/>
          </w:tcPr>
          <w:p>
            <w:pPr>
              <w:spacing w:before="60" w:after="60"/>
              <w:jc w:val="both"/>
              <w:rPr>
                <w:rFonts w:ascii="Times New Roman" w:hAnsi="Times New Roman"/>
                <w:b/>
                <w:noProof/>
                <w:sz w:val="20"/>
                <w:szCs w:val="20"/>
                <w:lang w:val="da-DK"/>
              </w:rPr>
            </w:pPr>
            <w:r>
              <w:rPr>
                <w:rFonts w:ascii="Times New Roman" w:hAnsi="Times New Roman"/>
                <w:b/>
                <w:noProof/>
                <w:sz w:val="20"/>
                <w:lang w:val="da-DK"/>
              </w:rPr>
              <w:t>Nyt skub i beskæftigelse, vækst og investeringer</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pPr>
              <w:spacing w:after="0"/>
              <w:rPr>
                <w:rFonts w:ascii="Times New Roman" w:hAnsi="Times New Roman"/>
                <w:b/>
                <w:noProof/>
                <w:sz w:val="20"/>
                <w:szCs w:val="20"/>
                <w:lang w:val="da-DK"/>
              </w:rPr>
            </w:pPr>
            <w:r>
              <w:rPr>
                <w:rFonts w:ascii="Times New Roman" w:hAnsi="Times New Roman"/>
                <w:b/>
                <w:noProof/>
                <w:sz w:val="20"/>
                <w:lang w:val="da-DK"/>
              </w:rPr>
              <w:t>Gennemførelse af handlingsplanen for den cirkulære økonomi</w:t>
            </w:r>
            <w:r>
              <w:rPr>
                <w:rStyle w:val="FootnoteReference"/>
                <w:rFonts w:ascii="Times New Roman" w:hAnsi="Times New Roman"/>
                <w:b/>
                <w:noProof/>
                <w:sz w:val="20"/>
              </w:rPr>
              <w:footnoteReference w:id="3"/>
            </w:r>
          </w:p>
        </w:tc>
        <w:tc>
          <w:tcPr>
            <w:tcW w:w="3565" w:type="pct"/>
            <w:tcBorders>
              <w:top w:val="single" w:sz="4" w:space="0" w:color="auto"/>
              <w:left w:val="single" w:sz="4" w:space="0" w:color="auto"/>
              <w:bottom w:val="single" w:sz="4" w:space="0" w:color="auto"/>
            </w:tcBorders>
            <w:shd w:val="clear"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Dette omfatter en strategi for anvendelse, genbrug og genanvendelse af plast</w:t>
            </w:r>
            <w:r>
              <w:rPr>
                <w:noProof/>
                <w:lang w:val="da-DK"/>
              </w:rPr>
              <w:t xml:space="preserve"> </w:t>
            </w:r>
            <w:r>
              <w:rPr>
                <w:rFonts w:ascii="Times New Roman" w:hAnsi="Times New Roman"/>
                <w:noProof/>
                <w:sz w:val="20"/>
                <w:lang w:val="da-DK"/>
              </w:rPr>
              <w:t>(ikkelovgivning, 4. kvartal 2017),</w:t>
            </w:r>
            <w:r>
              <w:rPr>
                <w:rFonts w:ascii="Times New Roman" w:hAnsi="Times New Roman"/>
                <w:b/>
                <w:noProof/>
                <w:sz w:val="20"/>
                <w:lang w:val="da-DK"/>
              </w:rPr>
              <w:t xml:space="preserve"> et forslag til forordning om mindstekrav til kvalitet i forbindelse med genbrug af vand</w:t>
            </w:r>
            <w:r>
              <w:rPr>
                <w:rFonts w:ascii="Times New Roman" w:hAnsi="Times New Roman"/>
                <w:noProof/>
                <w:sz w:val="20"/>
                <w:lang w:val="da-DK"/>
              </w:rPr>
              <w:t xml:space="preserve"> (lovgivning, inkl. konsekvensanalyse, artikel 192 i TEUF, 4. kvartal 2017),</w:t>
            </w:r>
            <w:r>
              <w:rPr>
                <w:rFonts w:ascii="Times New Roman" w:hAnsi="Times New Roman"/>
                <w:b/>
                <w:noProof/>
                <w:sz w:val="20"/>
                <w:lang w:val="da-DK"/>
              </w:rPr>
              <w:t xml:space="preserve"> en Refit-revision af drikkevandsdirektivet</w:t>
            </w:r>
            <w:r>
              <w:rPr>
                <w:rFonts w:ascii="Times New Roman" w:hAnsi="Times New Roman"/>
                <w:noProof/>
                <w:sz w:val="20"/>
                <w:lang w:val="da-DK"/>
              </w:rPr>
              <w:t xml:space="preserve"> (lovgivning inkl. konsekvensanalyse, artikel 192 i TEUF, 4. kvartal 2017),</w:t>
            </w:r>
            <w:r>
              <w:rPr>
                <w:rFonts w:ascii="Times New Roman" w:hAnsi="Times New Roman"/>
                <w:b/>
                <w:noProof/>
                <w:sz w:val="20"/>
                <w:lang w:val="da-DK"/>
              </w:rPr>
              <w:t xml:space="preserve"> et initiativ til afhjælpning af juridisk, teknisk eller praktisk betingede flaskehalse i skæringspunktet mellem kemikalielovgivning, produktlovgivning og affaldslovgivning</w:t>
            </w:r>
            <w:r>
              <w:rPr>
                <w:rFonts w:ascii="Times New Roman" w:hAnsi="Times New Roman"/>
                <w:noProof/>
                <w:sz w:val="20"/>
                <w:lang w:val="da-DK"/>
              </w:rPr>
              <w:t xml:space="preserve"> (ikkelovgivning, 4. kvartal 2017),</w:t>
            </w:r>
            <w:r>
              <w:rPr>
                <w:rFonts w:ascii="Times New Roman" w:hAnsi="Times New Roman"/>
                <w:b/>
                <w:noProof/>
                <w:sz w:val="20"/>
                <w:lang w:val="da-DK"/>
              </w:rPr>
              <w:t xml:space="preserve"> og en ramme for overvågning af den cirkulære økonomi</w:t>
            </w:r>
            <w:r>
              <w:rPr>
                <w:rFonts w:ascii="Times New Roman" w:hAnsi="Times New Roman"/>
                <w:noProof/>
                <w:sz w:val="20"/>
                <w:lang w:val="da-DK"/>
              </w:rPr>
              <w:t xml:space="preserve"> (ikkelovgivning, 4. kvartal 2017).</w:t>
            </w:r>
            <w:r>
              <w:rPr>
                <w:rFonts w:ascii="Times New Roman" w:hAnsi="Times New Roman"/>
                <w:b/>
                <w:noProof/>
                <w:sz w:val="20"/>
                <w:lang w:val="da-DK"/>
              </w:rPr>
              <w:t xml:space="preserve"> </w:t>
            </w:r>
          </w:p>
        </w:tc>
      </w:tr>
      <w:tr>
        <w:trPr>
          <w:cantSplit/>
        </w:trPr>
        <w:tc>
          <w:tcPr>
            <w:tcW w:w="181" w:type="pct"/>
            <w:tcBorders>
              <w:top w:val="single" w:sz="4" w:space="0" w:color="auto"/>
              <w:left w:val="single" w:sz="4" w:space="0" w:color="auto"/>
              <w:bottom w:val="single" w:sz="4" w:space="0" w:color="auto"/>
              <w:right w:val="single" w:sz="4" w:space="0" w:color="auto"/>
            </w:tcBorders>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top w:val="single" w:sz="4" w:space="0" w:color="auto"/>
              <w:left w:val="single" w:sz="4" w:space="0" w:color="auto"/>
              <w:bottom w:val="single" w:sz="4" w:space="0" w:color="auto"/>
              <w:right w:val="single" w:sz="4" w:space="0" w:color="auto"/>
            </w:tcBorders>
            <w:shd w:val="pct25" w:color="auto" w:fill="auto"/>
          </w:tcPr>
          <w:p>
            <w:pPr>
              <w:spacing w:after="0"/>
              <w:rPr>
                <w:rFonts w:ascii="Times New Roman" w:hAnsi="Times New Roman"/>
                <w:b/>
                <w:noProof/>
                <w:sz w:val="20"/>
                <w:szCs w:val="20"/>
              </w:rPr>
            </w:pPr>
            <w:r>
              <w:rPr>
                <w:rFonts w:ascii="Times New Roman" w:hAnsi="Times New Roman"/>
                <w:b/>
                <w:noProof/>
                <w:sz w:val="20"/>
              </w:rPr>
              <w:t xml:space="preserve">Flerårig finansiel ramme </w:t>
            </w:r>
            <w:r>
              <w:rPr>
                <w:rFonts w:ascii="Times New Roman" w:hAnsi="Times New Roman"/>
                <w:b/>
                <w:i/>
                <w:noProof/>
                <w:sz w:val="20"/>
              </w:rPr>
              <w:t>(der skal iværksættes et initiativ med et perspektiv frem til 2025)</w:t>
            </w:r>
          </w:p>
        </w:tc>
        <w:tc>
          <w:tcPr>
            <w:tcW w:w="3565" w:type="pct"/>
            <w:tcBorders>
              <w:top w:val="single" w:sz="4" w:space="0" w:color="auto"/>
              <w:left w:val="single" w:sz="4" w:space="0" w:color="auto"/>
              <w:bottom w:val="single" w:sz="4" w:space="0" w:color="auto"/>
            </w:tcBorders>
            <w:shd w:val="pct25"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Omfattende forslag til den kommende flerårige finansielle ramme efter 2020 (2. kvartal 2018) efterfulgt af forslag til næste generation af programmer og nye egne indtægter </w:t>
            </w:r>
            <w:r>
              <w:rPr>
                <w:rFonts w:ascii="Times New Roman" w:hAnsi="Times New Roman"/>
                <w:noProof/>
                <w:sz w:val="20"/>
                <w:lang w:val="da-DK"/>
              </w:rPr>
              <w:t>(lovgivning, inkl. konsekvensanalyse, artikel 311 i TEUF samt sektorvise grundlag, 2. kvartal 2018)</w:t>
            </w:r>
          </w:p>
        </w:tc>
      </w:tr>
      <w:tr>
        <w:trPr>
          <w:cantSplit/>
        </w:trPr>
        <w:tc>
          <w:tcPr>
            <w:tcW w:w="181" w:type="pct"/>
            <w:tcBorders>
              <w:top w:val="single" w:sz="4" w:space="0" w:color="auto"/>
              <w:left w:val="single" w:sz="4" w:space="0" w:color="auto"/>
              <w:bottom w:val="single" w:sz="4" w:space="0" w:color="auto"/>
              <w:right w:val="single" w:sz="4" w:space="0" w:color="auto"/>
            </w:tcBorders>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top w:val="single" w:sz="4" w:space="0" w:color="auto"/>
              <w:left w:val="single" w:sz="4" w:space="0" w:color="auto"/>
              <w:bottom w:val="single" w:sz="4" w:space="0" w:color="auto"/>
              <w:right w:val="single" w:sz="4" w:space="0" w:color="auto"/>
            </w:tcBorders>
            <w:shd w:val="pct25" w:color="auto" w:fill="auto"/>
          </w:tcPr>
          <w:p>
            <w:pPr>
              <w:spacing w:after="0"/>
              <w:rPr>
                <w:rFonts w:ascii="Times New Roman" w:hAnsi="Times New Roman"/>
                <w:b/>
                <w:noProof/>
                <w:sz w:val="20"/>
                <w:szCs w:val="20"/>
                <w:lang w:val="da-DK"/>
              </w:rPr>
            </w:pPr>
            <w:r>
              <w:rPr>
                <w:rFonts w:ascii="Times New Roman" w:hAnsi="Times New Roman"/>
                <w:b/>
                <w:noProof/>
                <w:sz w:val="20"/>
                <w:lang w:val="da-DK"/>
              </w:rPr>
              <w:t xml:space="preserve">En bæredygtig europæisk fremtid </w:t>
            </w:r>
            <w:r>
              <w:rPr>
                <w:rFonts w:ascii="Times New Roman" w:hAnsi="Times New Roman"/>
                <w:b/>
                <w:i/>
                <w:noProof/>
                <w:sz w:val="20"/>
                <w:lang w:val="da-DK"/>
              </w:rPr>
              <w:t>(der skal iværksættes et initiativ med et perspektiv frem til 2025)</w:t>
            </w:r>
          </w:p>
        </w:tc>
        <w:tc>
          <w:tcPr>
            <w:tcW w:w="3565" w:type="pct"/>
            <w:tcBorders>
              <w:top w:val="single" w:sz="4" w:space="0" w:color="auto"/>
              <w:left w:val="single" w:sz="4" w:space="0" w:color="auto"/>
              <w:bottom w:val="single" w:sz="4" w:space="0" w:color="auto"/>
            </w:tcBorders>
            <w:shd w:val="pct25"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Oplæg om vejen til et bæredygtigt Europa inden 2030, om opfølgningen på FN's mål for bæredygtig udvikling, herunder Parisaftalen om klimaændringer </w:t>
            </w:r>
            <w:r>
              <w:rPr>
                <w:rFonts w:ascii="Times New Roman" w:hAnsi="Times New Roman"/>
                <w:noProof/>
                <w:sz w:val="20"/>
                <w:lang w:val="da-DK"/>
              </w:rPr>
              <w:t>(ikkelovgivning, 2. kvartal 2018)</w:t>
            </w:r>
          </w:p>
        </w:tc>
      </w:tr>
      <w:tr>
        <w:trPr>
          <w:cantSplit/>
        </w:trPr>
        <w:tc>
          <w:tcPr>
            <w:tcW w:w="5000" w:type="pct"/>
            <w:gridSpan w:val="3"/>
            <w:shd w:val="clear" w:color="auto" w:fill="92D050"/>
          </w:tcPr>
          <w:p>
            <w:pPr>
              <w:keepNext/>
              <w:spacing w:before="60" w:after="60"/>
              <w:jc w:val="both"/>
              <w:rPr>
                <w:rFonts w:ascii="Times New Roman" w:hAnsi="Times New Roman"/>
                <w:noProof/>
                <w:sz w:val="20"/>
                <w:szCs w:val="20"/>
              </w:rPr>
            </w:pPr>
            <w:r>
              <w:rPr>
                <w:rFonts w:ascii="Times New Roman" w:hAnsi="Times New Roman"/>
                <w:b/>
                <w:noProof/>
                <w:sz w:val="20"/>
              </w:rPr>
              <w:lastRenderedPageBreak/>
              <w:t>Et forbundet digitalt indre marked</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bottom w:val="single" w:sz="4" w:space="0" w:color="auto"/>
            </w:tcBorders>
          </w:tcPr>
          <w:p>
            <w:pPr>
              <w:spacing w:after="0"/>
              <w:rPr>
                <w:rFonts w:ascii="Times New Roman" w:hAnsi="Times New Roman"/>
                <w:b/>
                <w:noProof/>
                <w:sz w:val="20"/>
                <w:szCs w:val="20"/>
                <w:lang w:val="da-DK"/>
              </w:rPr>
            </w:pPr>
            <w:r>
              <w:rPr>
                <w:rFonts w:ascii="Times New Roman" w:hAnsi="Times New Roman"/>
                <w:b/>
                <w:noProof/>
                <w:sz w:val="20"/>
                <w:lang w:val="da-DK"/>
              </w:rPr>
              <w:t xml:space="preserve">Fuldførelse af det digitale indre marked </w:t>
            </w:r>
          </w:p>
        </w:tc>
        <w:tc>
          <w:tcPr>
            <w:tcW w:w="3565" w:type="pct"/>
            <w:tcBorders>
              <w:bottom w:val="single" w:sz="4" w:space="0" w:color="auto"/>
            </w:tcBorders>
          </w:tcPr>
          <w:p>
            <w:pPr>
              <w:jc w:val="both"/>
              <w:rPr>
                <w:rFonts w:ascii="Times New Roman" w:hAnsi="Times New Roman"/>
                <w:noProof/>
                <w:sz w:val="20"/>
                <w:szCs w:val="20"/>
                <w:lang w:val="da-DK"/>
              </w:rPr>
            </w:pPr>
            <w:r>
              <w:rPr>
                <w:rFonts w:ascii="Times New Roman" w:hAnsi="Times New Roman"/>
                <w:b/>
                <w:noProof/>
                <w:sz w:val="20"/>
                <w:lang w:val="da-DK"/>
              </w:rPr>
              <w:t>Forslag om fairness i forbindelser mellem platforme og virksomheder</w:t>
            </w:r>
            <w:r>
              <w:rPr>
                <w:noProof/>
                <w:lang w:val="da-DK"/>
              </w:rPr>
              <w:t xml:space="preserve"> </w:t>
            </w:r>
            <w:r>
              <w:rPr>
                <w:rFonts w:ascii="Times New Roman" w:hAnsi="Times New Roman"/>
                <w:noProof/>
                <w:sz w:val="20"/>
                <w:lang w:val="da-DK"/>
              </w:rPr>
              <w:t>(lovgivning inkl. konsekvensanalyse, artikel 114 i TEUF, 1. kvartal 2018),</w:t>
            </w:r>
            <w:r>
              <w:rPr>
                <w:rFonts w:ascii="Times New Roman" w:hAnsi="Times New Roman"/>
                <w:b/>
                <w:noProof/>
                <w:sz w:val="20"/>
                <w:lang w:val="da-DK"/>
              </w:rPr>
              <w:t xml:space="preserve"> et initiativ om tackling af udfordringer vedrørende platforme hvad angår udbredelsen af falske oplysninger</w:t>
            </w:r>
            <w:r>
              <w:rPr>
                <w:rFonts w:ascii="Times New Roman" w:hAnsi="Times New Roman"/>
                <w:noProof/>
                <w:sz w:val="20"/>
                <w:lang w:val="da-DK"/>
              </w:rPr>
              <w:t xml:space="preserve"> (ikkelovgivning, 1. kvartal 2018)</w:t>
            </w:r>
            <w:r>
              <w:rPr>
                <w:rFonts w:ascii="Times New Roman" w:hAnsi="Times New Roman"/>
                <w:b/>
                <w:noProof/>
                <w:sz w:val="20"/>
                <w:lang w:val="da-DK"/>
              </w:rPr>
              <w:t xml:space="preserve"> og en revision af Kommissionens retningslinjer for markedsanalyse og vurdering af stærk markedsposition i sektoren for elektronisk kommunikation </w:t>
            </w:r>
            <w:r>
              <w:rPr>
                <w:rFonts w:ascii="Times New Roman" w:hAnsi="Times New Roman"/>
                <w:noProof/>
                <w:sz w:val="20"/>
                <w:lang w:val="da-DK"/>
              </w:rPr>
              <w:t>(ikkelovgivning, 2. kvartal 2018)</w:t>
            </w:r>
          </w:p>
        </w:tc>
      </w:tr>
      <w:tr>
        <w:trPr>
          <w:cantSplit/>
        </w:trPr>
        <w:tc>
          <w:tcPr>
            <w:tcW w:w="5000" w:type="pct"/>
            <w:gridSpan w:val="3"/>
            <w:shd w:val="clear" w:color="auto" w:fill="92D050"/>
          </w:tcPr>
          <w:p>
            <w:pPr>
              <w:spacing w:before="60" w:after="60"/>
              <w:jc w:val="both"/>
              <w:rPr>
                <w:rFonts w:ascii="Times New Roman" w:hAnsi="Times New Roman"/>
                <w:noProof/>
                <w:sz w:val="20"/>
                <w:szCs w:val="20"/>
                <w:lang w:val="da-DK"/>
              </w:rPr>
            </w:pPr>
            <w:r>
              <w:rPr>
                <w:rFonts w:ascii="Times New Roman" w:hAnsi="Times New Roman"/>
                <w:b/>
                <w:noProof/>
                <w:sz w:val="20"/>
                <w:lang w:val="da-DK"/>
              </w:rPr>
              <w:t>En modstandsdygtig energiunion med en fremadrettet politik for klimaændringer</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tcPr>
          <w:p>
            <w:pPr>
              <w:spacing w:after="0"/>
              <w:rPr>
                <w:rFonts w:ascii="Times New Roman" w:hAnsi="Times New Roman"/>
                <w:b/>
                <w:noProof/>
                <w:sz w:val="20"/>
                <w:szCs w:val="20"/>
              </w:rPr>
            </w:pPr>
            <w:r>
              <w:rPr>
                <w:rFonts w:ascii="Times New Roman" w:hAnsi="Times New Roman"/>
                <w:b/>
                <w:noProof/>
                <w:sz w:val="20"/>
              </w:rPr>
              <w:t xml:space="preserve">Fuldførelse af energiunionen </w:t>
            </w:r>
          </w:p>
        </w:tc>
        <w:tc>
          <w:tcPr>
            <w:tcW w:w="3565" w:type="pct"/>
            <w:tcBorders>
              <w:bottom w:val="single" w:sz="4" w:space="0" w:color="auto"/>
            </w:tcBorders>
          </w:tcPr>
          <w:p>
            <w:pPr>
              <w:spacing w:after="0"/>
              <w:jc w:val="both"/>
              <w:rPr>
                <w:rFonts w:ascii="Times New Roman" w:hAnsi="Times New Roman"/>
                <w:b/>
                <w:noProof/>
                <w:sz w:val="20"/>
                <w:szCs w:val="20"/>
                <w:lang w:val="da-DK"/>
              </w:rPr>
            </w:pPr>
            <w:r>
              <w:rPr>
                <w:rFonts w:ascii="Times New Roman" w:hAnsi="Times New Roman"/>
                <w:b/>
                <w:noProof/>
                <w:sz w:val="20"/>
                <w:lang w:val="da-DK"/>
              </w:rPr>
              <w:t>Opfølgning på solidaritetsaspektet af energiunionen, herunder et forslag om fælles regler for gasledninger, der indgår i det europæiske indre gasmarked</w:t>
            </w:r>
            <w:r>
              <w:rPr>
                <w:noProof/>
                <w:lang w:val="da-DK"/>
              </w:rPr>
              <w:t xml:space="preserve"> </w:t>
            </w:r>
            <w:r>
              <w:rPr>
                <w:rFonts w:ascii="Times New Roman" w:hAnsi="Times New Roman"/>
                <w:noProof/>
                <w:sz w:val="20"/>
                <w:lang w:val="da-DK"/>
              </w:rPr>
              <w:t>(lovgivning, inkl. konsekvensanalyse, artikel 194 i TEUF, 4. kvartal 2017)</w:t>
            </w:r>
          </w:p>
        </w:tc>
      </w:tr>
      <w:tr>
        <w:trPr>
          <w:cantSplit/>
        </w:trPr>
        <w:tc>
          <w:tcPr>
            <w:tcW w:w="181" w:type="pct"/>
            <w:tcBorders>
              <w:bottom w:val="single" w:sz="4" w:space="0" w:color="auto"/>
            </w:tcBorders>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shd w:val="pct25" w:color="auto" w:fill="auto"/>
          </w:tcPr>
          <w:p>
            <w:pPr>
              <w:spacing w:after="0"/>
              <w:rPr>
                <w:rFonts w:ascii="Times New Roman" w:hAnsi="Times New Roman"/>
                <w:b/>
                <w:noProof/>
                <w:sz w:val="20"/>
                <w:szCs w:val="20"/>
              </w:rPr>
            </w:pPr>
            <w:r>
              <w:rPr>
                <w:rFonts w:ascii="Times New Roman" w:hAnsi="Times New Roman"/>
                <w:b/>
                <w:noProof/>
                <w:sz w:val="20"/>
              </w:rPr>
              <w:t>Fremtiden for EU's energi- og klimapolitik (</w:t>
            </w:r>
            <w:r>
              <w:rPr>
                <w:rFonts w:ascii="Times New Roman" w:hAnsi="Times New Roman"/>
                <w:b/>
                <w:i/>
                <w:noProof/>
                <w:sz w:val="20"/>
              </w:rPr>
              <w:t>der skal iværksættes et initiativ med et perspektiv frem til 2025</w:t>
            </w:r>
            <w:r>
              <w:rPr>
                <w:rFonts w:ascii="Times New Roman" w:hAnsi="Times New Roman"/>
                <w:b/>
                <w:noProof/>
                <w:sz w:val="20"/>
              </w:rPr>
              <w:t>)</w:t>
            </w:r>
          </w:p>
        </w:tc>
        <w:tc>
          <w:tcPr>
            <w:tcW w:w="3565" w:type="pct"/>
            <w:tcBorders>
              <w:bottom w:val="single" w:sz="4" w:space="0" w:color="auto"/>
            </w:tcBorders>
            <w:shd w:val="pct25" w:color="auto" w:fill="auto"/>
          </w:tcPr>
          <w:p>
            <w:pPr>
              <w:spacing w:after="0"/>
              <w:jc w:val="both"/>
              <w:rPr>
                <w:rFonts w:ascii="Times New Roman" w:hAnsi="Times New Roman"/>
                <w:b/>
                <w:noProof/>
                <w:sz w:val="20"/>
                <w:szCs w:val="20"/>
              </w:rPr>
            </w:pPr>
            <w:r>
              <w:rPr>
                <w:rFonts w:ascii="Times New Roman" w:hAnsi="Times New Roman"/>
                <w:b/>
                <w:noProof/>
                <w:sz w:val="20"/>
              </w:rPr>
              <w:t>Meddelelse om fremtiden for EU's energi- og klimapolitik, herunder Euratomtraktatens fremtid (under hensyntagen til erklæring nr. 54 fra fem medlemsstater, som er knyttet som bilag til Lissabontraktatens slutakt) og om den eventuelle anvendelse af artikel 192, stk. 2, andet afsnit, i TEUF</w:t>
            </w:r>
            <w:r>
              <w:rPr>
                <w:noProof/>
              </w:rPr>
              <w:t xml:space="preserve"> </w:t>
            </w:r>
            <w:r>
              <w:rPr>
                <w:rFonts w:ascii="Times New Roman" w:hAnsi="Times New Roman"/>
                <w:noProof/>
                <w:sz w:val="20"/>
              </w:rPr>
              <w:t>(ikkelovgivning, 2. kvartal 2018)</w:t>
            </w:r>
          </w:p>
        </w:tc>
      </w:tr>
      <w:tr>
        <w:trPr>
          <w:cantSplit/>
        </w:trPr>
        <w:tc>
          <w:tcPr>
            <w:tcW w:w="5000" w:type="pct"/>
            <w:gridSpan w:val="3"/>
            <w:tcBorders>
              <w:top w:val="single" w:sz="4" w:space="0" w:color="auto"/>
              <w:left w:val="single" w:sz="4" w:space="0" w:color="auto"/>
              <w:bottom w:val="single" w:sz="4" w:space="0" w:color="auto"/>
            </w:tcBorders>
            <w:shd w:val="clear" w:color="auto" w:fill="92D050"/>
          </w:tcPr>
          <w:p>
            <w:pPr>
              <w:spacing w:before="60" w:after="60"/>
              <w:jc w:val="both"/>
              <w:rPr>
                <w:rFonts w:ascii="Times New Roman" w:hAnsi="Times New Roman"/>
                <w:b/>
                <w:noProof/>
                <w:sz w:val="20"/>
                <w:szCs w:val="20"/>
                <w:lang w:val="da-DK"/>
              </w:rPr>
            </w:pPr>
            <w:r>
              <w:rPr>
                <w:rFonts w:ascii="Times New Roman" w:hAnsi="Times New Roman"/>
                <w:b/>
                <w:noProof/>
                <w:sz w:val="20"/>
                <w:lang w:val="da-DK"/>
              </w:rPr>
              <w:t>Et stærkere og mere fair indre marked med et styrket industrigrundlag</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pPr>
              <w:spacing w:after="0"/>
              <w:rPr>
                <w:rFonts w:ascii="Times New Roman" w:hAnsi="Times New Roman"/>
                <w:b/>
                <w:noProof/>
                <w:sz w:val="20"/>
                <w:szCs w:val="20"/>
              </w:rPr>
            </w:pPr>
            <w:r>
              <w:rPr>
                <w:rFonts w:ascii="Times New Roman" w:hAnsi="Times New Roman"/>
                <w:b/>
                <w:noProof/>
                <w:sz w:val="20"/>
              </w:rPr>
              <w:t>Retfærdig beskatning i den digitale økonomi</w:t>
            </w:r>
          </w:p>
        </w:tc>
        <w:tc>
          <w:tcPr>
            <w:tcW w:w="3565" w:type="pct"/>
            <w:tcBorders>
              <w:top w:val="single" w:sz="4" w:space="0" w:color="auto"/>
              <w:left w:val="single" w:sz="4" w:space="0" w:color="auto"/>
              <w:bottom w:val="single" w:sz="4" w:space="0" w:color="auto"/>
            </w:tcBorders>
            <w:shd w:val="clear"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Forslag om indførelse af regler på EU-plan, der gør det muligt at beskatte fortjenester, som multinationale selskaber har skabt ved hjælp af den digitale økonomi</w:t>
            </w:r>
            <w:r>
              <w:rPr>
                <w:b/>
                <w:noProof/>
                <w:lang w:val="da-DK"/>
              </w:rPr>
              <w:t xml:space="preserve"> </w:t>
            </w:r>
            <w:r>
              <w:rPr>
                <w:rFonts w:ascii="Times New Roman" w:hAnsi="Times New Roman"/>
                <w:b/>
                <w:noProof/>
                <w:sz w:val="20"/>
                <w:lang w:val="da-DK"/>
              </w:rPr>
              <w:t>(lovgivning, inkl. konsekvensanalyse, artikel 113 og 115 i TEUF, 1. kvartal 2018)</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pPr>
              <w:spacing w:after="0"/>
              <w:rPr>
                <w:rFonts w:ascii="Times New Roman" w:hAnsi="Times New Roman"/>
                <w:b/>
                <w:noProof/>
                <w:sz w:val="20"/>
                <w:szCs w:val="20"/>
              </w:rPr>
            </w:pPr>
            <w:r>
              <w:rPr>
                <w:rFonts w:ascii="Times New Roman" w:hAnsi="Times New Roman"/>
                <w:b/>
                <w:noProof/>
                <w:sz w:val="20"/>
              </w:rPr>
              <w:t>Pakke om social retfærdighed</w:t>
            </w:r>
          </w:p>
        </w:tc>
        <w:tc>
          <w:tcPr>
            <w:tcW w:w="3565" w:type="pct"/>
            <w:tcBorders>
              <w:top w:val="single" w:sz="4" w:space="0" w:color="auto"/>
              <w:left w:val="single" w:sz="4" w:space="0" w:color="auto"/>
              <w:bottom w:val="single" w:sz="4" w:space="0" w:color="auto"/>
            </w:tcBorders>
            <w:shd w:val="clear"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Forslag om at oprette en europæisk arbejdstilsynsmyndighed (lovgivningsmæssig, 2. kvartal 2018), et initiativ om adgang til social beskyttelse for atypiske selvstændige erhvervsdrivende </w:t>
            </w:r>
            <w:r>
              <w:rPr>
                <w:rFonts w:ascii="Times New Roman" w:hAnsi="Times New Roman"/>
                <w:noProof/>
                <w:sz w:val="20"/>
                <w:lang w:val="da-DK"/>
              </w:rPr>
              <w:t>(lovgivning/ikkelovgivning, artikel 153-155, artikel 352 i TEUF, 2. kvartal 2018)</w:t>
            </w:r>
            <w:r>
              <w:rPr>
                <w:rFonts w:ascii="Times New Roman" w:hAnsi="Times New Roman"/>
                <w:b/>
                <w:noProof/>
                <w:sz w:val="20"/>
                <w:lang w:val="da-DK"/>
              </w:rPr>
              <w:t xml:space="preserve">, et initiativ om et europæisk socialsikringsnummer, der om nødvendigt kan bruges på tværs af politikområder </w:t>
            </w:r>
            <w:r>
              <w:rPr>
                <w:rFonts w:ascii="Times New Roman" w:hAnsi="Times New Roman"/>
                <w:noProof/>
                <w:sz w:val="20"/>
                <w:lang w:val="da-DK"/>
              </w:rPr>
              <w:t xml:space="preserve">(lovgivning, inkl. konsekvensanalyse, 2. kvartal 2018) </w:t>
            </w:r>
            <w:r>
              <w:rPr>
                <w:rFonts w:ascii="Times New Roman" w:hAnsi="Times New Roman"/>
                <w:b/>
                <w:noProof/>
                <w:sz w:val="20"/>
                <w:lang w:val="da-DK"/>
              </w:rPr>
              <w:t>en Refit-revision af direktivet vedrørende en skriftlig erklæring, der fastlægger arbejdsgiverens forpligtelse til at underrette arbejdstageren om vilkårene for en arbejdskontrakten eller ansættelsesforholdet</w:t>
            </w:r>
            <w:r>
              <w:rPr>
                <w:rFonts w:ascii="Times New Roman" w:hAnsi="Times New Roman"/>
                <w:noProof/>
                <w:sz w:val="20"/>
                <w:lang w:val="da-DK"/>
              </w:rPr>
              <w:t xml:space="preserve"> (lovgivning, inkl. konsekvensanalyse/ikkelovgivning, artikel 153 og 154 i TEUF, 4. kvartal 2017)</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pPr>
              <w:spacing w:after="0"/>
              <w:rPr>
                <w:rFonts w:ascii="Times New Roman" w:hAnsi="Times New Roman"/>
                <w:b/>
                <w:noProof/>
                <w:sz w:val="20"/>
                <w:szCs w:val="20"/>
              </w:rPr>
            </w:pPr>
            <w:r>
              <w:rPr>
                <w:rFonts w:ascii="Times New Roman" w:hAnsi="Times New Roman"/>
                <w:b/>
                <w:noProof/>
                <w:sz w:val="20"/>
              </w:rPr>
              <w:t xml:space="preserve">EU's fødevareforsyningskæde </w:t>
            </w:r>
          </w:p>
        </w:tc>
        <w:tc>
          <w:tcPr>
            <w:tcW w:w="3565" w:type="pct"/>
            <w:tcBorders>
              <w:top w:val="single" w:sz="4" w:space="0" w:color="auto"/>
              <w:left w:val="single" w:sz="4" w:space="0" w:color="auto"/>
              <w:bottom w:val="single" w:sz="4" w:space="0" w:color="auto"/>
            </w:tcBorders>
            <w:shd w:val="clear" w:color="auto" w:fill="auto"/>
          </w:tcPr>
          <w:p>
            <w:pPr>
              <w:spacing w:after="0"/>
              <w:jc w:val="both"/>
              <w:rPr>
                <w:rFonts w:ascii="Times New Roman" w:hAnsi="Times New Roman"/>
                <w:b/>
                <w:noProof/>
                <w:sz w:val="20"/>
                <w:szCs w:val="20"/>
              </w:rPr>
            </w:pPr>
            <w:r>
              <w:rPr>
                <w:rFonts w:ascii="Times New Roman" w:hAnsi="Times New Roman"/>
                <w:b/>
                <w:noProof/>
                <w:sz w:val="20"/>
              </w:rPr>
              <w:t xml:space="preserve">Forslag om at forbedre EU's fødevareforsyningskæde </w:t>
            </w:r>
            <w:r>
              <w:rPr>
                <w:rFonts w:ascii="Times New Roman" w:hAnsi="Times New Roman"/>
                <w:noProof/>
                <w:sz w:val="20"/>
              </w:rPr>
              <w:t>(lovgivning, inkl. konsekvensanalyse, artikel 42 og 43 i TEUF, 1. kvartal 2018)</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pPr>
              <w:spacing w:after="0"/>
              <w:rPr>
                <w:rFonts w:ascii="Times New Roman" w:hAnsi="Times New Roman"/>
                <w:b/>
                <w:noProof/>
                <w:sz w:val="20"/>
                <w:szCs w:val="20"/>
              </w:rPr>
            </w:pPr>
            <w:r>
              <w:rPr>
                <w:rFonts w:ascii="Times New Roman" w:hAnsi="Times New Roman"/>
                <w:b/>
                <w:noProof/>
                <w:sz w:val="20"/>
              </w:rPr>
              <w:t xml:space="preserve">Gennemførelse af kapitalmarkedsunionen </w:t>
            </w:r>
          </w:p>
        </w:tc>
        <w:tc>
          <w:tcPr>
            <w:tcW w:w="3565" w:type="pct"/>
            <w:tcBorders>
              <w:top w:val="single" w:sz="4" w:space="0" w:color="auto"/>
              <w:left w:val="single" w:sz="4" w:space="0" w:color="auto"/>
              <w:bottom w:val="single" w:sz="4" w:space="0" w:color="auto"/>
            </w:tcBorders>
            <w:shd w:val="clear" w:color="auto" w:fill="auto"/>
          </w:tcPr>
          <w:p>
            <w:pPr>
              <w:spacing w:after="0"/>
              <w:jc w:val="both"/>
              <w:rPr>
                <w:rFonts w:ascii="Times New Roman" w:hAnsi="Times New Roman"/>
                <w:b/>
                <w:noProof/>
                <w:sz w:val="20"/>
                <w:szCs w:val="20"/>
              </w:rPr>
            </w:pPr>
            <w:r>
              <w:rPr>
                <w:rFonts w:ascii="Times New Roman" w:hAnsi="Times New Roman"/>
                <w:b/>
                <w:noProof/>
                <w:sz w:val="20"/>
              </w:rPr>
              <w:t>En revideret ramme for investeringsfirmaer</w:t>
            </w:r>
            <w:r>
              <w:rPr>
                <w:noProof/>
              </w:rPr>
              <w:t xml:space="preserve"> </w:t>
            </w:r>
            <w:r>
              <w:rPr>
                <w:rFonts w:ascii="Times New Roman" w:hAnsi="Times New Roman"/>
                <w:noProof/>
                <w:sz w:val="20"/>
              </w:rPr>
              <w:t>(lovgivning, inkl. konsekvensanalyse, artikel 114 i TEUF, 4. kvartal 2017)</w:t>
            </w:r>
            <w:r>
              <w:rPr>
                <w:noProof/>
              </w:rPr>
              <w:t>,</w:t>
            </w:r>
            <w:r>
              <w:rPr>
                <w:rFonts w:ascii="Times New Roman" w:hAnsi="Times New Roman"/>
                <w:b/>
                <w:noProof/>
                <w:sz w:val="20"/>
              </w:rPr>
              <w:t xml:space="preserve"> en handlingsplan om bæredygtig finansiering ved hjælp af regulerende foranstaltninger </w:t>
            </w:r>
            <w:r>
              <w:rPr>
                <w:rFonts w:ascii="Times New Roman" w:hAnsi="Times New Roman"/>
                <w:noProof/>
                <w:sz w:val="20"/>
              </w:rPr>
              <w:t>(lovgivning, inkl. konsekvensanalyse/ikkelovgivning, 1. kvartal 2018),</w:t>
            </w:r>
            <w:r>
              <w:rPr>
                <w:rFonts w:ascii="Times New Roman" w:hAnsi="Times New Roman"/>
                <w:b/>
                <w:noProof/>
                <w:sz w:val="20"/>
              </w:rPr>
              <w:t xml:space="preserve"> et initiativ om finansteknologi (FinTech) </w:t>
            </w:r>
            <w:r>
              <w:rPr>
                <w:rFonts w:ascii="Times New Roman" w:hAnsi="Times New Roman"/>
                <w:noProof/>
                <w:sz w:val="20"/>
              </w:rPr>
              <w:t>(ikkelovgivning, 1. kvartal 2018),</w:t>
            </w:r>
            <w:r>
              <w:rPr>
                <w:rFonts w:ascii="Times New Roman" w:hAnsi="Times New Roman"/>
                <w:b/>
                <w:noProof/>
                <w:sz w:val="20"/>
              </w:rPr>
              <w:t xml:space="preserve"> et forslag til en EU-ramme for crowdfunding og peer-to-peer-finansiering</w:t>
            </w:r>
            <w:r>
              <w:rPr>
                <w:b/>
                <w:noProof/>
              </w:rPr>
              <w:t xml:space="preserve"> (lovgivning, inkl. konsekvensanalyse, artikel 114 i TEUF, 1. kvartal 2018),</w:t>
            </w:r>
            <w:r>
              <w:rPr>
                <w:rFonts w:ascii="Times New Roman" w:hAnsi="Times New Roman"/>
                <w:b/>
                <w:noProof/>
                <w:sz w:val="20"/>
              </w:rPr>
              <w:t xml:space="preserve"> en europæisk befordrende ramme for dækkede obligationer</w:t>
            </w:r>
            <w:r>
              <w:rPr>
                <w:b/>
                <w:noProof/>
              </w:rPr>
              <w:t xml:space="preserve"> </w:t>
            </w:r>
            <w:r>
              <w:rPr>
                <w:rFonts w:ascii="Times New Roman" w:hAnsi="Times New Roman"/>
                <w:b/>
                <w:noProof/>
                <w:sz w:val="20"/>
              </w:rPr>
              <w:t xml:space="preserve">(lovgivning, inkl. konsekvensanalyse, artikel 114 i TEUF, 1. kvartal 2018) og et Refit-initiativ til nedbrydning af hindringer for grænseoverskridende distribution af alternative investeringsmidler og UCITS </w:t>
            </w:r>
            <w:r>
              <w:rPr>
                <w:b/>
                <w:noProof/>
              </w:rPr>
              <w:t>(lovgivning, inkl. konsekvensanalyse, artikel 114 i TEUF, 1. kvartal 2018)</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numPr>
                <w:ilvl w:val="0"/>
                <w:numId w:val="1"/>
              </w:numPr>
              <w:spacing w:after="0" w:line="240" w:lineRule="auto"/>
              <w:rPr>
                <w:rFonts w:ascii="Times New Roman" w:hAnsi="Times New Roman"/>
                <w:b/>
                <w:noProof/>
                <w:color w:val="000000"/>
                <w:sz w:val="20"/>
                <w:szCs w:val="20"/>
              </w:rPr>
            </w:pPr>
          </w:p>
        </w:tc>
        <w:tc>
          <w:tcPr>
            <w:tcW w:w="1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spacing w:after="0"/>
              <w:rPr>
                <w:rFonts w:ascii="Times New Roman" w:hAnsi="Times New Roman"/>
                <w:b/>
                <w:noProof/>
                <w:sz w:val="20"/>
                <w:szCs w:val="20"/>
              </w:rPr>
            </w:pPr>
            <w:r>
              <w:rPr>
                <w:rFonts w:ascii="Times New Roman" w:hAnsi="Times New Roman"/>
                <w:b/>
                <w:noProof/>
                <w:sz w:val="20"/>
              </w:rPr>
              <w:t>Mere effektiv lovgivning vedrørende det indre marked (</w:t>
            </w:r>
            <w:r>
              <w:rPr>
                <w:rFonts w:ascii="Times New Roman" w:hAnsi="Times New Roman"/>
                <w:b/>
                <w:i/>
                <w:noProof/>
                <w:sz w:val="20"/>
              </w:rPr>
              <w:t>der skal iværksættes et initiativ med et perspektiv frem til 2025</w:t>
            </w:r>
            <w:r>
              <w:rPr>
                <w:rFonts w:ascii="Times New Roman" w:hAnsi="Times New Roman"/>
                <w:b/>
                <w:noProof/>
                <w:sz w:val="20"/>
              </w:rPr>
              <w:t>)</w:t>
            </w:r>
          </w:p>
        </w:tc>
        <w:tc>
          <w:tcPr>
            <w:tcW w:w="3565" w:type="pct"/>
            <w:tcBorders>
              <w:top w:val="single" w:sz="4" w:space="0" w:color="auto"/>
              <w:left w:val="single" w:sz="4" w:space="0" w:color="auto"/>
              <w:bottom w:val="single" w:sz="4" w:space="0" w:color="auto"/>
            </w:tcBorders>
            <w:shd w:val="clear" w:color="auto" w:fill="BFBFBF" w:themeFill="background1" w:themeFillShade="BF"/>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Meddelelse om muligheden for yderligere at øge anvendelsen af kvalificeret flertal og den almindelige lovgivningsprocedure i forbindelse med spørgsmål om det indre marked med hjemmel i artikel 48, stk. 7, i TEU </w:t>
            </w:r>
            <w:r>
              <w:rPr>
                <w:rFonts w:ascii="Times New Roman" w:hAnsi="Times New Roman"/>
                <w:noProof/>
                <w:sz w:val="20"/>
                <w:lang w:val="da-DK"/>
              </w:rPr>
              <w:t>(ikkelovgivning, 3. kvartal 2018)</w:t>
            </w:r>
          </w:p>
        </w:tc>
      </w:tr>
      <w:tr>
        <w:trPr>
          <w:cantSplit/>
        </w:trPr>
        <w:tc>
          <w:tcPr>
            <w:tcW w:w="5000" w:type="pct"/>
            <w:gridSpan w:val="3"/>
            <w:shd w:val="clear" w:color="auto" w:fill="92D050"/>
          </w:tcPr>
          <w:p>
            <w:pPr>
              <w:spacing w:before="60" w:after="60"/>
              <w:jc w:val="both"/>
              <w:rPr>
                <w:rFonts w:ascii="Times New Roman" w:hAnsi="Times New Roman"/>
                <w:b/>
                <w:noProof/>
                <w:sz w:val="20"/>
                <w:szCs w:val="20"/>
                <w:lang w:val="da-DK"/>
              </w:rPr>
            </w:pPr>
            <w:r>
              <w:rPr>
                <w:noProof/>
                <w:lang w:val="da-DK"/>
              </w:rPr>
              <w:br w:type="page"/>
            </w:r>
            <w:r>
              <w:rPr>
                <w:rFonts w:ascii="Times New Roman" w:hAnsi="Times New Roman"/>
                <w:b/>
                <w:noProof/>
                <w:sz w:val="20"/>
                <w:lang w:val="da-DK"/>
              </w:rPr>
              <w:t>En dybere og mere retfærdig Økonomisk og Monetær Union</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tcPr>
          <w:p>
            <w:pPr>
              <w:spacing w:after="0"/>
              <w:rPr>
                <w:rFonts w:ascii="Times New Roman" w:hAnsi="Times New Roman"/>
                <w:b/>
                <w:noProof/>
                <w:sz w:val="20"/>
                <w:szCs w:val="20"/>
                <w:lang w:val="da-DK"/>
              </w:rPr>
            </w:pPr>
            <w:r>
              <w:rPr>
                <w:rFonts w:ascii="Times New Roman" w:hAnsi="Times New Roman"/>
                <w:b/>
                <w:noProof/>
                <w:sz w:val="20"/>
                <w:lang w:val="da-DK"/>
              </w:rPr>
              <w:t>Fuldførelse af Den Økonomiske og Monetære Union</w:t>
            </w:r>
          </w:p>
        </w:tc>
        <w:tc>
          <w:tcPr>
            <w:tcW w:w="3565" w:type="pct"/>
            <w:tcBorders>
              <w:bottom w:val="single" w:sz="4" w:space="0" w:color="auto"/>
            </w:tcBorders>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Forslag om omlægning af den europæiske stabilitetsmekanisme til en europæisk monetær fond inden for EU-retten </w:t>
            </w:r>
            <w:r>
              <w:rPr>
                <w:rFonts w:ascii="Times New Roman" w:hAnsi="Times New Roman"/>
                <w:noProof/>
                <w:sz w:val="20"/>
                <w:lang w:val="da-DK"/>
              </w:rPr>
              <w:t>(lovgivning, 4. kvartal 2017),</w:t>
            </w:r>
            <w:r>
              <w:rPr>
                <w:rFonts w:ascii="Times New Roman" w:hAnsi="Times New Roman"/>
                <w:b/>
                <w:noProof/>
                <w:sz w:val="20"/>
                <w:lang w:val="da-DK"/>
              </w:rPr>
              <w:t xml:space="preserve"> oprettelse af en særlig budgetpost på EU's budget til midler vedrørende euroområdet med fire formål: 1) at yde bistand til strukturreformer, 2) at skabe en stabilitetsfunktion 3) at skabe en bagstopper for bankunionen og 4) at skabe et konvergensinstrument, således at der kan ydes førtiltrædelsesbistand til medlemsstaternes bestræbelser på at blive medlem af euroområdet </w:t>
            </w:r>
            <w:r>
              <w:rPr>
                <w:rFonts w:ascii="Times New Roman" w:hAnsi="Times New Roman"/>
                <w:noProof/>
                <w:sz w:val="20"/>
                <w:lang w:val="da-DK"/>
              </w:rPr>
              <w:t>(ikkelovgivning, 4. kvartal 2017)</w:t>
            </w:r>
            <w:r>
              <w:rPr>
                <w:rFonts w:ascii="Times New Roman" w:hAnsi="Times New Roman"/>
                <w:b/>
                <w:noProof/>
                <w:sz w:val="20"/>
                <w:lang w:val="da-DK"/>
              </w:rPr>
              <w:t xml:space="preserve"> og indarbejdelse af indholdet af traktaten om stabilitet, samordning og styring i Den Økonomiske og Monetære Union i EU-retten under hensyntagen til den fleksibilitet, der findes i stabilitets- og vækstpagten, og som Kommissionen har fremhævet siden januar 2015</w:t>
            </w:r>
            <w:r>
              <w:rPr>
                <w:rFonts w:ascii="Times New Roman" w:hAnsi="Times New Roman"/>
                <w:noProof/>
                <w:sz w:val="20"/>
                <w:lang w:val="da-DK"/>
              </w:rPr>
              <w:t xml:space="preserve"> (lovgivning, 4. kvartal 2017)</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tcPr>
          <w:p>
            <w:pPr>
              <w:spacing w:after="0"/>
              <w:rPr>
                <w:rFonts w:ascii="Times New Roman" w:hAnsi="Times New Roman"/>
                <w:b/>
                <w:noProof/>
                <w:sz w:val="20"/>
                <w:szCs w:val="20"/>
              </w:rPr>
            </w:pPr>
            <w:r>
              <w:rPr>
                <w:rFonts w:ascii="Times New Roman" w:hAnsi="Times New Roman"/>
                <w:b/>
                <w:noProof/>
                <w:sz w:val="20"/>
              </w:rPr>
              <w:t xml:space="preserve">Fuldførelse af bankunionen </w:t>
            </w:r>
          </w:p>
        </w:tc>
        <w:tc>
          <w:tcPr>
            <w:tcW w:w="3565" w:type="pct"/>
            <w:tcBorders>
              <w:bottom w:val="single" w:sz="4" w:space="0" w:color="auto"/>
            </w:tcBorders>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Forslag om sekundære markeder for misligholdte lån </w:t>
            </w:r>
            <w:r>
              <w:rPr>
                <w:rFonts w:ascii="Times New Roman" w:hAnsi="Times New Roman"/>
                <w:noProof/>
                <w:sz w:val="20"/>
                <w:lang w:val="da-DK"/>
              </w:rPr>
              <w:t>(lovgivning, inkl. konsekvensanalyse, artikel 114 i TEUF, 1. kvartal 2018),</w:t>
            </w:r>
            <w:r>
              <w:rPr>
                <w:rFonts w:ascii="Times New Roman" w:hAnsi="Times New Roman"/>
                <w:b/>
                <w:noProof/>
                <w:sz w:val="20"/>
                <w:lang w:val="da-DK"/>
              </w:rPr>
              <w:t xml:space="preserve"> beskyttelse af sikrede kreditorer mod erhvervsdrivende låntageres misligholdelse </w:t>
            </w:r>
            <w:r>
              <w:rPr>
                <w:rFonts w:ascii="Times New Roman" w:hAnsi="Times New Roman"/>
                <w:noProof/>
                <w:sz w:val="20"/>
                <w:lang w:val="da-DK"/>
              </w:rPr>
              <w:t>(lovgivning, inkl. konsekvensanalyse, artikel 114 i TEUF, 1. kvartal 2018),</w:t>
            </w:r>
            <w:r>
              <w:rPr>
                <w:rFonts w:ascii="Times New Roman" w:hAnsi="Times New Roman"/>
                <w:b/>
                <w:noProof/>
                <w:sz w:val="20"/>
                <w:lang w:val="da-DK"/>
              </w:rPr>
              <w:t xml:space="preserve"> og en ramme, der er befordrende for udviklingen af EU-værdipapirer med sikkerhed i statsobligationer </w:t>
            </w:r>
            <w:r>
              <w:rPr>
                <w:rFonts w:ascii="Times New Roman" w:hAnsi="Times New Roman"/>
                <w:noProof/>
                <w:sz w:val="20"/>
                <w:lang w:val="da-DK"/>
              </w:rPr>
              <w:t>(lovgivning, inkl. konsekvensanalyse, artikel 114 i TEUF, 1. kvartal 2018)</w:t>
            </w:r>
            <w:r>
              <w:rPr>
                <w:rFonts w:ascii="Times New Roman" w:hAnsi="Times New Roman"/>
                <w:b/>
                <w:noProof/>
                <w:sz w:val="20"/>
                <w:lang w:val="da-DK"/>
              </w:rPr>
              <w:t xml:space="preserve"> </w:t>
            </w:r>
          </w:p>
        </w:tc>
      </w:tr>
      <w:tr>
        <w:trPr>
          <w:cantSplit/>
        </w:trPr>
        <w:tc>
          <w:tcPr>
            <w:tcW w:w="181" w:type="pct"/>
            <w:tcBorders>
              <w:bottom w:val="single" w:sz="4" w:space="0" w:color="auto"/>
            </w:tcBorders>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shd w:val="pct25" w:color="auto" w:fill="auto"/>
          </w:tcPr>
          <w:p>
            <w:pPr>
              <w:spacing w:after="0"/>
              <w:rPr>
                <w:rFonts w:ascii="Times New Roman" w:hAnsi="Times New Roman"/>
                <w:b/>
                <w:noProof/>
                <w:sz w:val="20"/>
                <w:szCs w:val="20"/>
                <w:lang w:val="da-DK"/>
              </w:rPr>
            </w:pPr>
            <w:r>
              <w:rPr>
                <w:rFonts w:ascii="Times New Roman" w:hAnsi="Times New Roman"/>
                <w:b/>
                <w:noProof/>
                <w:sz w:val="20"/>
                <w:lang w:val="da-DK"/>
              </w:rPr>
              <w:t xml:space="preserve">Oprettelse af en fast og ansvarlig stilling som europæisk økonomi- og finansminister </w:t>
            </w:r>
            <w:r>
              <w:rPr>
                <w:rFonts w:ascii="Times New Roman" w:hAnsi="Times New Roman"/>
                <w:b/>
                <w:i/>
                <w:noProof/>
                <w:sz w:val="20"/>
                <w:lang w:val="da-DK"/>
              </w:rPr>
              <w:t>(der skal iværksættes et initiativ med et perspektiv frem til 2025)</w:t>
            </w:r>
          </w:p>
        </w:tc>
        <w:tc>
          <w:tcPr>
            <w:tcW w:w="3565" w:type="pct"/>
            <w:tcBorders>
              <w:bottom w:val="single" w:sz="4" w:space="0" w:color="auto"/>
            </w:tcBorders>
            <w:shd w:val="pct25" w:color="auto" w:fill="auto"/>
          </w:tcPr>
          <w:p>
            <w:pPr>
              <w:spacing w:after="0"/>
              <w:jc w:val="both"/>
              <w:rPr>
                <w:rFonts w:ascii="Times New Roman" w:hAnsi="Times New Roman"/>
                <w:b/>
                <w:noProof/>
                <w:sz w:val="20"/>
                <w:szCs w:val="20"/>
              </w:rPr>
            </w:pPr>
            <w:r>
              <w:rPr>
                <w:rFonts w:ascii="Times New Roman" w:hAnsi="Times New Roman"/>
                <w:b/>
                <w:noProof/>
                <w:sz w:val="20"/>
              </w:rPr>
              <w:t xml:space="preserve">Meddelelse om den eventuelle oprettelse af en stilling som europæisk økonomi- og finansminister, som er demokratisk ansvarlig </w:t>
            </w:r>
            <w:r>
              <w:rPr>
                <w:rFonts w:ascii="Times New Roman" w:hAnsi="Times New Roman"/>
                <w:noProof/>
                <w:sz w:val="20"/>
              </w:rPr>
              <w:t>(ikkelovgivning, 4. kvartal 2017)</w:t>
            </w:r>
          </w:p>
        </w:tc>
      </w:tr>
      <w:tr>
        <w:trPr>
          <w:cantSplit/>
        </w:trPr>
        <w:tc>
          <w:tcPr>
            <w:tcW w:w="5000" w:type="pct"/>
            <w:gridSpan w:val="3"/>
            <w:tcBorders>
              <w:bottom w:val="single" w:sz="4" w:space="0" w:color="auto"/>
            </w:tcBorders>
            <w:shd w:val="clear" w:color="auto" w:fill="92D050"/>
          </w:tcPr>
          <w:p>
            <w:pPr>
              <w:keepNext/>
              <w:spacing w:before="60" w:after="60"/>
              <w:jc w:val="both"/>
              <w:rPr>
                <w:rFonts w:ascii="Times New Roman" w:hAnsi="Times New Roman"/>
                <w:noProof/>
                <w:sz w:val="20"/>
                <w:szCs w:val="20"/>
                <w:lang w:val="da-DK"/>
              </w:rPr>
            </w:pPr>
            <w:r>
              <w:rPr>
                <w:rFonts w:ascii="Times New Roman" w:hAnsi="Times New Roman"/>
                <w:b/>
                <w:noProof/>
                <w:sz w:val="20"/>
                <w:lang w:val="da-DK"/>
              </w:rPr>
              <w:t>Handel: En afbalanceret og progressiv handelspolitik til styring af globaliseringen</w:t>
            </w:r>
          </w:p>
        </w:tc>
      </w:tr>
      <w:tr>
        <w:trPr>
          <w:cantSplit/>
        </w:trPr>
        <w:tc>
          <w:tcPr>
            <w:tcW w:w="181" w:type="pct"/>
            <w:tcBorders>
              <w:bottom w:val="single" w:sz="4" w:space="0" w:color="auto"/>
            </w:tcBorders>
            <w:shd w:val="clear" w:color="auto" w:fill="auto"/>
          </w:tcPr>
          <w:p>
            <w:pPr>
              <w:pStyle w:val="ListParagraph"/>
              <w:numPr>
                <w:ilvl w:val="0"/>
                <w:numId w:val="1"/>
              </w:numPr>
              <w:spacing w:before="60" w:after="60"/>
              <w:rPr>
                <w:rFonts w:ascii="Times New Roman" w:hAnsi="Times New Roman"/>
                <w:noProof/>
                <w:sz w:val="20"/>
                <w:szCs w:val="20"/>
                <w:lang w:val="da-DK"/>
              </w:rPr>
            </w:pPr>
          </w:p>
        </w:tc>
        <w:tc>
          <w:tcPr>
            <w:tcW w:w="1254" w:type="pct"/>
            <w:tcBorders>
              <w:bottom w:val="single" w:sz="4" w:space="0" w:color="auto"/>
            </w:tcBorders>
            <w:shd w:val="clear" w:color="auto" w:fill="auto"/>
          </w:tcPr>
          <w:p>
            <w:pPr>
              <w:spacing w:before="60" w:after="60"/>
              <w:rPr>
                <w:rFonts w:ascii="Times New Roman" w:hAnsi="Times New Roman"/>
                <w:b/>
                <w:noProof/>
                <w:sz w:val="20"/>
                <w:szCs w:val="20"/>
                <w:lang w:val="da-DK"/>
              </w:rPr>
            </w:pPr>
            <w:r>
              <w:rPr>
                <w:rFonts w:ascii="Times New Roman" w:hAnsi="Times New Roman"/>
                <w:b/>
                <w:noProof/>
                <w:sz w:val="20"/>
                <w:lang w:val="da-DK"/>
              </w:rPr>
              <w:t>Gennemførelse af strategien "handel for alle"</w:t>
            </w:r>
          </w:p>
        </w:tc>
        <w:tc>
          <w:tcPr>
            <w:tcW w:w="3565" w:type="pct"/>
            <w:tcBorders>
              <w:bottom w:val="single" w:sz="4" w:space="0" w:color="auto"/>
            </w:tcBorders>
            <w:shd w:val="clear" w:color="auto" w:fill="auto"/>
          </w:tcPr>
          <w:p>
            <w:pPr>
              <w:spacing w:before="60" w:after="60"/>
              <w:jc w:val="both"/>
              <w:rPr>
                <w:rFonts w:ascii="Times New Roman" w:hAnsi="Times New Roman"/>
                <w:b/>
                <w:noProof/>
                <w:sz w:val="20"/>
                <w:szCs w:val="20"/>
                <w:lang w:val="da-DK"/>
              </w:rPr>
            </w:pPr>
            <w:r>
              <w:rPr>
                <w:rFonts w:ascii="Times New Roman" w:hAnsi="Times New Roman"/>
                <w:b/>
                <w:noProof/>
                <w:sz w:val="20"/>
                <w:lang w:val="da-DK"/>
              </w:rPr>
              <w:t>Indgåelse af aftaler med Japan, Singapore og Vietnam, videreførelse af forhandlingerne med Mexico og Mercosur og af forhandlingerne med Australien og New Zealand, så snart Rådet har godkendt de mandater, Kommissionen har anbefalet</w:t>
            </w:r>
          </w:p>
        </w:tc>
      </w:tr>
      <w:tr>
        <w:trPr>
          <w:cantSplit/>
        </w:trPr>
        <w:tc>
          <w:tcPr>
            <w:tcW w:w="5000" w:type="pct"/>
            <w:gridSpan w:val="3"/>
            <w:tcBorders>
              <w:bottom w:val="single" w:sz="4" w:space="0" w:color="auto"/>
            </w:tcBorders>
            <w:shd w:val="clear" w:color="auto" w:fill="92D050"/>
          </w:tcPr>
          <w:p>
            <w:pPr>
              <w:spacing w:before="60" w:after="60"/>
              <w:jc w:val="both"/>
              <w:rPr>
                <w:rFonts w:ascii="Times New Roman" w:hAnsi="Times New Roman"/>
                <w:noProof/>
                <w:sz w:val="20"/>
                <w:szCs w:val="20"/>
                <w:lang w:val="da-DK"/>
              </w:rPr>
            </w:pPr>
            <w:r>
              <w:rPr>
                <w:rFonts w:ascii="Times New Roman" w:hAnsi="Times New Roman"/>
                <w:b/>
                <w:noProof/>
                <w:sz w:val="20"/>
                <w:lang w:val="da-DK"/>
              </w:rPr>
              <w:t>Et område med retfærdighed og grundlæggende rettigheder baseret på gensidig tillid</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tcPr>
          <w:p>
            <w:pPr>
              <w:spacing w:after="0"/>
              <w:rPr>
                <w:rFonts w:ascii="Times New Roman" w:hAnsi="Times New Roman"/>
                <w:b/>
                <w:noProof/>
                <w:sz w:val="20"/>
                <w:szCs w:val="20"/>
              </w:rPr>
            </w:pPr>
            <w:r>
              <w:rPr>
                <w:rFonts w:ascii="Times New Roman" w:hAnsi="Times New Roman"/>
                <w:b/>
                <w:noProof/>
                <w:sz w:val="20"/>
              </w:rPr>
              <w:t>Fuldførelse af sikkerhedsunionen</w:t>
            </w:r>
          </w:p>
        </w:tc>
        <w:tc>
          <w:tcPr>
            <w:tcW w:w="3565" w:type="pct"/>
            <w:tcBorders>
              <w:bottom w:val="single" w:sz="4" w:space="0" w:color="auto"/>
            </w:tcBorders>
          </w:tcPr>
          <w:p>
            <w:pPr>
              <w:spacing w:after="0"/>
              <w:jc w:val="both"/>
              <w:rPr>
                <w:rFonts w:ascii="Times New Roman" w:eastAsia="Times New Roman" w:hAnsi="Times New Roman"/>
                <w:b/>
                <w:noProof/>
                <w:color w:val="000000"/>
                <w:sz w:val="20"/>
                <w:szCs w:val="20"/>
                <w:lang w:val="da-DK"/>
              </w:rPr>
            </w:pPr>
            <w:r>
              <w:rPr>
                <w:rFonts w:ascii="Times New Roman" w:hAnsi="Times New Roman"/>
                <w:b/>
                <w:noProof/>
                <w:sz w:val="20"/>
                <w:lang w:val="da-DK"/>
              </w:rPr>
              <w:t xml:space="preserve">Gennemførelse af dagsordenen for sikkerhedsunionen og fremme af terrorismebekæmpelse: </w:t>
            </w:r>
            <w:r>
              <w:rPr>
                <w:rFonts w:ascii="Times New Roman" w:hAnsi="Times New Roman"/>
                <w:b/>
                <w:noProof/>
                <w:color w:val="000000"/>
                <w:sz w:val="20"/>
                <w:lang w:val="da-DK"/>
              </w:rPr>
              <w:t xml:space="preserve">forslag med henblik på at skabe interoperabilitet mellem EU's informationssystemer inden for sikkerhed, grænse- og migrationsforvaltning </w:t>
            </w:r>
            <w:r>
              <w:rPr>
                <w:rFonts w:ascii="Times New Roman" w:hAnsi="Times New Roman"/>
                <w:noProof/>
                <w:color w:val="000000"/>
                <w:sz w:val="20"/>
                <w:lang w:val="da-DK"/>
              </w:rPr>
              <w:t>(lovgivning, inkl. konsekvensanalyse, artikel 74, 77, 79, 85, 87 og 88, 4. kvartal 2017),</w:t>
            </w:r>
            <w:r>
              <w:rPr>
                <w:rFonts w:ascii="Times New Roman" w:hAnsi="Times New Roman"/>
                <w:b/>
                <w:noProof/>
                <w:color w:val="000000"/>
                <w:sz w:val="20"/>
                <w:lang w:val="da-DK"/>
              </w:rPr>
              <w:t xml:space="preserve"> et forslag til fremme af retshåndhævende myndigheders adgang til elektronisk bevismateriale på tværs af grænser</w:t>
            </w:r>
            <w:r>
              <w:rPr>
                <w:b/>
                <w:noProof/>
                <w:lang w:val="da-DK"/>
              </w:rPr>
              <w:t xml:space="preserve"> (lovgivning, inkl. konsekvensanalyse, artikel 82 i TEUF, 1. kvartal 2018),</w:t>
            </w:r>
            <w:r>
              <w:rPr>
                <w:rFonts w:ascii="Times New Roman" w:hAnsi="Times New Roman"/>
                <w:b/>
                <w:noProof/>
                <w:color w:val="000000"/>
                <w:sz w:val="20"/>
                <w:lang w:val="da-DK"/>
              </w:rPr>
              <w:t xml:space="preserve"> </w:t>
            </w:r>
            <w:r>
              <w:rPr>
                <w:rFonts w:ascii="Times New Roman" w:hAnsi="Times New Roman"/>
                <w:b/>
                <w:noProof/>
                <w:sz w:val="20"/>
                <w:lang w:val="da-DK"/>
              </w:rPr>
              <w:t>en Refit-revision af forordningen om markedsføring og brug af udgangsstoffer til eksplosivstoffer (lovgivning, inkl. konsekvensanalyse, artikel 114 i TEUF, 2. kvartal 2018), og initiativer til fremme af de retshåndhævende myndigheders adgang til og brug af finansielle data på tværs af grænser (lovgivning, inkl. konsekvensanalyse/ikkelovgivning, 2. kvartal 2018)</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tcPr>
          <w:p>
            <w:pPr>
              <w:spacing w:after="0"/>
              <w:rPr>
                <w:rFonts w:ascii="Times New Roman" w:hAnsi="Times New Roman"/>
                <w:b/>
                <w:noProof/>
                <w:sz w:val="20"/>
                <w:szCs w:val="20"/>
              </w:rPr>
            </w:pPr>
            <w:r>
              <w:rPr>
                <w:rFonts w:ascii="Times New Roman" w:hAnsi="Times New Roman"/>
                <w:b/>
                <w:noProof/>
                <w:sz w:val="20"/>
              </w:rPr>
              <w:t>EU's civilbeskyttelsesordning</w:t>
            </w:r>
          </w:p>
        </w:tc>
        <w:tc>
          <w:tcPr>
            <w:tcW w:w="3565" w:type="pct"/>
            <w:tcBorders>
              <w:bottom w:val="single" w:sz="4" w:space="0" w:color="auto"/>
            </w:tcBorders>
          </w:tcPr>
          <w:p>
            <w:pPr>
              <w:spacing w:after="0"/>
              <w:jc w:val="both"/>
              <w:rPr>
                <w:rFonts w:ascii="Times New Roman" w:hAnsi="Times New Roman"/>
                <w:b/>
                <w:noProof/>
                <w:sz w:val="20"/>
                <w:szCs w:val="20"/>
                <w:lang w:val="da-DK"/>
              </w:rPr>
            </w:pPr>
            <w:r>
              <w:rPr>
                <w:rStyle w:val="truncate"/>
                <w:rFonts w:ascii="Times New Roman" w:hAnsi="Times New Roman"/>
                <w:b/>
                <w:noProof/>
                <w:sz w:val="20"/>
                <w:lang w:val="da-DK"/>
              </w:rPr>
              <w:t>Forslag til Europa-Parlamentets og Rådets afgørelse om revision af afgørelse nr. 1313/2013/EU med henblik på en fuldt udbygget EU-civilbeskyttelsesmekanisme med egne operationelle ressourcer</w:t>
            </w:r>
            <w:r>
              <w:rPr>
                <w:noProof/>
                <w:lang w:val="da-DK"/>
              </w:rPr>
              <w:t xml:space="preserve"> </w:t>
            </w:r>
            <w:r>
              <w:rPr>
                <w:rStyle w:val="truncate"/>
                <w:rFonts w:ascii="Times New Roman" w:hAnsi="Times New Roman"/>
                <w:noProof/>
                <w:sz w:val="20"/>
                <w:lang w:val="da-DK"/>
              </w:rPr>
              <w:t>(lovgivning, artikel 196 i TEUF, 4. kvartal 2017)</w:t>
            </w:r>
          </w:p>
        </w:tc>
      </w:tr>
      <w:tr>
        <w:trPr>
          <w:cantSplit/>
        </w:trPr>
        <w:tc>
          <w:tcPr>
            <w:tcW w:w="181" w:type="pct"/>
            <w:tcBorders>
              <w:bottom w:val="single" w:sz="4" w:space="0" w:color="auto"/>
            </w:tcBorders>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shd w:val="pct25" w:color="auto" w:fill="auto"/>
          </w:tcPr>
          <w:p>
            <w:pPr>
              <w:spacing w:after="0"/>
              <w:rPr>
                <w:rFonts w:ascii="Times New Roman" w:hAnsi="Times New Roman"/>
                <w:b/>
                <w:noProof/>
                <w:sz w:val="20"/>
                <w:szCs w:val="20"/>
                <w:lang w:val="da-DK"/>
              </w:rPr>
            </w:pPr>
            <w:r>
              <w:rPr>
                <w:rFonts w:ascii="Times New Roman" w:hAnsi="Times New Roman"/>
                <w:b/>
                <w:noProof/>
                <w:sz w:val="20"/>
                <w:lang w:val="da-DK"/>
              </w:rPr>
              <w:t>Udvidelse af den nye europæiske anklagemyndigheds beføjelser (</w:t>
            </w:r>
            <w:r>
              <w:rPr>
                <w:rFonts w:ascii="Times New Roman" w:hAnsi="Times New Roman"/>
                <w:b/>
                <w:i/>
                <w:noProof/>
                <w:sz w:val="20"/>
                <w:lang w:val="da-DK"/>
              </w:rPr>
              <w:t>der skal iværksættes et initiativ med et perspektiv frem til 2025)</w:t>
            </w:r>
          </w:p>
        </w:tc>
        <w:tc>
          <w:tcPr>
            <w:tcW w:w="3565" w:type="pct"/>
            <w:tcBorders>
              <w:bottom w:val="single" w:sz="4" w:space="0" w:color="auto"/>
            </w:tcBorders>
            <w:shd w:val="pct25"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Meddelelse om en mulig udvidelse af Den Europæiske Anklagemyndigheds beføjelser til at omfatte bekæmpelse af terrorisme, jf. artikel 86, stk. 4, i TEUF</w:t>
            </w:r>
            <w:r>
              <w:rPr>
                <w:noProof/>
                <w:lang w:val="da-DK"/>
              </w:rPr>
              <w:t xml:space="preserve"> </w:t>
            </w:r>
            <w:r>
              <w:rPr>
                <w:rFonts w:ascii="Times New Roman" w:hAnsi="Times New Roman"/>
                <w:noProof/>
                <w:sz w:val="20"/>
                <w:lang w:val="da-DK"/>
              </w:rPr>
              <w:t>(ikkelovgivning, 3. kvartal 2018)</w:t>
            </w:r>
          </w:p>
        </w:tc>
      </w:tr>
      <w:tr>
        <w:trPr>
          <w:cantSplit/>
        </w:trPr>
        <w:tc>
          <w:tcPr>
            <w:tcW w:w="181" w:type="pct"/>
            <w:tcBorders>
              <w:bottom w:val="single" w:sz="4" w:space="0" w:color="auto"/>
            </w:tcBorders>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shd w:val="pct25" w:color="auto" w:fill="auto"/>
          </w:tcPr>
          <w:p>
            <w:pPr>
              <w:spacing w:after="0"/>
              <w:rPr>
                <w:rFonts w:ascii="Times New Roman" w:hAnsi="Times New Roman"/>
                <w:b/>
                <w:noProof/>
                <w:sz w:val="20"/>
                <w:szCs w:val="20"/>
              </w:rPr>
            </w:pPr>
            <w:r>
              <w:rPr>
                <w:rFonts w:ascii="Times New Roman" w:hAnsi="Times New Roman"/>
                <w:b/>
                <w:noProof/>
                <w:sz w:val="20"/>
              </w:rPr>
              <w:t xml:space="preserve">Retsstatsprincippet </w:t>
            </w:r>
            <w:r>
              <w:rPr>
                <w:rFonts w:ascii="Times New Roman" w:hAnsi="Times New Roman"/>
                <w:b/>
                <w:i/>
                <w:noProof/>
                <w:sz w:val="20"/>
              </w:rPr>
              <w:t>(der skal iværksættes et initiativ med et perspektiv frem til 2025)</w:t>
            </w:r>
          </w:p>
        </w:tc>
        <w:tc>
          <w:tcPr>
            <w:tcW w:w="3565" w:type="pct"/>
            <w:tcBorders>
              <w:bottom w:val="single" w:sz="4" w:space="0" w:color="auto"/>
            </w:tcBorders>
            <w:shd w:val="pct25"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Initiativ til styrkelse af håndhævelsen af retsstatsprincippet i Den Europæiske Union </w:t>
            </w:r>
            <w:r>
              <w:rPr>
                <w:rFonts w:ascii="Times New Roman" w:hAnsi="Times New Roman"/>
                <w:noProof/>
                <w:sz w:val="20"/>
                <w:lang w:val="da-DK"/>
              </w:rPr>
              <w:t>(ikkelovgivning, 4. kvartal 2018)</w:t>
            </w:r>
          </w:p>
        </w:tc>
      </w:tr>
      <w:tr>
        <w:trPr>
          <w:cantSplit/>
        </w:trPr>
        <w:tc>
          <w:tcPr>
            <w:tcW w:w="5000" w:type="pct"/>
            <w:gridSpan w:val="3"/>
            <w:tcBorders>
              <w:bottom w:val="single" w:sz="4" w:space="0" w:color="auto"/>
            </w:tcBorders>
            <w:shd w:val="clear" w:color="auto" w:fill="92D050"/>
          </w:tcPr>
          <w:p>
            <w:pPr>
              <w:spacing w:before="60" w:after="60"/>
              <w:jc w:val="both"/>
              <w:rPr>
                <w:rFonts w:ascii="Times New Roman" w:eastAsia="Times New Roman" w:hAnsi="Times New Roman"/>
                <w:noProof/>
                <w:color w:val="000000"/>
                <w:sz w:val="20"/>
                <w:szCs w:val="20"/>
              </w:rPr>
            </w:pPr>
            <w:r>
              <w:rPr>
                <w:rFonts w:ascii="Times New Roman" w:hAnsi="Times New Roman"/>
                <w:b/>
                <w:noProof/>
                <w:sz w:val="20"/>
              </w:rPr>
              <w:t>Mod en ny migrationspolitik</w:t>
            </w:r>
          </w:p>
        </w:tc>
      </w:tr>
      <w:tr>
        <w:trPr>
          <w:cantSplit/>
        </w:trPr>
        <w:tc>
          <w:tcPr>
            <w:tcW w:w="181" w:type="pct"/>
            <w:tcBorders>
              <w:bottom w:val="single" w:sz="4" w:space="0" w:color="auto"/>
            </w:tcBorders>
            <w:shd w:val="clear" w:color="auto" w:fill="auto"/>
          </w:tcPr>
          <w:p>
            <w:pPr>
              <w:pStyle w:val="ListParagraph"/>
              <w:numPr>
                <w:ilvl w:val="0"/>
                <w:numId w:val="1"/>
              </w:numPr>
              <w:spacing w:before="60" w:after="60"/>
              <w:rPr>
                <w:rFonts w:ascii="Times New Roman" w:hAnsi="Times New Roman"/>
                <w:b/>
                <w:noProof/>
                <w:sz w:val="20"/>
                <w:szCs w:val="20"/>
              </w:rPr>
            </w:pPr>
          </w:p>
        </w:tc>
        <w:tc>
          <w:tcPr>
            <w:tcW w:w="1254" w:type="pct"/>
            <w:tcBorders>
              <w:bottom w:val="single" w:sz="4" w:space="0" w:color="auto"/>
            </w:tcBorders>
            <w:shd w:val="clear" w:color="auto" w:fill="auto"/>
          </w:tcPr>
          <w:p>
            <w:pPr>
              <w:spacing w:before="60" w:after="60"/>
              <w:rPr>
                <w:rFonts w:ascii="Times New Roman" w:hAnsi="Times New Roman"/>
                <w:b/>
                <w:noProof/>
                <w:sz w:val="20"/>
                <w:szCs w:val="20"/>
                <w:lang w:val="da-DK"/>
              </w:rPr>
            </w:pPr>
            <w:r>
              <w:rPr>
                <w:rFonts w:ascii="Times New Roman" w:hAnsi="Times New Roman"/>
                <w:b/>
                <w:noProof/>
                <w:sz w:val="20"/>
                <w:lang w:val="da-DK"/>
              </w:rPr>
              <w:t>Gennemførelse af den europæiske dagsorden for migration</w:t>
            </w:r>
          </w:p>
        </w:tc>
        <w:tc>
          <w:tcPr>
            <w:tcW w:w="3565" w:type="pct"/>
            <w:tcBorders>
              <w:bottom w:val="single" w:sz="4" w:space="0" w:color="auto"/>
            </w:tcBorders>
            <w:shd w:val="clear" w:color="auto" w:fill="auto"/>
          </w:tcPr>
          <w:p>
            <w:pPr>
              <w:spacing w:before="60" w:after="60"/>
              <w:jc w:val="both"/>
              <w:rPr>
                <w:rFonts w:ascii="Times New Roman" w:hAnsi="Times New Roman"/>
                <w:b/>
                <w:noProof/>
                <w:sz w:val="20"/>
                <w:szCs w:val="20"/>
                <w:lang w:val="da-DK"/>
              </w:rPr>
            </w:pPr>
            <w:r>
              <w:rPr>
                <w:rFonts w:ascii="Times New Roman" w:hAnsi="Times New Roman"/>
                <w:b/>
                <w:noProof/>
                <w:sz w:val="20"/>
                <w:lang w:val="da-DK"/>
              </w:rPr>
              <w:t>Revision af EU's visumkodeks</w:t>
            </w:r>
            <w:r>
              <w:rPr>
                <w:noProof/>
                <w:lang w:val="da-DK"/>
              </w:rPr>
              <w:t xml:space="preserve"> </w:t>
            </w:r>
            <w:r>
              <w:rPr>
                <w:rFonts w:ascii="Times New Roman" w:hAnsi="Times New Roman"/>
                <w:noProof/>
                <w:sz w:val="20"/>
                <w:lang w:val="da-DK"/>
              </w:rPr>
              <w:t>(lovgivning inkl. konsekvensanalyse, artikel 77 i TEUF, 1. kvartal 2018),</w:t>
            </w:r>
            <w:r>
              <w:rPr>
                <w:rFonts w:ascii="Times New Roman" w:hAnsi="Times New Roman"/>
                <w:b/>
                <w:noProof/>
                <w:sz w:val="20"/>
                <w:lang w:val="da-DK"/>
              </w:rPr>
              <w:t xml:space="preserve"> Refit-revision af visuminformationssystemet</w:t>
            </w:r>
            <w:r>
              <w:rPr>
                <w:rFonts w:ascii="Times New Roman" w:hAnsi="Times New Roman"/>
                <w:noProof/>
                <w:sz w:val="20"/>
                <w:lang w:val="da-DK"/>
              </w:rPr>
              <w:t xml:space="preserve"> (lovgivning inkl. konsekvensanalyse, artikel 77 og 87 i TEUF, 2. kvartal 2018)</w:t>
            </w:r>
            <w:r>
              <w:rPr>
                <w:rFonts w:ascii="Times New Roman" w:hAnsi="Times New Roman"/>
                <w:b/>
                <w:noProof/>
                <w:sz w:val="20"/>
                <w:lang w:val="da-DK"/>
              </w:rPr>
              <w:t xml:space="preserve"> og revision af forordningen om indvandringsforbindelsesofficerer </w:t>
            </w:r>
            <w:r>
              <w:rPr>
                <w:rFonts w:ascii="Times New Roman" w:hAnsi="Times New Roman"/>
                <w:noProof/>
                <w:sz w:val="20"/>
                <w:lang w:val="da-DK"/>
              </w:rPr>
              <w:t>(lovgivning, inkl. konsekvensanalyse, 2. kvartal 2018)</w:t>
            </w:r>
          </w:p>
        </w:tc>
      </w:tr>
      <w:tr>
        <w:trPr>
          <w:cantSplit/>
        </w:trPr>
        <w:tc>
          <w:tcPr>
            <w:tcW w:w="5000" w:type="pct"/>
            <w:gridSpan w:val="3"/>
            <w:tcBorders>
              <w:bottom w:val="single" w:sz="4" w:space="0" w:color="auto"/>
            </w:tcBorders>
            <w:shd w:val="clear" w:color="auto" w:fill="92D050"/>
          </w:tcPr>
          <w:p>
            <w:pPr>
              <w:keepNext/>
              <w:spacing w:before="60" w:after="60"/>
              <w:jc w:val="both"/>
              <w:rPr>
                <w:rFonts w:ascii="Times New Roman" w:eastAsia="Times New Roman" w:hAnsi="Times New Roman"/>
                <w:noProof/>
                <w:color w:val="000000"/>
                <w:sz w:val="20"/>
                <w:szCs w:val="20"/>
              </w:rPr>
            </w:pPr>
            <w:r>
              <w:rPr>
                <w:rFonts w:ascii="Times New Roman" w:hAnsi="Times New Roman"/>
                <w:b/>
                <w:noProof/>
                <w:sz w:val="20"/>
              </w:rPr>
              <w:t xml:space="preserve">En stærkere global aktør </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bottom w:val="single" w:sz="4" w:space="0" w:color="auto"/>
            </w:tcBorders>
            <w:shd w:val="clear" w:color="auto" w:fill="auto"/>
          </w:tcPr>
          <w:p>
            <w:pPr>
              <w:spacing w:after="0"/>
              <w:rPr>
                <w:rFonts w:ascii="Times New Roman" w:hAnsi="Times New Roman"/>
                <w:b/>
                <w:noProof/>
                <w:sz w:val="20"/>
                <w:szCs w:val="20"/>
                <w:lang w:val="da-DK"/>
              </w:rPr>
            </w:pPr>
            <w:r>
              <w:rPr>
                <w:rFonts w:ascii="Times New Roman" w:hAnsi="Times New Roman"/>
                <w:b/>
                <w:noProof/>
                <w:sz w:val="20"/>
                <w:lang w:val="da-DK"/>
              </w:rPr>
              <w:t>Gennemførelse af den globale strategi</w:t>
            </w:r>
          </w:p>
        </w:tc>
        <w:tc>
          <w:tcPr>
            <w:tcW w:w="3565" w:type="pct"/>
            <w:tcBorders>
              <w:bottom w:val="single" w:sz="4" w:space="0" w:color="auto"/>
            </w:tcBorders>
            <w:shd w:val="clear"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Herunder en EU-strategi for, hvordan forbindelserne øges mellem Europa og Asien, et fornyet partnerskab mellem Latinamerika og Caribien og nye rammer for samarbejdet mellem Indien, Iran og Irak </w:t>
            </w:r>
            <w:r>
              <w:rPr>
                <w:rFonts w:ascii="Times New Roman" w:hAnsi="Times New Roman"/>
                <w:noProof/>
                <w:sz w:val="20"/>
                <w:lang w:val="da-DK"/>
              </w:rPr>
              <w:t>(ikkelovgivning, 1. og 2. kvartal 2018)</w:t>
            </w:r>
          </w:p>
        </w:tc>
      </w:tr>
      <w:tr>
        <w:trPr>
          <w:cantSplit/>
        </w:trPr>
        <w:tc>
          <w:tcPr>
            <w:tcW w:w="181" w:type="pct"/>
            <w:tcBorders>
              <w:bottom w:val="single" w:sz="4" w:space="0" w:color="auto"/>
            </w:tcBorders>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shd w:val="pct25" w:color="auto" w:fill="auto"/>
          </w:tcPr>
          <w:p>
            <w:pPr>
              <w:spacing w:after="0"/>
              <w:rPr>
                <w:rFonts w:ascii="Times New Roman" w:hAnsi="Times New Roman"/>
                <w:b/>
                <w:noProof/>
                <w:sz w:val="20"/>
                <w:szCs w:val="20"/>
                <w:lang w:val="da-DK"/>
              </w:rPr>
            </w:pPr>
            <w:r>
              <w:rPr>
                <w:rFonts w:ascii="Times New Roman" w:hAnsi="Times New Roman"/>
                <w:b/>
                <w:noProof/>
                <w:sz w:val="20"/>
                <w:lang w:val="da-DK"/>
              </w:rPr>
              <w:t xml:space="preserve">En troværdigt udvidelsesperspektiv </w:t>
            </w:r>
            <w:r>
              <w:rPr>
                <w:rFonts w:ascii="Times New Roman" w:hAnsi="Times New Roman"/>
                <w:b/>
                <w:i/>
                <w:noProof/>
                <w:sz w:val="20"/>
                <w:lang w:val="da-DK"/>
              </w:rPr>
              <w:t>(der skal iværksættes et initiativ med et perspektiv frem til 2025)</w:t>
            </w:r>
          </w:p>
        </w:tc>
        <w:tc>
          <w:tcPr>
            <w:tcW w:w="3565" w:type="pct"/>
            <w:tcBorders>
              <w:bottom w:val="single" w:sz="4" w:space="0" w:color="auto"/>
            </w:tcBorders>
            <w:shd w:val="pct25"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Strategi for, hvordan det skal lykkes Serbien og Montenegro, som er frontløbere for kandidatlandene på Vestbalkan, at blive medlem af EU med særlig vægt på retsstatsprincippet, bekæmpelse af korruption og organiseret kriminalitet samt på den generelle stabilitet i regionen </w:t>
            </w:r>
            <w:r>
              <w:rPr>
                <w:rFonts w:ascii="Times New Roman" w:hAnsi="Times New Roman"/>
                <w:noProof/>
                <w:sz w:val="20"/>
                <w:lang w:val="da-DK"/>
              </w:rPr>
              <w:t>(ikkelovgivning, 1. kvartal 2018)</w:t>
            </w:r>
          </w:p>
        </w:tc>
      </w:tr>
      <w:tr>
        <w:trPr>
          <w:cantSplit/>
        </w:trPr>
        <w:tc>
          <w:tcPr>
            <w:tcW w:w="181" w:type="pct"/>
            <w:tcBorders>
              <w:bottom w:val="single" w:sz="4" w:space="0" w:color="auto"/>
            </w:tcBorders>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tcBorders>
              <w:bottom w:val="single" w:sz="4" w:space="0" w:color="auto"/>
            </w:tcBorders>
            <w:shd w:val="pct25" w:color="auto" w:fill="auto"/>
          </w:tcPr>
          <w:p>
            <w:pPr>
              <w:spacing w:after="0"/>
              <w:rPr>
                <w:rFonts w:ascii="Times New Roman" w:hAnsi="Times New Roman"/>
                <w:b/>
                <w:noProof/>
                <w:sz w:val="20"/>
                <w:szCs w:val="20"/>
                <w:lang w:val="da-DK"/>
              </w:rPr>
            </w:pPr>
            <w:r>
              <w:rPr>
                <w:rFonts w:ascii="Times New Roman" w:hAnsi="Times New Roman"/>
                <w:b/>
                <w:noProof/>
                <w:sz w:val="20"/>
                <w:lang w:val="da-DK"/>
              </w:rPr>
              <w:t xml:space="preserve">En mere effektiv og konsekvent gennemførelse af den fælles udenrigspolitik </w:t>
            </w:r>
            <w:r>
              <w:rPr>
                <w:rFonts w:ascii="Times New Roman" w:hAnsi="Times New Roman"/>
                <w:b/>
                <w:i/>
                <w:noProof/>
                <w:sz w:val="20"/>
                <w:lang w:val="da-DK"/>
              </w:rPr>
              <w:t>(der skal iværksættes et initiativ med et perspektiv frem til 2025)</w:t>
            </w:r>
          </w:p>
        </w:tc>
        <w:tc>
          <w:tcPr>
            <w:tcW w:w="3565" w:type="pct"/>
            <w:tcBorders>
              <w:bottom w:val="single" w:sz="4" w:space="0" w:color="auto"/>
            </w:tcBorders>
            <w:shd w:val="pct25"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Meddelelse om muligheden for yderligere at øge anvendelsen af kvalificeret flertal ved afstemninger om spørgsmål, der vedrører den fælles udenrigspolitik, jf. artikel 31, stk. 3, i TEU, og for at skabe større konsekvens i den fælles udenrigspolitik </w:t>
            </w:r>
            <w:r>
              <w:rPr>
                <w:rFonts w:ascii="Times New Roman" w:hAnsi="Times New Roman"/>
                <w:noProof/>
                <w:sz w:val="20"/>
                <w:lang w:val="da-DK"/>
              </w:rPr>
              <w:t>(ikkelovgivning, 3. kvartal 2018)</w:t>
            </w:r>
          </w:p>
        </w:tc>
      </w:tr>
      <w:tr>
        <w:trPr>
          <w:cantSplit/>
        </w:trPr>
        <w:tc>
          <w:tcPr>
            <w:tcW w:w="5000" w:type="pct"/>
            <w:gridSpan w:val="3"/>
            <w:tcBorders>
              <w:bottom w:val="single" w:sz="4" w:space="0" w:color="auto"/>
            </w:tcBorders>
            <w:shd w:val="clear" w:color="auto" w:fill="92D050"/>
          </w:tcPr>
          <w:p>
            <w:pPr>
              <w:spacing w:before="60" w:after="60"/>
              <w:jc w:val="both"/>
              <w:rPr>
                <w:rFonts w:ascii="Times New Roman" w:hAnsi="Times New Roman"/>
                <w:noProof/>
                <w:sz w:val="20"/>
                <w:szCs w:val="20"/>
              </w:rPr>
            </w:pPr>
            <w:r>
              <w:rPr>
                <w:rFonts w:ascii="Times New Roman" w:hAnsi="Times New Roman"/>
                <w:b/>
                <w:noProof/>
                <w:sz w:val="20"/>
              </w:rPr>
              <w:t>En Union med demokratiske forandringer</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shd w:val="clear" w:color="auto" w:fill="auto"/>
          </w:tcPr>
          <w:p>
            <w:pPr>
              <w:spacing w:after="0"/>
              <w:rPr>
                <w:rFonts w:ascii="Times New Roman" w:hAnsi="Times New Roman"/>
                <w:b/>
                <w:noProof/>
                <w:sz w:val="20"/>
                <w:szCs w:val="20"/>
              </w:rPr>
            </w:pPr>
            <w:r>
              <w:rPr>
                <w:rFonts w:ascii="Times New Roman" w:hAnsi="Times New Roman"/>
                <w:b/>
                <w:noProof/>
                <w:sz w:val="20"/>
              </w:rPr>
              <w:t>Information om EU</w:t>
            </w:r>
          </w:p>
        </w:tc>
        <w:tc>
          <w:tcPr>
            <w:tcW w:w="3565" w:type="pct"/>
            <w:shd w:val="clear"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 xml:space="preserve">Meddelelse om, hvordan Unionen kan fremstå mere forenet, stærkere og mere demokratisk </w:t>
            </w:r>
            <w:r>
              <w:rPr>
                <w:rFonts w:ascii="Times New Roman" w:hAnsi="Times New Roman"/>
                <w:noProof/>
                <w:sz w:val="20"/>
                <w:lang w:val="da-DK"/>
              </w:rPr>
              <w:t>(ikkelovgivning, 2. kvartal 2018)</w:t>
            </w:r>
          </w:p>
        </w:tc>
      </w:tr>
      <w:tr>
        <w:trPr>
          <w:cantSplit/>
        </w:trPr>
        <w:tc>
          <w:tcPr>
            <w:tcW w:w="181" w:type="pct"/>
            <w:shd w:val="pct25" w:color="auto" w:fill="auto"/>
          </w:tcPr>
          <w:p>
            <w:pPr>
              <w:numPr>
                <w:ilvl w:val="0"/>
                <w:numId w:val="1"/>
              </w:numPr>
              <w:spacing w:after="0" w:line="240" w:lineRule="auto"/>
              <w:rPr>
                <w:rFonts w:ascii="Times New Roman" w:hAnsi="Times New Roman"/>
                <w:b/>
                <w:noProof/>
                <w:color w:val="000000"/>
                <w:sz w:val="20"/>
                <w:szCs w:val="20"/>
                <w:lang w:val="da-DK"/>
              </w:rPr>
            </w:pPr>
          </w:p>
        </w:tc>
        <w:tc>
          <w:tcPr>
            <w:tcW w:w="1254" w:type="pct"/>
            <w:shd w:val="pct25" w:color="auto" w:fill="auto"/>
          </w:tcPr>
          <w:p>
            <w:pPr>
              <w:spacing w:after="0"/>
              <w:rPr>
                <w:rFonts w:ascii="Times New Roman" w:hAnsi="Times New Roman"/>
                <w:b/>
                <w:noProof/>
                <w:sz w:val="20"/>
                <w:szCs w:val="20"/>
                <w:lang w:val="da-DK"/>
              </w:rPr>
            </w:pPr>
            <w:r>
              <w:rPr>
                <w:rFonts w:ascii="Times New Roman" w:hAnsi="Times New Roman"/>
                <w:b/>
                <w:noProof/>
                <w:sz w:val="20"/>
                <w:lang w:val="da-DK"/>
              </w:rPr>
              <w:t xml:space="preserve">Hvordan der kan gøres mindre, men mere effektivt </w:t>
            </w:r>
            <w:r>
              <w:rPr>
                <w:rFonts w:ascii="Times New Roman" w:hAnsi="Times New Roman"/>
                <w:b/>
                <w:i/>
                <w:noProof/>
                <w:sz w:val="20"/>
                <w:lang w:val="da-DK"/>
              </w:rPr>
              <w:t>(der skal iværksættes et initiativ med et perspektiv frem til 2025)</w:t>
            </w:r>
          </w:p>
        </w:tc>
        <w:tc>
          <w:tcPr>
            <w:tcW w:w="3565" w:type="pct"/>
            <w:shd w:val="pct25" w:color="auto" w:fill="auto"/>
          </w:tcPr>
          <w:p>
            <w:pPr>
              <w:spacing w:after="0"/>
              <w:jc w:val="both"/>
              <w:rPr>
                <w:rFonts w:ascii="Times New Roman" w:hAnsi="Times New Roman"/>
                <w:b/>
                <w:noProof/>
                <w:sz w:val="20"/>
                <w:szCs w:val="20"/>
              </w:rPr>
            </w:pPr>
            <w:r>
              <w:rPr>
                <w:rFonts w:ascii="Times New Roman" w:hAnsi="Times New Roman"/>
                <w:b/>
                <w:noProof/>
                <w:sz w:val="20"/>
              </w:rPr>
              <w:t xml:space="preserve">Meddelelse om yderligere at fremme nærhedsprincippet, proportionalitetsprincippet og en bedre regulering i EU's daglige drift </w:t>
            </w:r>
            <w:r>
              <w:rPr>
                <w:rFonts w:ascii="Times New Roman" w:hAnsi="Times New Roman"/>
                <w:noProof/>
                <w:sz w:val="20"/>
              </w:rPr>
              <w:t>(ikkelovgivning, 3. kvartal 2018)</w:t>
            </w:r>
            <w:r>
              <w:rPr>
                <w:rFonts w:ascii="Times New Roman" w:hAnsi="Times New Roman"/>
                <w:b/>
                <w:noProof/>
                <w:sz w:val="20"/>
              </w:rPr>
              <w:t xml:space="preserve"> </w:t>
            </w:r>
          </w:p>
        </w:tc>
      </w:tr>
      <w:tr>
        <w:trPr>
          <w:cantSplit/>
        </w:trPr>
        <w:tc>
          <w:tcPr>
            <w:tcW w:w="181" w:type="pct"/>
            <w:shd w:val="pct25" w:color="auto" w:fill="auto"/>
          </w:tcPr>
          <w:p>
            <w:pPr>
              <w:numPr>
                <w:ilvl w:val="0"/>
                <w:numId w:val="1"/>
              </w:numPr>
              <w:spacing w:after="0" w:line="240" w:lineRule="auto"/>
              <w:rPr>
                <w:rFonts w:ascii="Times New Roman" w:hAnsi="Times New Roman"/>
                <w:b/>
                <w:noProof/>
                <w:color w:val="000000"/>
                <w:sz w:val="20"/>
                <w:szCs w:val="20"/>
              </w:rPr>
            </w:pPr>
          </w:p>
        </w:tc>
        <w:tc>
          <w:tcPr>
            <w:tcW w:w="1254" w:type="pct"/>
            <w:shd w:val="pct25" w:color="auto" w:fill="auto"/>
          </w:tcPr>
          <w:p>
            <w:pPr>
              <w:spacing w:after="0"/>
              <w:rPr>
                <w:rFonts w:ascii="Times New Roman" w:hAnsi="Times New Roman"/>
                <w:b/>
                <w:noProof/>
                <w:sz w:val="20"/>
                <w:szCs w:val="20"/>
              </w:rPr>
            </w:pPr>
            <w:r>
              <w:rPr>
                <w:rFonts w:ascii="Times New Roman" w:hAnsi="Times New Roman"/>
                <w:b/>
                <w:noProof/>
                <w:sz w:val="20"/>
              </w:rPr>
              <w:t>Et mere effektivt og demokratisk EU (</w:t>
            </w:r>
            <w:r>
              <w:rPr>
                <w:rFonts w:ascii="Times New Roman" w:hAnsi="Times New Roman"/>
                <w:b/>
                <w:i/>
                <w:noProof/>
                <w:sz w:val="20"/>
              </w:rPr>
              <w:t>der skal iværksættes et initiativ med et perspektiv frem til 2025</w:t>
            </w:r>
            <w:r>
              <w:rPr>
                <w:rFonts w:ascii="Times New Roman" w:hAnsi="Times New Roman"/>
                <w:b/>
                <w:noProof/>
                <w:sz w:val="20"/>
              </w:rPr>
              <w:t>)</w:t>
            </w:r>
          </w:p>
        </w:tc>
        <w:tc>
          <w:tcPr>
            <w:tcW w:w="3565" w:type="pct"/>
            <w:shd w:val="pct25" w:color="auto" w:fill="auto"/>
          </w:tcPr>
          <w:p>
            <w:pPr>
              <w:spacing w:after="0"/>
              <w:jc w:val="both"/>
              <w:rPr>
                <w:rFonts w:ascii="Times New Roman" w:hAnsi="Times New Roman"/>
                <w:b/>
                <w:noProof/>
                <w:sz w:val="20"/>
                <w:szCs w:val="20"/>
                <w:lang w:val="da-DK"/>
              </w:rPr>
            </w:pPr>
            <w:r>
              <w:rPr>
                <w:rFonts w:ascii="Times New Roman" w:hAnsi="Times New Roman"/>
                <w:b/>
                <w:noProof/>
                <w:sz w:val="20"/>
                <w:lang w:val="da-DK"/>
              </w:rPr>
              <w:t>Meddelelse om mulighederne for at øge effektiviteten i ledelsen af den Den Europæiske Union</w:t>
            </w:r>
            <w:r>
              <w:rPr>
                <w:noProof/>
                <w:lang w:val="da-DK"/>
              </w:rPr>
              <w:t xml:space="preserve"> </w:t>
            </w:r>
            <w:r>
              <w:rPr>
                <w:rFonts w:ascii="Times New Roman" w:hAnsi="Times New Roman"/>
                <w:noProof/>
                <w:sz w:val="20"/>
                <w:lang w:val="da-DK"/>
              </w:rPr>
              <w:t>(ikkelovgivning, 3. kvartal 2018)</w:t>
            </w:r>
          </w:p>
        </w:tc>
      </w:tr>
    </w:tbl>
    <w:p>
      <w:pPr>
        <w:spacing w:after="480"/>
        <w:outlineLvl w:val="0"/>
        <w:rPr>
          <w:rFonts w:ascii="Times New Roman" w:hAnsi="Times New Roman"/>
          <w:b/>
          <w:noProof/>
          <w:sz w:val="20"/>
          <w:szCs w:val="20"/>
          <w:highlight w:val="yellow"/>
          <w:u w:val="single"/>
          <w:lang w:val="da-DK"/>
        </w:rPr>
      </w:pPr>
    </w:p>
    <w:p>
      <w:pPr>
        <w:spacing w:after="480"/>
        <w:outlineLvl w:val="0"/>
        <w:rPr>
          <w:rFonts w:ascii="Times New Roman" w:hAnsi="Times New Roman"/>
          <w:b/>
          <w:noProof/>
          <w:sz w:val="20"/>
          <w:szCs w:val="20"/>
          <w:highlight w:val="yellow"/>
          <w:u w:val="single"/>
          <w:lang w:val="da-DK" w:eastAsia="de-DE"/>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572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jc w:val="both"/>
        <w:rPr>
          <w:sz w:val="18"/>
          <w:szCs w:val="18"/>
          <w:lang w:val="da-DK"/>
        </w:rPr>
      </w:pPr>
      <w:r>
        <w:rPr>
          <w:rStyle w:val="FootnoteReference"/>
          <w:sz w:val="18"/>
        </w:rPr>
        <w:footnoteRef/>
      </w:r>
      <w:r>
        <w:rPr>
          <w:sz w:val="18"/>
          <w:lang w:val="da-DK"/>
        </w:rPr>
        <w:t xml:space="preserve"> Dette bilag indeholder, så vidt det er muligt, nærmere oplysninger om initiativerne i Kommissionens arbejdsprogram i overensstemmelse med den interinstitutionelle aftale om bedre lovgivning. Oplysningerne er angivet i parentes under beskrivelsen af de enkelte initiativer og er kun vejledende, idet der kan ske ændringer under det forberedende arbejde, navnlig i lyset af resultatet af konsekvensanalyserne.</w:t>
      </w:r>
    </w:p>
  </w:footnote>
  <w:footnote w:id="3">
    <w:p>
      <w:pPr>
        <w:pStyle w:val="FootnoteText"/>
        <w:jc w:val="both"/>
        <w:rPr>
          <w:lang w:val="da-DK"/>
        </w:rPr>
      </w:pPr>
      <w:r>
        <w:rPr>
          <w:rStyle w:val="FootnoteReference"/>
          <w:sz w:val="18"/>
        </w:rPr>
        <w:footnoteRef/>
      </w:r>
      <w:r>
        <w:rPr>
          <w:sz w:val="18"/>
          <w:lang w:val="da-DK"/>
        </w:rPr>
        <w:t xml:space="preserve"> Pakken om cirkulær økonomi indgik allerede i bilag I til Kommissionens arbejdsprogram for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1"/>
    <w:docVar w:name="LW_ANNEX_UNIQUE" w:val="0"/>
    <w:docVar w:name="LW_CORRIGENDUM" w:val="&lt;UNUSED&gt;"/>
    <w:docVar w:name="LW_COVERPAGE_EXISTS" w:val="True"/>
    <w:docVar w:name="LW_COVERPAGE_GUID" w:val="A7C49D10-E30E-45D5-A444-1421EAA20A0E"/>
    <w:docVar w:name="LW_COVERPAGE_TYPE" w:val="1"/>
    <w:docVar w:name="LW_CROSSREFERENCE" w:val="&lt;UNUSED&gt;"/>
    <w:docVar w:name="LW_DATE.ADOPT.CP_ISODATE" w:val="&lt;EMPTY&gt;"/>
    <w:docVar w:name="LW_DocType" w:val="NORMAL"/>
    <w:docVar w:name="LW_EMISSION" w:val="24.10.2017"/>
    <w:docVar w:name="LW_EMISSION_ISODATE" w:val="2017-10-24"/>
    <w:docVar w:name="LW_EMISSION_LOCATION" w:val="STR"/>
    <w:docVar w:name="LW_EMISSION_PREFIX" w:val="Strasbourg, den "/>
    <w:docVar w:name="LW_EMISSION_SUFFIX" w:val="&lt;EMPTY&gt;"/>
    <w:docVar w:name="LW_ID_DOCTYPE_NONLW" w:val="CP-039"/>
    <w:docVar w:name="LW_INTERETEEE.CP" w:val="&lt;UNUSED&gt;"/>
    <w:docVar w:name="LW_LANGUE" w:val="DA"/>
    <w:docVar w:name="LW_LANGUESFAISANTFOI.CP" w:val="&lt;UNUSED&gt;"/>
    <w:docVar w:name="LW_LEVEL_OF_SENSITIVITY" w:val="Sensitive treatment"/>
    <w:docVar w:name="LW_NOM.INST" w:val="EUROPA-KOMMISSIONEN"/>
    <w:docVar w:name="LW_NOM.INST_JOINTDOC" w:val="&lt;EMPTY&gt;"/>
    <w:docVar w:name="LW_OBJETACTEPRINCIPAL.CP" w:val="_x000b_Kommissionens arbejdsprogram for 2018_x000b__x000b__x000b__x000b_En dagsorden for en mere forenet, stærkere og mere demokratisk Union"/>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650"/>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 optional=&quot;false&quot; maxTextLength=&quot;100&quot;&gt;_x000d__x000a_    &lt;text&gt;Limited                       Embargo until adoption&lt;/text&gt;_x000d__x000a_  &lt;/marking&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_x000b_"/>
    <w:docVar w:name="LW_TYPEACTEPRINCIPAL.CP" w:val="MEDDELELSE FRA KOMMISSIONEN TIL EUROPA-PARLAMENTET, RÅDET, DET EUROPÆISKE ØKONOMISKE OG SOCIALE UDVALG OG REGIONSUDVALGET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truncate">
    <w:name w:val="truncate"/>
    <w:basedOn w:val="DefaultParagraphFont"/>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truncate">
    <w:name w:val="truncate"/>
    <w:basedOn w:val="DefaultParagraphFont"/>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405A-4739-4C99-A9C9-C70EC56D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1556</Words>
  <Characters>9977</Characters>
  <Application>Microsoft Office Word</Application>
  <DocSecurity>0</DocSecurity>
  <Lines>199</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2017-10-24T10:16:00Z</dcterms:created>
  <dcterms:modified xsi:type="dcterms:W3CDTF">2017-11-06T13:59:00Z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Sensitive treatment</vt:lpwstr>
  </property>
  <property fmtid="{D5CDD505-2E9C-101B-9397-08002B2CF9AE}" pid="8" name="Unique annex">
    <vt:lpwstr>0</vt:lpwstr>
  </property>
</Properties>
</file>