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43ED10A7-D53D-4A1E-859D-34EB0904DB20" style="width:450.45pt;height:420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600"/>
        <w:jc w:val="center"/>
        <w:outlineLvl w:val="0"/>
        <w:rPr>
          <w:rFonts w:ascii="Times New Roman" w:hAnsi="Times New Roman"/>
          <w:b/>
          <w:i/>
          <w:noProof/>
          <w:sz w:val="20"/>
          <w:szCs w:val="20"/>
          <w:highlight w:val="yellow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Anness II: Inizjattivi REFIT</w:t>
      </w:r>
      <w:r>
        <w:rPr>
          <w:rStyle w:val="FootnoteReference"/>
          <w:rFonts w:ascii="Times New Roman" w:hAnsi="Times New Roman"/>
          <w:b/>
          <w:noProof/>
          <w:sz w:val="28"/>
          <w:u w:val="single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5"/>
        <w:gridCol w:w="4130"/>
        <w:gridCol w:w="9529"/>
      </w:tblGrid>
      <w:tr>
        <w:trPr>
          <w:cantSplit/>
          <w:tblHeader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Nru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Titolu</w:t>
            </w:r>
          </w:p>
        </w:tc>
        <w:tc>
          <w:tcPr>
            <w:tcW w:w="338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Deskrizzjoni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0"/>
              </w:rPr>
              <w:footnoteReference w:id="2"/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Spinta ġdida għall-Impjiegi, it-Tkabbir u l-Investiment</w:t>
            </w:r>
            <w:r>
              <w:rPr>
                <w:b/>
                <w:noProof/>
                <w:color w:val="000000"/>
                <w:sz w:val="23"/>
              </w:rPr>
              <w:t xml:space="preserve"> </w:t>
            </w:r>
          </w:p>
        </w:tc>
      </w:tr>
      <w:tr>
        <w:trPr>
          <w:cantSplit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Segwitu tal-Kontroll tal-Idoneità tar-Rappurtar u l-Monitoraġġ Ambjentali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Inizjattiva biex jiġu ssimplifikati r-rekwiżiti b’segwitu għal Kontroll tal-Idoneità dwar ir-Rappurtar u l-Monitoraġġ Ambjentali </w:t>
            </w:r>
            <w:r>
              <w:rPr>
                <w:rFonts w:ascii="Times New Roman" w:hAnsi="Times New Roman"/>
                <w:noProof/>
                <w:sz w:val="20"/>
              </w:rPr>
              <w:t>(Art. 95, 175, 192 TFUE, Q1 2018)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Suq Uniku Diġitali Konness </w:t>
            </w:r>
          </w:p>
        </w:tc>
      </w:tr>
      <w:tr>
        <w:trPr>
          <w:cantSplit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Informazzjoni tas-Settur Pubbliku</w:t>
            </w:r>
          </w:p>
        </w:tc>
        <w:tc>
          <w:tcPr>
            <w:tcW w:w="338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</w:rPr>
              <w:t>Rieżami tad-Direttiva 2013/37/UE dwar l-użu mill-ġdid tal-informazzjoni tas-settur pubbliku ser joħloq opportunitajiet biex id-</w:t>
            </w:r>
            <w:r>
              <w:rPr>
                <w:b/>
                <w:i/>
                <w:noProof/>
              </w:rPr>
              <w:t>data</w:t>
            </w:r>
            <w:r>
              <w:rPr>
                <w:b/>
                <w:noProof/>
              </w:rPr>
              <w:t xml:space="preserve"> governattiva tinfetaħ għall-benefiċċju tas-soċjetà, jitnaqqsu l-ispejjeż regolatorji u tkun issimplifikata l-leġiżlazzjoni eżistenti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(leġiżlattiva, inkluż valutazzjoni tal-impatt, Art. 114 TFUE, Q2 2018)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lastRenderedPageBreak/>
              <w:t>Unjoni tal-Enerġija Reżiljenti li jkollha Politika Progressiva dwar it-Tibdil fil-Klima</w:t>
            </w:r>
            <w:r>
              <w:rPr>
                <w:b/>
                <w:noProof/>
                <w:color w:val="000000"/>
                <w:sz w:val="23"/>
              </w:rPr>
              <w:t xml:space="preserve"> </w:t>
            </w:r>
          </w:p>
        </w:tc>
      </w:tr>
      <w:tr>
        <w:trPr>
          <w:cantSplit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>Rieżami tas-Sistema ta’ Kontroll tas-Sajd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 xml:space="preserve">Abbażi tar-riżultati tal-valutazzjoni SWD(2017)134 final, l-inizjattiva għandha l-għan li tissimplifika l-qafas leġiżlattiv attwali (ir-Regolament tal-Kunsill (KE) Nru 1224/2009, ir-Regolament tal-Kunsill (KE) Nru 768/2005, ir-Regolament tal-Kunsill (KE) Nru 1005/2008), u li tagħmlu aktar effettiv billi pereżempju jiġu ssimplifikati r-regoli, jiġi armonizzat il-katalogu ta’ ksur serju, jitnaqqsu l-piżijiet amministrattivi, u tingħata promozzjoni għall-użu ta’ għodod tal-IT armonizzati. </w:t>
            </w:r>
            <w:r>
              <w:rPr>
                <w:b/>
                <w:noProof/>
              </w:rPr>
              <w:t>Din l-inizjattiva twieġeb għal opinjoni tal-Pjattaforma REFIT</w:t>
            </w:r>
            <w:r>
              <w:rPr>
                <w:noProof/>
              </w:rPr>
              <w:t xml:space="preserve"> )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(leġiżlattiva, inkluż valutazzjoni tal-impatt, Art. 43 TFUE, Q2 2018)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Suq Intern Aktar Ġust u Aktar Profond b'Bażi Industrijali Msaħħa</w:t>
            </w:r>
          </w:p>
        </w:tc>
      </w:tr>
      <w:tr>
        <w:trPr>
          <w:cantSplit/>
        </w:trPr>
        <w:tc>
          <w:tcPr>
            <w:tcW w:w="134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1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Ir-rikonoxximent ta’ dokumenti tat-trasport elettroniċi għat-trasport tal-merkanzija mill-awtoritajiet pubbliċi u/jew is-sħab kummerċjali</w:t>
            </w:r>
          </w:p>
        </w:tc>
        <w:tc>
          <w:tcPr>
            <w:tcW w:w="338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>L-inizjattiva se jkollha l-għan li tisfrutta l-potenzjal tad-diġitalizzazzjoni fis-settur tat-trasport permezz tat-trawwim ta’rikonoxximent tad-dokumenti tat-trasport tal-merkanzija f’forma elettronika mill-awtoritajiet u/jew sħab kummerċjali, u l-użu usa’ tagħhom mill-operaturi tat-trasport</w:t>
            </w:r>
            <w:r>
              <w:rPr>
                <w:rFonts w:ascii="Times New Roman" w:hAnsi="Times New Roman"/>
                <w:noProof/>
                <w:sz w:val="20"/>
              </w:rPr>
              <w:t>(leġiżlattiva, inkluż valutazzjoni tal-impatt, Art. 91 TFUE, Q2 2018)</w:t>
            </w:r>
          </w:p>
        </w:tc>
      </w:tr>
      <w:tr>
        <w:trPr>
          <w:cantSplit/>
        </w:trPr>
        <w:tc>
          <w:tcPr>
            <w:tcW w:w="134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L-inizjattiva ta’ Punt Uniku ta’ Kuntatt Marittimu</w:t>
            </w:r>
          </w:p>
        </w:tc>
        <w:tc>
          <w:tcPr>
            <w:tcW w:w="3385" w:type="pct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Reviżjoni tad-Direttiva 2010/65/UE dwar il-Formalitajiet ta’ Rappurtar għal bastimenti li jaslu fi u/jew jitilqu minn portijiet tal-Istati Membri </w:t>
            </w:r>
            <w:r>
              <w:rPr>
                <w:rFonts w:ascii="Times New Roman" w:hAnsi="Times New Roman"/>
                <w:noProof/>
                <w:sz w:val="20"/>
              </w:rPr>
              <w:t>(leġiżlattiva, inkluż valutazzjoni tal-impatt, Art. 100(2) TFUE, Q2 2018)</w:t>
            </w:r>
          </w:p>
        </w:tc>
      </w:tr>
      <w:tr>
        <w:trPr>
          <w:cantSplit/>
        </w:trPr>
        <w:tc>
          <w:tcPr>
            <w:tcW w:w="134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</w:tcPr>
          <w:p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L-investimenti tat-TEN-T</w:t>
            </w:r>
          </w:p>
        </w:tc>
        <w:tc>
          <w:tcPr>
            <w:tcW w:w="3385" w:type="pct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Style w:val="truncate"/>
                <w:rFonts w:ascii="Times New Roman" w:hAnsi="Times New Roman"/>
                <w:b/>
                <w:noProof/>
                <w:sz w:val="20"/>
              </w:rPr>
              <w:t>Ir-Regolament dwar miżuri ta’ simplifikazzjoni għal implimentazzjoni aktar rapida tal-proġetti ta’ interess komuni fin-Netwerk tat-Trasport Trans-Ewropew</w:t>
            </w:r>
            <w:r>
              <w:rPr>
                <w:noProof/>
              </w:rPr>
              <w:t xml:space="preserve"> </w:t>
            </w:r>
            <w:r>
              <w:rPr>
                <w:rStyle w:val="truncate"/>
                <w:rFonts w:ascii="Times New Roman" w:hAnsi="Times New Roman"/>
                <w:noProof/>
                <w:sz w:val="20"/>
              </w:rPr>
              <w:t xml:space="preserve">(leġiżlattiva, </w:t>
            </w:r>
            <w:r>
              <w:rPr>
                <w:rFonts w:ascii="Times New Roman" w:hAnsi="Times New Roman"/>
                <w:noProof/>
                <w:sz w:val="20"/>
              </w:rPr>
              <w:t>inkluż valutazzjoni tal-impatt, Art. 171–172 TFUE, Q1 2018)</w:t>
            </w:r>
          </w:p>
        </w:tc>
      </w:tr>
      <w:tr>
        <w:trPr>
          <w:cantSplit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Arranġamenti ġenerali għad-dazju tas-sisa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0"/>
              </w:rPr>
              <w:footnoteReference w:id="3"/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Reviżjoni tad-Direttiva 2008/118/KE biex jiġu allinjati u tiġi żgurata koerenza bejn il-leġiżlazzjoni tad-dwana u tas-sisa, titjieb iċ-ċertezza tad-dritt u tiġi żgurata l-applikazzjoni uniformi tal-leġiżlazzjoni tal-UE </w:t>
            </w:r>
            <w:r>
              <w:rPr>
                <w:rFonts w:ascii="Times New Roman" w:hAnsi="Times New Roman"/>
                <w:noProof/>
                <w:sz w:val="20"/>
              </w:rPr>
              <w:t>(leġiżlattiva, inkluż valutazzjoni tal-impatt; Art. 113 TFUE; Q1/2018).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lastRenderedPageBreak/>
              <w:t>Żona ta’ Ġustizzja u Drittijiet Fundamentali Bbażata fuq il-Fiduċja Reċiproka</w:t>
            </w:r>
            <w:r>
              <w:rPr>
                <w:b/>
                <w:noProof/>
                <w:color w:val="000000"/>
                <w:sz w:val="23"/>
              </w:rPr>
              <w:t xml:space="preserve"> </w:t>
            </w:r>
          </w:p>
        </w:tc>
      </w:tr>
      <w:tr>
        <w:trPr>
          <w:cantSplit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>Patt ġdid għall-Konsumaturi</w:t>
            </w:r>
          </w:p>
        </w:tc>
        <w:tc>
          <w:tcPr>
            <w:tcW w:w="338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 xml:space="preserve">Reviżjoni mmirata tad-direttivi tal-konsumatur tal-UE b’segwitu għall-Kontroll tal-Idoneità tal-liġijiet tal-UE dwar il-konsumatur u l-kummerċjalizzazzjoni ffinalizzat fit-23 ta’ Mejju 2017. </w:t>
            </w:r>
            <w:r>
              <w:rPr>
                <w:b/>
                <w:noProof/>
              </w:rPr>
              <w:t xml:space="preserve">Inizjattiva biex tiġi ffaċilitata l-koordinazzjoni u l-azzjoni effettiva minn awtoritajiet nazzjonali tal-konsumatur fil-livell tal-UE u tissaħħaħ l-azzjoni pubblika ta’ infurzar u l-protezzjoni aħjar tad-drittijiet tal-konsumatur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(leġiżlattiva, inkluż valutazzjoni tal-impatt, Art 114 TFUE, Q1 2018)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34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pct"/>
          </w:tcPr>
          <w:p>
            <w:pPr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>Karti tal-identità u Dokumenti ta’ Residenza</w:t>
            </w:r>
          </w:p>
        </w:tc>
        <w:tc>
          <w:tcPr>
            <w:tcW w:w="338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 xml:space="preserve">Inizjattiva Leġiżlattiva biex tittejjeb is-sigurtà tal-karti tal-identità u dokumenti ta’ residenza ta’ ċittadini tal-UE u l-membri tal-familja tagħhom li mhumiex mill-UE. Din l-inizjattiva twieġeb għal opinjoni tal-Pjattaforma REFIT.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(leġiżlattiva, inkluż valutazzjoni tal-impatt, Art. 21 u/jew 77(3) TFUE, Q2 2018)</w:t>
            </w:r>
          </w:p>
        </w:tc>
      </w:tr>
      <w:tr>
        <w:trPr>
          <w:cantSplit/>
        </w:trPr>
        <w:tc>
          <w:tcPr>
            <w:tcW w:w="134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pct"/>
          </w:tcPr>
          <w:p>
            <w:pPr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>Reviżjoni tar-Regolament dwar in-notifika ta’ dokumenti</w:t>
            </w:r>
          </w:p>
          <w:p>
            <w:pPr>
              <w:spacing w:after="0"/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38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 xml:space="preserve">Ir-reviżjoni tar-Regolament (KE) Nru 1393/2007 dwar in-notifika fl-Istati Membri ta’ dokumenti ġudizzjarji u extra-ġudizzjarji fi kwistjonijiet ċivili jew kummerċjali (notifika ta’ dokumenti)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(leġiżlattiva, inkluż valutazzjoni tal-impatt, Art. 81(2) TFUE, Q2 2018).</w:t>
            </w:r>
          </w:p>
        </w:tc>
      </w:tr>
      <w:tr>
        <w:trPr>
          <w:cantSplit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>Reviżjoni tar-Regolament dwar il-kumpilazzjoni ta' xhieda</w:t>
            </w:r>
          </w:p>
        </w:tc>
        <w:tc>
          <w:tcPr>
            <w:tcW w:w="338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 xml:space="preserve">Ir-reviżjoni tar-Regolament dwar il-kumpilazzjoni ta' xhieda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(leġiżlattiva, inkluż valutazzjoni tal-impatt, Art. 81(2) TFUE, Q2 2018)</w:t>
            </w:r>
          </w:p>
        </w:tc>
      </w:tr>
      <w:tr>
        <w:trPr>
          <w:cantSplit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>Dokument tal-Ivvjaġġjar ta' Emerġenza</w:t>
            </w:r>
          </w:p>
        </w:tc>
        <w:tc>
          <w:tcPr>
            <w:tcW w:w="338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</w:rPr>
              <w:t xml:space="preserve">Rieżami tal-Proposta għal Direttiva tal-Kunsill biex tissostitwixxi d-Deċiżjoni dwar l-istabbiliment ta’ dokument tal-ivvjaġġar ta’ emerġenza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(leġiżlattiva, inkluż impatt ta’ valutazzjoni, Art. 23 TFUE, Q2 2018)</w:t>
            </w:r>
          </w:p>
        </w:tc>
      </w:tr>
    </w:tbl>
    <w:p>
      <w:pPr>
        <w:spacing w:after="600"/>
        <w:outlineLvl w:val="0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6012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spacing w:after="60"/>
        <w:jc w:val="both"/>
      </w:pPr>
      <w:r>
        <w:rPr>
          <w:rStyle w:val="FootnoteReference"/>
        </w:rPr>
        <w:footnoteRef/>
      </w:r>
      <w:r>
        <w:t xml:space="preserve"> Dan l-anness jelenka l-inizjattivi leġiżlattivi skont REFIT maħsuba għall-adozzjoni fl-2018. Huwa jikkomplementa l-punti elenkati b’inizjattivi ġodda fl-Anness I</w:t>
      </w:r>
    </w:p>
  </w:footnote>
  <w:footnote w:id="2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F’dan l-Anness il-Kummissjoni tipprovdi aktar informazzjoni, sakemm hija disponibbli, dwar l-inizjattivi inklużi fil-Programm ta’ Ħidma tagħha, f’konformità mal-Ftehim Interistituzzjonali dwar it-Tfassil Aħjar tal-Liġijiet. Din l-informazzjoni li hija pprovduta f’parentesi taħt id-deskrizzjoni ta’ kull inizjattiva, hija biss indikattiva u soġġetta għal tibdil matul il-proċess ta’ tħejjija, b’mod partikolari fid-dawl tal-eżitu ta’ proċess ta’ valutazzjoni tal-impatt.</w:t>
      </w:r>
    </w:p>
    <w:p>
      <w:pPr>
        <w:pStyle w:val="FootnoteText"/>
        <w:jc w:val="both"/>
      </w:pP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L-arranġamenti ġenerali għad-dazju tas-sisa kienu diġà inklużi fl-Anness II tal-Programm ta’ Ħidma tal-Kummissjoni tal-2017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g\u295?al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43ED10A7-D53D-4A1E-859D-34EB0904DB20"/>
    <w:docVar w:name="LW_COVERPAGE_TYPE" w:val="1"/>
    <w:docVar w:name="LW_CROSSREFERENCE" w:val="&lt;UNUSED&gt;"/>
    <w:docVar w:name="LW_DocType" w:val="NORMAL"/>
    <w:docVar w:name="LW_EMISSION" w:val="24.10.2017"/>
    <w:docVar w:name="LW_EMISSION_ISODATE" w:val="2017-10-24"/>
    <w:docVar w:name="LW_EMISSION_LOCATION" w:val="STR"/>
    <w:docVar w:name="LW_EMISSION_PREFIX" w:val="Strasburgu, "/>
    <w:docVar w:name="LW_EMISSION_SUFFIX" w:val="&lt;EMPTY&gt;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Il-Programm ta' \u294?idma tal-Kummissjoni g\u295?all-2018_x000b__x000b_A\u289?enda g\u295?al Ewropa aktar mag\u295?quda, aktar b'sa\u295?\u295?itha u aktar Demokratika"/>
    <w:docVar w:name="LW_PART_NBR" w:val="1"/>
    <w:docVar w:name="LW_PART_NBR_TOTAL" w:val="1"/>
    <w:docVar w:name="LW_REF.INST.NEW" w:val="COM"/>
    <w:docVar w:name="LW_REF.INST.NEW_ADOPTED" w:val="final"/>
    <w:docVar w:name="LW_REF.INST.NEW_TEXT" w:val="(2017) 6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KOMUNIKAZZJONI MILL-KUMMISSJONI LILL-PARLAMENT EWROPEW, IL-KUNSILL, IL-KUMITAT EKONOMIKU U SO\u266?JALI EWROPEW U L-KUMITAT TAR-RE\u288?JU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truncate">
    <w:name w:val="truncate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tgc">
    <w:name w:val="_tgc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mt-MT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truncate">
    <w:name w:val="truncate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tgc">
    <w:name w:val="_tgc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44DF-10C3-4812-B909-C5A971CC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4151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2017-10-24T07:26:00Z</dcterms:created>
  <dcterms:modified xsi:type="dcterms:W3CDTF">2017-11-06T14:01:00Z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</Properties>
</file>