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8DE7808262664C43AE8A282077E588BB" style="width:450.75pt;height:411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Annexetitre"/>
        <w:rPr>
          <w:noProof/>
          <w:lang w:val="pt-PT"/>
        </w:rPr>
      </w:pPr>
      <w:bookmarkStart w:id="0" w:name="_GoBack"/>
      <w:bookmarkEnd w:id="0"/>
      <w:r>
        <w:rPr>
          <w:noProof/>
          <w:lang w:val="pt-PT"/>
        </w:rPr>
        <w:lastRenderedPageBreak/>
        <w:t>BIJLAGE</w:t>
      </w:r>
    </w:p>
    <w:p>
      <w:pPr>
        <w:spacing w:before="360" w:after="0" w:line="360" w:lineRule="auto"/>
        <w:jc w:val="center"/>
        <w:rPr>
          <w:rFonts w:eastAsia="Times New Roman"/>
          <w:b/>
          <w:noProof/>
          <w:szCs w:val="24"/>
          <w:lang w:val="pt-PT"/>
        </w:rPr>
      </w:pPr>
      <w:r>
        <w:rPr>
          <w:b/>
          <w:noProof/>
          <w:lang w:val="pt-PT"/>
        </w:rPr>
        <w:t>O N T W E R P</w:t>
      </w:r>
    </w:p>
    <w:p>
      <w:pPr>
        <w:spacing w:before="360" w:after="0" w:line="360" w:lineRule="auto"/>
        <w:jc w:val="center"/>
        <w:rPr>
          <w:rFonts w:eastAsia="Times New Roman"/>
          <w:b/>
          <w:noProof/>
          <w:szCs w:val="24"/>
        </w:rPr>
      </w:pPr>
      <w:r>
        <w:rPr>
          <w:b/>
          <w:noProof/>
        </w:rPr>
        <w:t>BESLUIT NR. 1/2017 VAN HET GEMENGD VETERINAIR COMITÉ</w:t>
      </w:r>
      <w:r>
        <w:rPr>
          <w:rFonts w:eastAsia="Times New Roman"/>
          <w:b/>
          <w:noProof/>
          <w:szCs w:val="24"/>
        </w:rPr>
        <w:br/>
      </w:r>
      <w:r>
        <w:rPr>
          <w:b/>
          <w:noProof/>
        </w:rPr>
        <w:t>INGESTELD BIJ DE OVEREENKOMST TUSSEN DE EUROPESE GEMEENSCHAP</w:t>
      </w:r>
      <w:r>
        <w:rPr>
          <w:rFonts w:eastAsia="Times New Roman"/>
          <w:b/>
          <w:noProof/>
          <w:szCs w:val="24"/>
        </w:rPr>
        <w:br/>
      </w:r>
      <w:r>
        <w:rPr>
          <w:b/>
          <w:noProof/>
        </w:rPr>
        <w:t>EN DE ZWITSERSE BONDSSTAAT</w:t>
      </w:r>
      <w:r>
        <w:rPr>
          <w:rFonts w:eastAsia="Times New Roman"/>
          <w:b/>
          <w:noProof/>
          <w:szCs w:val="24"/>
        </w:rPr>
        <w:br/>
      </w:r>
      <w:r>
        <w:rPr>
          <w:b/>
          <w:noProof/>
        </w:rPr>
        <w:t>INZAKE DE HANDEL IN LANDBOUWPRODUCTEN</w:t>
      </w:r>
    </w:p>
    <w:p>
      <w:pPr>
        <w:spacing w:before="360" w:after="0" w:line="360" w:lineRule="auto"/>
        <w:jc w:val="center"/>
        <w:rPr>
          <w:rFonts w:eastAsia="Times New Roman"/>
          <w:b/>
          <w:noProof/>
          <w:szCs w:val="24"/>
        </w:rPr>
      </w:pPr>
      <w:r>
        <w:rPr>
          <w:b/>
          <w:noProof/>
        </w:rPr>
        <w:t>van ...</w:t>
      </w:r>
    </w:p>
    <w:p>
      <w:pPr>
        <w:spacing w:before="360" w:after="360" w:line="360" w:lineRule="auto"/>
        <w:jc w:val="center"/>
        <w:rPr>
          <w:rFonts w:eastAsia="Times New Roman"/>
          <w:b/>
          <w:noProof/>
          <w:szCs w:val="24"/>
        </w:rPr>
      </w:pPr>
      <w:r>
        <w:rPr>
          <w:b/>
          <w:noProof/>
        </w:rPr>
        <w:t>tot wijziging van bijlage 11, aanhangsel 6, bij de overeenkomst</w:t>
      </w:r>
    </w:p>
    <w:p>
      <w:pPr>
        <w:keepNext/>
        <w:jc w:val="left"/>
        <w:rPr>
          <w:rFonts w:eastAsia="Times New Roman"/>
          <w:noProof/>
          <w:szCs w:val="24"/>
        </w:rPr>
      </w:pPr>
      <w:r>
        <w:rPr>
          <w:noProof/>
        </w:rPr>
        <w:t>HET GEMENGD VETERINAIR COMITÉ,</w:t>
      </w:r>
    </w:p>
    <w:p>
      <w:pPr>
        <w:rPr>
          <w:rFonts w:eastAsia="Times New Roman"/>
          <w:noProof/>
          <w:szCs w:val="24"/>
        </w:rPr>
      </w:pPr>
      <w:r>
        <w:rPr>
          <w:noProof/>
        </w:rPr>
        <w:t>Gezien de Overeenkomst tussen de Europese Gemeenschap en de Zwitserse Bondsstaat inzake de handel in landbouwproducten</w:t>
      </w:r>
      <w:r>
        <w:rPr>
          <w:rStyle w:val="FootnoteReference"/>
          <w:noProof/>
        </w:rPr>
        <w:footnoteReference w:id="1"/>
      </w:r>
      <w:r>
        <w:rPr>
          <w:noProof/>
        </w:rPr>
        <w:t>, en met name bijlage 11, artikel 19, lid 3,</w:t>
      </w:r>
    </w:p>
    <w:p>
      <w:pPr>
        <w:rPr>
          <w:rFonts w:eastAsia="Times New Roman"/>
          <w:noProof/>
          <w:szCs w:val="24"/>
        </w:rPr>
      </w:pPr>
      <w:r>
        <w:rPr>
          <w:noProof/>
        </w:rPr>
        <w:t>Overwegende hetgeen volgt:</w:t>
      </w:r>
    </w:p>
    <w:p>
      <w:pPr>
        <w:pStyle w:val="Considrant"/>
        <w:numPr>
          <w:ilvl w:val="0"/>
          <w:numId w:val="1"/>
        </w:numPr>
        <w:rPr>
          <w:noProof/>
        </w:rPr>
      </w:pPr>
      <w:r>
        <w:rPr>
          <w:noProof/>
        </w:rPr>
        <w:t>De Overeenkomst tussen de Europese Gemeenschap en de Zwitserse Bondsstaat inzake de handel in landbouwproducten (hierna "de landbouwovereenkomst" genoemd) is op 1 juni 2002 in werking getreden.</w:t>
      </w:r>
    </w:p>
    <w:p>
      <w:pPr>
        <w:pStyle w:val="Considrant"/>
        <w:numPr>
          <w:ilvl w:val="0"/>
          <w:numId w:val="1"/>
        </w:numPr>
        <w:rPr>
          <w:rFonts w:eastAsia="Times New Roman"/>
          <w:noProof/>
          <w:szCs w:val="24"/>
        </w:rPr>
      </w:pPr>
      <w:r>
        <w:rPr>
          <w:noProof/>
        </w:rPr>
        <w:t>Overeenkomstig bijlage 11, artikel 19, lid 1, bij de landbouwovereenkomst is het bij de landbouwovereenkomst opgerichte Gemengd Veterinair Comité (hierna "het Gemengd Veterinair Comité" genoemd) belast met het onderzoeken van elke kwestie die betrekking heeft op die bijlage en de uitvoering daarvan, en neemt het bovendien alle taken in verband met deze bijlage op zich. Overeenkomstig lid 3 van dat artikel kan het Gemengd Veterinair Comité besluiten de aanhangsels van bijlage 11 te wijzigen, met name om deze aan te passen en bij te werken.</w:t>
      </w:r>
    </w:p>
    <w:p>
      <w:pPr>
        <w:pStyle w:val="Considrant"/>
        <w:numPr>
          <w:ilvl w:val="0"/>
          <w:numId w:val="1"/>
        </w:numPr>
        <w:rPr>
          <w:rFonts w:eastAsia="Times New Roman"/>
          <w:noProof/>
          <w:szCs w:val="24"/>
        </w:rPr>
      </w:pPr>
      <w:r>
        <w:rPr>
          <w:noProof/>
        </w:rPr>
        <w:t>Bij Besluit nr. 2/2003 van het Gemengd Veterinair Comité</w:t>
      </w:r>
      <w:r>
        <w:rPr>
          <w:rStyle w:val="FootnoteReference"/>
          <w:noProof/>
        </w:rPr>
        <w:footnoteReference w:id="2"/>
      </w:r>
      <w:r>
        <w:rPr>
          <w:noProof/>
        </w:rPr>
        <w:t xml:space="preserve"> zijn de aanhangsels 1, 2, 3, 4, 5, 6 en 11 van bijlage 11 bij de landbouwovereenkomst voor het eerst gewijzigd.</w:t>
      </w:r>
    </w:p>
    <w:p>
      <w:pPr>
        <w:pStyle w:val="Considrant"/>
        <w:numPr>
          <w:ilvl w:val="0"/>
          <w:numId w:val="1"/>
        </w:numPr>
        <w:rPr>
          <w:rFonts w:eastAsia="Times New Roman"/>
          <w:noProof/>
          <w:szCs w:val="24"/>
        </w:rPr>
      </w:pPr>
      <w:r>
        <w:rPr>
          <w:noProof/>
        </w:rPr>
        <w:t>Bij Besluit nr. 1/2015 van het Gemengd Veterinair Comité</w:t>
      </w:r>
      <w:r>
        <w:rPr>
          <w:rStyle w:val="FootnoteReference"/>
          <w:noProof/>
        </w:rPr>
        <w:footnoteReference w:id="3"/>
      </w:r>
      <w:r>
        <w:rPr>
          <w:noProof/>
        </w:rPr>
        <w:t xml:space="preserve"> zijn de aanhangsels 1, 2, 3, 5, 6, 7, 10 en 11 van bijlage 11 bij de landbouwovereenkomst voor het laatst gewijzigd.</w:t>
      </w:r>
    </w:p>
    <w:p>
      <w:pPr>
        <w:pStyle w:val="Considrant"/>
        <w:numPr>
          <w:ilvl w:val="0"/>
          <w:numId w:val="1"/>
        </w:numPr>
        <w:rPr>
          <w:rFonts w:eastAsia="Times New Roman"/>
          <w:noProof/>
          <w:szCs w:val="24"/>
        </w:rPr>
      </w:pPr>
      <w:r>
        <w:rPr>
          <w:noProof/>
        </w:rPr>
        <w:lastRenderedPageBreak/>
        <w:t xml:space="preserve">Voor karkassen en vlees van gedomesticeerde mest- en slachtvarkens in slachthuizen met een geringe capaciteit heeft Zwitserland gedurende meerdere achtereenvolgende perioden mogen afwijken van het onderzoek op de aanwezigheid van </w:t>
      </w:r>
      <w:r>
        <w:rPr>
          <w:i/>
          <w:noProof/>
        </w:rPr>
        <w:t>Trichinella</w:t>
      </w:r>
      <w:r>
        <w:rPr>
          <w:noProof/>
        </w:rPr>
        <w:t xml:space="preserve">. In Zwitserland is al meer dan vijftig jaar geen enkel geval van </w:t>
      </w:r>
      <w:r>
        <w:rPr>
          <w:i/>
          <w:noProof/>
        </w:rPr>
        <w:t>Trichinella</w:t>
      </w:r>
      <w:r>
        <w:rPr>
          <w:noProof/>
        </w:rPr>
        <w:t xml:space="preserve"> vastgesteld. Bovendien beschikt Zwitserland over een opsporingsprogramma dat werkt, en verplicht het zich ertoe dat het vlees van gedomesticeerde varkens dat in de Europese Unie in de handel wordt gebracht, altijd is onderzocht op de aanwezigheid van </w:t>
      </w:r>
      <w:r>
        <w:rPr>
          <w:i/>
          <w:noProof/>
        </w:rPr>
        <w:t>Trichinella</w:t>
      </w:r>
      <w:r>
        <w:rPr>
          <w:noProof/>
        </w:rPr>
        <w:t>. Er kan derhalve een einde worden gemaakt aan het tijdelijke karakter van de afwijking.</w:t>
      </w:r>
    </w:p>
    <w:p>
      <w:pPr>
        <w:pStyle w:val="Considrant"/>
        <w:numPr>
          <w:ilvl w:val="0"/>
          <w:numId w:val="1"/>
        </w:numPr>
        <w:rPr>
          <w:rFonts w:eastAsia="Times New Roman"/>
          <w:noProof/>
          <w:szCs w:val="24"/>
        </w:rPr>
      </w:pPr>
      <w:r>
        <w:rPr>
          <w:noProof/>
        </w:rPr>
        <w:t>Dit besluit moet in werking treden op de dag waarop het wordt vastgesteld.</w:t>
      </w:r>
    </w:p>
    <w:p>
      <w:pPr>
        <w:pStyle w:val="Considrant"/>
        <w:numPr>
          <w:ilvl w:val="0"/>
          <w:numId w:val="1"/>
        </w:numPr>
        <w:rPr>
          <w:rFonts w:eastAsia="Times New Roman"/>
          <w:noProof/>
          <w:szCs w:val="24"/>
        </w:rPr>
      </w:pPr>
      <w:r>
        <w:rPr>
          <w:noProof/>
        </w:rPr>
        <w:t>Bijlage 11, aanhangsel 6, bij de landbouwovereenkomst moet derhalve worden gewijzigd,</w:t>
      </w:r>
    </w:p>
    <w:p>
      <w:pPr>
        <w:keepNext/>
        <w:rPr>
          <w:rFonts w:eastAsia="Times New Roman"/>
          <w:noProof/>
          <w:szCs w:val="24"/>
        </w:rPr>
      </w:pPr>
      <w:r>
        <w:rPr>
          <w:noProof/>
        </w:rPr>
        <w:t>HEEFT HET VOLGENDE BESLUIT VASTGESTELD:</w:t>
      </w:r>
    </w:p>
    <w:p>
      <w:pPr>
        <w:pStyle w:val="Titrearticle"/>
        <w:rPr>
          <w:noProof/>
        </w:rPr>
      </w:pPr>
      <w:r>
        <w:rPr>
          <w:noProof/>
        </w:rPr>
        <w:t>Artikel 1</w:t>
      </w:r>
    </w:p>
    <w:p>
      <w:pPr>
        <w:rPr>
          <w:rFonts w:eastAsia="Times New Roman"/>
          <w:noProof/>
          <w:szCs w:val="24"/>
        </w:rPr>
      </w:pPr>
      <w:r>
        <w:rPr>
          <w:noProof/>
        </w:rPr>
        <w:t>In bijlage 11, aanhangsel 6, hoofdstuk "Bijzondere voorwaarden", bij de landbouwovereenkomst worden de punten 4 tot en met 6 als volgt gewijzigd: als hieronder:</w:t>
      </w:r>
    </w:p>
    <w:p>
      <w:pPr>
        <w:pStyle w:val="Point0"/>
        <w:rPr>
          <w:noProof/>
        </w:rPr>
      </w:pPr>
      <w:r>
        <w:rPr>
          <w:noProof/>
        </w:rPr>
        <w:t>4)</w:t>
      </w:r>
      <w:r>
        <w:rPr>
          <w:noProof/>
        </w:rPr>
        <w:tab/>
        <w:t xml:space="preserve">De bevoegde autoriteiten van Zwitserland verplichten zich ertoe dat de karkassen en het vlees van gedomesticeerde varkens die in de Europese Unie in de handel wordt gebracht, zijn onderzocht op de aanwezigheid van </w:t>
      </w:r>
      <w:r>
        <w:rPr>
          <w:i/>
          <w:noProof/>
        </w:rPr>
        <w:t>Trichinella</w:t>
      </w:r>
      <w:r>
        <w:rPr>
          <w:noProof/>
        </w:rPr>
        <w:t xml:space="preserve"> in de karkassen en het vlees van gedomesticeerde varkens.</w:t>
      </w:r>
    </w:p>
    <w:p>
      <w:pPr>
        <w:pStyle w:val="Point0"/>
        <w:rPr>
          <w:rFonts w:eastAsia="Times New Roman"/>
          <w:noProof/>
        </w:rPr>
      </w:pPr>
      <w:r>
        <w:rPr>
          <w:noProof/>
        </w:rPr>
        <w:t>5)</w:t>
      </w:r>
      <w:r>
        <w:rPr>
          <w:noProof/>
        </w:rPr>
        <w:tab/>
        <w:t xml:space="preserve">Voor de onderzoeken op de aanwezigheid van </w:t>
      </w:r>
      <w:r>
        <w:rPr>
          <w:i/>
          <w:noProof/>
        </w:rPr>
        <w:t>Trichinella</w:t>
      </w:r>
      <w:r>
        <w:rPr>
          <w:noProof/>
        </w:rPr>
        <w:t xml:space="preserve"> worden in Zwitserland de in bijlage I, hoofdstukken I en II, bij Verordening (EG) nr. 2075/2005 beschreven detectiemethoden gebruikt. Er wordt echter geen gebruik gemaakt van het in bijlage I, hoofdstuk III, bij Verordening (EG) nr. 2075/2005 beschreven trichinoscopisch onderzoek.</w:t>
      </w:r>
    </w:p>
    <w:p>
      <w:pPr>
        <w:pStyle w:val="Point0"/>
        <w:rPr>
          <w:rFonts w:eastAsia="Times New Roman"/>
          <w:noProof/>
          <w:szCs w:val="24"/>
        </w:rPr>
      </w:pPr>
      <w:r>
        <w:rPr>
          <w:noProof/>
        </w:rPr>
        <w:t>6)</w:t>
      </w:r>
      <w:r>
        <w:rPr>
          <w:noProof/>
        </w:rPr>
        <w:tab/>
        <w:t>Overeenkomstig de bepalingen van artikel 8, lid 3, van de verordening van het DFI van 23 november 2005 inzake de hygiëne bij het slachten van dieren (OHyAb; RS 817.190.1) en artikel 9, lid 8, van de verordening van het DFI van 23 november 2005 inzake levensmiddelen van dierlijke oorsprong (RS 817.022.108) zijn die karkassen en dat vlees van gedomesticeerde mest- en slachtvarkens alsook de daarvan afgeleide vleesbereidingen, vleesproducten en verwerkte vleesproducten die niet voor de markt van de Europese Unie bestemd zijn, voorzien van een gezondheidsmerk overeenkomstig bijlage 9, laatste alinea, van de verordening van het DFI van 23 november 2005 inzake de hygiëne bij het slachten van dieren.</w:t>
      </w:r>
    </w:p>
    <w:p>
      <w:pPr>
        <w:pStyle w:val="Text1"/>
        <w:rPr>
          <w:noProof/>
        </w:rPr>
      </w:pPr>
      <w:r>
        <w:rPr>
          <w:noProof/>
        </w:rPr>
        <w:t>Overeenkomstig artikel 9</w:t>
      </w:r>
      <w:r>
        <w:rPr>
          <w:i/>
          <w:noProof/>
        </w:rPr>
        <w:t>a</w:t>
      </w:r>
      <w:r>
        <w:rPr>
          <w:noProof/>
        </w:rPr>
        <w:t xml:space="preserve"> van de Verordening van het DFI van 23 november 2005 inzake levensmiddelen van dierlijke oorsprong mogen deze producten niet in het handelsverkeer met de lidstaten van de Europese Unie worden gebracht.</w:t>
      </w:r>
    </w:p>
    <w:p>
      <w:pPr>
        <w:rPr>
          <w:rFonts w:eastAsia="Times New Roman"/>
          <w:noProof/>
          <w:szCs w:val="24"/>
        </w:rPr>
      </w:pPr>
      <w:r>
        <w:rPr>
          <w:noProof/>
        </w:rPr>
        <w:t>Punt 7 wordt geschrapt.</w:t>
      </w:r>
    </w:p>
    <w:p>
      <w:pPr>
        <w:pStyle w:val="Titrearticle"/>
        <w:rPr>
          <w:rFonts w:eastAsia="Times New Roman"/>
          <w:i w:val="0"/>
          <w:noProof/>
          <w:szCs w:val="24"/>
        </w:rPr>
      </w:pPr>
      <w:r>
        <w:rPr>
          <w:noProof/>
        </w:rPr>
        <w:t>Artikel 2</w:t>
      </w:r>
    </w:p>
    <w:p>
      <w:pPr>
        <w:rPr>
          <w:rFonts w:eastAsia="Times New Roman"/>
          <w:noProof/>
          <w:szCs w:val="24"/>
        </w:rPr>
      </w:pPr>
      <w:r>
        <w:rPr>
          <w:noProof/>
        </w:rPr>
        <w:t>Dit besluit, opgesteld in twee exemplaren, wordt ondertekend door de medevoorzitters of andere personen die gemachtigd zijn namens de partijen bij de landbouwovereenkomst op te treden.</w:t>
      </w:r>
    </w:p>
    <w:p>
      <w:pPr>
        <w:pStyle w:val="Titrearticle"/>
        <w:keepLines/>
        <w:rPr>
          <w:rFonts w:eastAsia="Times New Roman"/>
          <w:i w:val="0"/>
          <w:noProof/>
          <w:szCs w:val="24"/>
        </w:rPr>
      </w:pPr>
      <w:r>
        <w:rPr>
          <w:noProof/>
        </w:rPr>
        <w:lastRenderedPageBreak/>
        <w:t>Artikel 3</w:t>
      </w:r>
    </w:p>
    <w:p>
      <w:pPr>
        <w:keepNext/>
        <w:keepLines/>
        <w:rPr>
          <w:rFonts w:eastAsia="Times New Roman"/>
          <w:noProof/>
          <w:szCs w:val="24"/>
        </w:rPr>
      </w:pPr>
      <w:r>
        <w:rPr>
          <w:noProof/>
        </w:rPr>
        <w:t>Dit besluit treedt in werking op de dag waarop het wordt vastgesteld.</w:t>
      </w:r>
    </w:p>
    <w:p>
      <w:pPr>
        <w:pStyle w:val="Fait"/>
        <w:keepLines/>
        <w:rPr>
          <w:noProof/>
        </w:rPr>
      </w:pPr>
      <w:r>
        <w:rPr>
          <w:noProof/>
        </w:rPr>
        <w:t>Gedaan te Brussel,</w:t>
      </w:r>
    </w:p>
    <w:p>
      <w:pPr>
        <w:keepNext/>
        <w:keepLines/>
        <w:tabs>
          <w:tab w:val="left" w:pos="5670"/>
        </w:tabs>
        <w:spacing w:before="720"/>
        <w:rPr>
          <w:i/>
          <w:noProof/>
        </w:rPr>
      </w:pPr>
      <w:r>
        <w:rPr>
          <w:i/>
          <w:noProof/>
        </w:rPr>
        <w:t>Voor de Europese Unie</w:t>
      </w:r>
      <w:r>
        <w:rPr>
          <w:noProof/>
        </w:rPr>
        <w:tab/>
      </w:r>
      <w:r>
        <w:rPr>
          <w:i/>
          <w:noProof/>
        </w:rPr>
        <w:t>Voor de Zwitserse Bondsstaat</w:t>
      </w:r>
    </w:p>
    <w:p>
      <w:pPr>
        <w:tabs>
          <w:tab w:val="left" w:pos="5670"/>
        </w:tabs>
        <w:rPr>
          <w:rFonts w:eastAsia="Times New Roman"/>
          <w:noProof/>
          <w:szCs w:val="24"/>
        </w:rPr>
      </w:pPr>
      <w:r>
        <w:rPr>
          <w:noProof/>
        </w:rPr>
        <w:t>Hoofd van de delegatie</w:t>
      </w:r>
      <w:r>
        <w:rPr>
          <w:noProof/>
        </w:rPr>
        <w:tab/>
        <w:t>Hoofd van de delegatie</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PB L 114 van 30.4.2002, blz. 132.</w:t>
      </w:r>
    </w:p>
  </w:footnote>
  <w:footnote w:id="2">
    <w:p>
      <w:pPr>
        <w:pStyle w:val="FootnoteText"/>
      </w:pPr>
      <w:r>
        <w:rPr>
          <w:rStyle w:val="FootnoteReference"/>
        </w:rPr>
        <w:footnoteRef/>
      </w:r>
      <w:r>
        <w:tab/>
        <w:t>Besluit nr. 2/2003 van het bij de Overeenkomst tussen de Europese Gemeenschap en de Zwitserse Bondsstaat inzake de handel in landbouwproducten opgerichte Gemengd Veterinair Comité van 25 november 2003 tot wijziging van de aanhangsels 1, 2, 3, 4, 5, 6 en 11 van bijlage 11 bij de overeenkomst (2004/78/EG) (PB L 23 van 28.1.2004, blz. 27).</w:t>
      </w:r>
    </w:p>
  </w:footnote>
  <w:footnote w:id="3">
    <w:p>
      <w:pPr>
        <w:pStyle w:val="FootnoteText"/>
      </w:pPr>
      <w:r>
        <w:rPr>
          <w:rStyle w:val="FootnoteReference"/>
        </w:rPr>
        <w:footnoteRef/>
      </w:r>
      <w:r>
        <w:tab/>
        <w:t>Besluit nr. 1/2015 van het bij de Overeenkomst tussen de Europese Gemeenschap en de Zwitserse Bondsstaat inzake de handel in landbouwproducten opgerichte Gemengd Veterinair Comité van 17 december 2015 tot wijziging van de aanhangsels 1, 2, 3, 5, 6, 7, 10 en 11 van bijlage 11 bij de overeenkomst (2015/2367/EU) (PB L 337 van 23.12.2015, blz. 128).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BB4ADB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8CE4F56"/>
    <w:lvl w:ilvl="0">
      <w:start w:val="1"/>
      <w:numFmt w:val="decimal"/>
      <w:pStyle w:val="ListNumber3"/>
      <w:lvlText w:val="%1."/>
      <w:lvlJc w:val="left"/>
      <w:pPr>
        <w:tabs>
          <w:tab w:val="num" w:pos="926"/>
        </w:tabs>
        <w:ind w:left="926" w:hanging="360"/>
      </w:pPr>
    </w:lvl>
  </w:abstractNum>
  <w:abstractNum w:abstractNumId="2">
    <w:nsid w:val="FFFFFF7F"/>
    <w:multiLevelType w:val="singleLevel"/>
    <w:tmpl w:val="8460CA32"/>
    <w:lvl w:ilvl="0">
      <w:start w:val="1"/>
      <w:numFmt w:val="decimal"/>
      <w:pStyle w:val="ListNumber2"/>
      <w:lvlText w:val="%1."/>
      <w:lvlJc w:val="left"/>
      <w:pPr>
        <w:tabs>
          <w:tab w:val="num" w:pos="643"/>
        </w:tabs>
        <w:ind w:left="643" w:hanging="360"/>
      </w:pPr>
    </w:lvl>
  </w:abstractNum>
  <w:abstractNum w:abstractNumId="3">
    <w:nsid w:val="FFFFFF81"/>
    <w:multiLevelType w:val="singleLevel"/>
    <w:tmpl w:val="64DE21A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492921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AB0EDE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64E63A4"/>
    <w:lvl w:ilvl="0">
      <w:start w:val="1"/>
      <w:numFmt w:val="decimal"/>
      <w:pStyle w:val="ListNumber"/>
      <w:lvlText w:val="%1."/>
      <w:lvlJc w:val="left"/>
      <w:pPr>
        <w:tabs>
          <w:tab w:val="num" w:pos="360"/>
        </w:tabs>
        <w:ind w:left="360" w:hanging="360"/>
      </w:pPr>
    </w:lvl>
  </w:abstractNum>
  <w:abstractNum w:abstractNumId="7">
    <w:nsid w:val="FFFFFF89"/>
    <w:multiLevelType w:val="singleLevel"/>
    <w:tmpl w:val="43D4A3E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hideSpellingErrors/>
  <w:hideGrammaticalErrors/>
  <w:attachedTemplate r:id="rId1"/>
  <w:revisionView w:markup="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24 15:22:0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bij"/>
    <w:docVar w:name="LW_ACCOMPAGNANT.CP" w:val="bij"/>
    <w:docVar w:name="LW_ANNEX_NBR_FIRST" w:val="1"/>
    <w:docVar w:name="LW_ANNEX_NBR_LAST" w:val="1"/>
    <w:docVar w:name="LW_CONFIDENCE" w:val=" "/>
    <w:docVar w:name="LW_CONST_RESTREINT_UE" w:val="RESTREINT UE"/>
    <w:docVar w:name="LW_CORRIGENDUM" w:val="&lt;UNUSED&gt;"/>
    <w:docVar w:name="LW_COVERPAGE_GUID" w:val="8DE7808262664C43AE8A282077E588BB"/>
    <w:docVar w:name="LW_CROSSREFERENCE" w:val="&lt;UNUSED&gt;"/>
    <w:docVar w:name="LW_DocType" w:val="ANNEX"/>
    <w:docVar w:name="LW_EMISSION" w:val="6.11.2017"/>
    <w:docVar w:name="LW_EMISSION_ISODATE" w:val="2017-11-06"/>
    <w:docVar w:name="LW_EMISSION_LOCATION" w:val="BRX"/>
    <w:docVar w:name="LW_EMISSION_PREFIX" w:val="Brussel, "/>
    <w:docVar w:name="LW_EMISSION_SUFFIX" w:val=" "/>
    <w:docVar w:name="LW_ID_DOCSTRUCTURE" w:val="COM/ANNEX"/>
    <w:docVar w:name="LW_ID_DOCTYPE" w:val="SG-017"/>
    <w:docVar w:name="LW_LANGUE" w:val="NL"/>
    <w:docVar w:name="LW_MARKING" w:val="&lt;UNUSED&gt;"/>
    <w:docVar w:name="LW_NOM.INST" w:val="EUROPESE COMMISSIE"/>
    <w:docVar w:name="LW_NOM.INST_JOINTDOC" w:val="&lt;EMPTY&gt;"/>
    <w:docVar w:name="LW_OBJETACTEPRINCIPAL" w:val="betreffende het namens de Europese Unie in het bij de Overeenkomst tussen de Europese Gemeenschap en de Zwitserse Bondsstaat inzake de handel in landbouwproducten opgerichte Gemengd Veterinair Comité in te nemen standpunt over Besluit nr. 1/2017 tot wijziging van bijlage 11, aanhangsel 6, bij de overeenkomst"/>
    <w:docVar w:name="LW_OBJETACTEPRINCIPAL.CP" w:val="betreffende het namens de Europese Unie in het bij de Overeenkomst tussen de Europese Gemeenschap en de Zwitserse Bondsstaat inzake de handel in landbouwproducten opgerichte Gemengd Veterinair Comité in te nemen standpunt over Besluit nr. 1/2017 tot wijziging van bijlage 11, aanhangsel 6, bij de overeenkomst"/>
    <w:docVar w:name="LW_PART_NBR" w:val="1"/>
    <w:docVar w:name="LW_PART_NBR_TOTAL" w:val="1"/>
    <w:docVar w:name="LW_REF.INST.NEW" w:val="COM"/>
    <w:docVar w:name="LW_REF.INST.NEW_ADOPTED" w:val="final"/>
    <w:docVar w:name="LW_REF.INST.NEW_TEXT" w:val="(2017) 641"/>
    <w:docVar w:name="LW_REF.INTERNE" w:val="&lt;UNUSED&gt;"/>
    <w:docVar w:name="LW_SUPERTITRE" w:val="&lt;UNUSED&gt;"/>
    <w:docVar w:name="LW_TITRE.OBJ.CP" w:val="&lt;UNUSED&gt;"/>
    <w:docVar w:name="LW_TYPE.DOC" w:val="BIJLAGE"/>
    <w:docVar w:name="LW_TYPE.DOC.CP" w:val="BIJLAGE"/>
    <w:docVar w:name="LW_TYPEACTEPRINCIPAL" w:val="BESLUIT VAN DE RAAD"/>
    <w:docVar w:name="LW_TYPEACTEPRINCIPAL.CP" w:val="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4</Pages>
  <Words>707</Words>
  <Characters>3892</Characters>
  <Application>Microsoft Office Word</Application>
  <DocSecurity>0</DocSecurity>
  <Lines>76</Lines>
  <Paragraphs>35</Paragraphs>
  <ScaleCrop>false</ScaleCrop>
  <HeadingPairs>
    <vt:vector size="2" baseType="variant">
      <vt:variant>
        <vt:lpstr>Title</vt:lpstr>
      </vt:variant>
      <vt:variant>
        <vt:i4>1</vt:i4>
      </vt:variant>
    </vt:vector>
  </HeadingPairs>
  <TitlesOfParts>
    <vt:vector size="1" baseType="lpstr">
      <vt:lpstr>SANTE/7072/2017-EN ANNEX</vt:lpstr>
    </vt:vector>
  </TitlesOfParts>
  <Company>European Commission</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SANTE/7072/2017-EN ANNEX</dc:title>
  <dc:subject>Annex</dc:subject>
  <dc:creator>AUBIN/HOFFMANN A.</dc:creator>
  <cp:keywords>7072</cp:keywords>
  <dc:description>OUTLOOK - 10.10.2017</dc:description>
  <cp:lastModifiedBy>DIGIT/A3</cp:lastModifiedBy>
  <cp:revision>7</cp:revision>
  <dcterms:created xsi:type="dcterms:W3CDTF">2017-10-19T14:07:00Z</dcterms:created>
  <dcterms:modified xsi:type="dcterms:W3CDTF">2017-10-24T13:22:00Z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