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D421899B-6206-4FEA-B1DF-96207076470F" style="width:450.7pt;height:47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>
      <w:pPr>
        <w:spacing w:after="60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u w:val="single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8"/>
          <w:u w:val="single"/>
        </w:rPr>
        <w:lastRenderedPageBreak/>
        <w:t>Приложение V: Списък на актовете, които се предвижда да бъдат отменени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01"/>
        <w:gridCol w:w="1273"/>
        <w:gridCol w:w="5542"/>
        <w:gridCol w:w="7085"/>
      </w:tblGrid>
      <w:tr>
        <w:trPr>
          <w:cantSplit/>
          <w:tblHeader/>
        </w:trPr>
        <w:tc>
          <w:tcPr>
            <w:tcW w:w="174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>
            <w:pPr>
              <w:tabs>
                <w:tab w:val="left" w:pos="176"/>
              </w:tabs>
              <w:spacing w:after="0"/>
              <w:ind w:left="142" w:hanging="108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№ 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99CC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Област на политиката</w:t>
            </w:r>
          </w:p>
        </w:tc>
        <w:tc>
          <w:tcPr>
            <w:tcW w:w="1924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Наименование</w:t>
            </w:r>
          </w:p>
        </w:tc>
        <w:tc>
          <w:tcPr>
            <w:tcW w:w="2460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Мотиви за отмяната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Морско дело и рибарство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Регламент (ЕО) № 1300/2008 на Съвета от 18 декември 2008 г. за създаване на многогодишен план за запаса от херинга, намиращ се на запад от Шотландия, и за риболовните дейности по експлоатация на този запас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Планът относно херингата е изгубил своята актуалност, що се отнася до референтните равнища, и вече не се прилага. Следователно той може да бъде отменен.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Данъчно облагане и митници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Директива 79/802/ЕИО на Комисията от 6 септември 1979 г. относно стоки, поставени под режим активно усъвършенстване, които, ако бъдат внесени, за да бъдат пуснати в свободно обращение, ще се ползват от благоприятни тарифни режими по причина на специфичното им крайно предназначение 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Директивата е излишна, тъй като стоките в режим специфична употреба попадат в обхвата на Регламента относно общата тарифа (Регламент 2658/87, приложение I); освен това както режимът активно усъвършенстване, така и режимът специфична употреба понастоящем се уреждат от Митническия кодекс на Съюза (МКС).</w:t>
            </w:r>
          </w:p>
        </w:tc>
      </w:tr>
      <w:tr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Правосъдие и вътрешни работи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Общо действие 98/699/ПВР относно прането на пари, идентифицирането, проследяването, замразяването, изземването и конфискацията на средствата и приходите от престъпна дейност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Този инструмент бе изцяло заменен от Директива 2014/42/ЕС за обезпечаване и конфискация на средства и облаги от престъпна дейност за всички държави членки, участващи в директивата (всички с изключение на Дания и Обединеното кралство). Повечето от неговите разпоредби вече бяха заменени от Рамково решение 2001/500/ПВР относно прането на пари, идентифицирането, проследяването, замразяването, изземването и конфискацията на средствата и приходите от престъпна дейност, което се прилага и за Дания и Обединеното кралство. Останалите разпоредби са общи препоръки без задължителен характер, които в момента се прилагат само за Дания и Обединеното кралство.</w:t>
            </w:r>
          </w:p>
        </w:tc>
      </w:tr>
    </w:tbl>
    <w:p>
      <w:pPr>
        <w:rPr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3725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5F6"/>
    <w:multiLevelType w:val="hybridMultilevel"/>
    <w:tmpl w:val="6F92D59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52FA"/>
    <w:multiLevelType w:val="hybridMultilevel"/>
    <w:tmpl w:val="15329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C208B"/>
    <w:multiLevelType w:val="hybridMultilevel"/>
    <w:tmpl w:val="51DA8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C4255"/>
    <w:multiLevelType w:val="hybridMultilevel"/>
    <w:tmpl w:val="F73C5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108D2"/>
    <w:multiLevelType w:val="hybridMultilevel"/>
    <w:tmpl w:val="17965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C143F"/>
    <w:multiLevelType w:val="hybridMultilevel"/>
    <w:tmpl w:val="D136839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7BB5CDC"/>
    <w:multiLevelType w:val="hybridMultilevel"/>
    <w:tmpl w:val="82300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A110E"/>
    <w:multiLevelType w:val="hybridMultilevel"/>
    <w:tmpl w:val="F9641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344EF"/>
    <w:multiLevelType w:val="hybridMultilevel"/>
    <w:tmpl w:val="9042B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B160A"/>
    <w:multiLevelType w:val="hybridMultilevel"/>
    <w:tmpl w:val="5FAE0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E712B"/>
    <w:multiLevelType w:val="hybridMultilevel"/>
    <w:tmpl w:val="818A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revisionView w:markup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\u1082?\u1098?\u1084?"/>
    <w:docVar w:name="LW_ANNEX_NBR_FIRST" w:val="5"/>
    <w:docVar w:name="LW_ANNEX_NBR_LAST" w:val="5"/>
    <w:docVar w:name="LW_ANNEX_UNIQUE" w:val="0"/>
    <w:docVar w:name="LW_CORRIGENDUM" w:val="&lt;UNUSED&gt;"/>
    <w:docVar w:name="LW_COVERPAGE_EXISTS" w:val="True"/>
    <w:docVar w:name="LW_COVERPAGE_GUID" w:val="D421899B-6206-4FEA-B1DF-96207076470F"/>
    <w:docVar w:name="LW_COVERPAGE_TYPE" w:val="1"/>
    <w:docVar w:name="LW_CROSSREFERENCE" w:val="&lt;UNUSED&gt;"/>
    <w:docVar w:name="LW_DocType" w:val="NORMAL"/>
    <w:docVar w:name="LW_EMISSION" w:val="24.10.2017"/>
    <w:docVar w:name="LW_EMISSION_ISODATE" w:val="2017-10-24"/>
    <w:docVar w:name="LW_EMISSION_LOCATION" w:val="STR"/>
    <w:docVar w:name="LW_EMISSION_PREFIX" w:val="Страсбург, "/>
    <w:docVar w:name="LW_EMISSION_SUFFIX" w:val=" \u1075?."/>
    <w:docVar w:name="LW_ID_DOCTYPE_NONLW" w:val="CP-039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56?\u1072?\u1073?\u1086?\u1090?\u1085?\u1072? \u1087?\u1088?\u1086?\u1075?\u1088?\u1072?\u1084?\u1072? \u1085?\u1072? \u1050?\u1086?\u1084?\u1080?\u1089?\u1080?\u1103?\u1090?\u1072? \u1079?\u1072? 2018 \u1075?._x000b__x000b__x000b_\u1055?\u1088?\u1086?\u1075?\u1088?\u1072?\u1084?\u1072? \u1079?\u1072? \u1087?\u1086?-\u1086?\u1073?\u1077?\u1076?\u1080?\u1085?\u1077?\u1085?\u1072?, \u1087?\u1086?-\u1089?\u1080?\u1083?\u1085?\u1072? \u1080? \u1087?\u1086?-\u1076?\u1077?\u1084?\u1086?\u1082?\u1088?\u1072?\u1090?\u1080?\u1095?\u1085?\u1072? \u1045?\u1074?\u1088?\u1086?\u1087?\u1072?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7) 65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\u1055?\u1056?\u1048?\u1051?\u1054?\u1046?\u1045?\u1053?\u1048?\u1045?_x000b_"/>
    <w:docVar w:name="LW_TYPEACTEPRINCIPAL.CP" w:val="\u1057?\u1066?\u1054?\u1041?\u1065?\u1045?\u1053?\u1048?\u1045? \u1053?\u1040? \u1050?\u1054?\u1052?\u1048?\u1057?\u1048?\u1071?\u1058?\u1040? \u1044?\u1054? \u1045?\u1042?\u1056?\u1054?\u1055?\u1045?\u1049?\u1057?\u1050?\u1048?\u1071? \u1055?\u1040?\u1056?\u1051?\u1040?\u1052?\u1045?\u1053?\u1058?, \u1057?\u1066?\u1042?\u1045?\u1058?\u1040?, \u1045?\u1042?\u1056?\u1054?\u1055?\u1045?\u1049?\u1057?\u1050?\u1048?\u1071? \u1048?\u1050?\u1054?\u1053?\u1054?\u1052?\u1048?\u1063?\u1045?\u1057?\u1050?\u1048? \u1048? \u1057?\u1054?\u1062?\u1048?\u1040?\u1051?\u1045?\u1053? \u1050?\u1054?\u1052?\u1048?\u1058?\u1045?\u1058? \u1048? \u1050?\u1054?\u1052?\u1048?\u1058?\u1045?\u1058?\u1040? \u1053?\u1040? \u1056?\u1045?\u1043?\u1048?\u1054?\u1053?\u1048?\u1058?\u1045? _x000b_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"/>
    <w:basedOn w:val="Normal"/>
    <w:link w:val="FootnoteTextChar"/>
    <w:uiPriority w:val="99"/>
    <w:qFormat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pPr>
      <w:spacing w:after="120" w:line="240" w:lineRule="auto"/>
      <w:jc w:val="both"/>
    </w:pPr>
    <w:rPr>
      <w:rFonts w:ascii="Times New Roman" w:eastAsia="Times New Roman" w:hAnsi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16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sz w:val="24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 w:bidi="ar-SA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  <w:lang w:eastAsia="en-US" w:bidi="ar-SA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"/>
    <w:basedOn w:val="Normal"/>
    <w:link w:val="FootnoteTextChar"/>
    <w:uiPriority w:val="99"/>
    <w:qFormat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pPr>
      <w:spacing w:after="120" w:line="240" w:lineRule="auto"/>
      <w:jc w:val="both"/>
    </w:pPr>
    <w:rPr>
      <w:rFonts w:ascii="Times New Roman" w:eastAsia="Times New Roman" w:hAnsi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16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sz w:val="24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 w:bidi="ar-SA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  <w:lang w:eastAsia="en-US" w:bidi="ar-SA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C814-563D-47BD-AA73-AAC87192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286</Words>
  <Characters>1704</Characters>
  <Application>Microsoft Office Word</Application>
  <DocSecurity>0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HELLMANN Katharina (SG)</dc:creator>
  <cp:lastModifiedBy>DIGIT/A3</cp:lastModifiedBy>
  <cp:revision>10</cp:revision>
  <cp:lastPrinted>2017-10-13T07:44:00Z</cp:lastPrinted>
  <dcterms:created xsi:type="dcterms:W3CDTF">2017-10-24T08:12:00Z</dcterms:created>
  <dcterms:modified xsi:type="dcterms:W3CDTF">2017-11-06T14:05:00Z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5</vt:lpwstr>
  </property>
  <property fmtid="{D5CDD505-2E9C-101B-9397-08002B2CF9AE}" pid="3" name="Last annex">
    <vt:lpwstr>5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Level of sensitivity">
    <vt:lpwstr>Standard treatment</vt:lpwstr>
  </property>
  <property fmtid="{D5CDD505-2E9C-101B-9397-08002B2CF9AE}" pid="8" name="Unique annex">
    <vt:lpwstr>0</vt:lpwstr>
  </property>
</Properties>
</file>